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2026-07-17</w:t>
      </w:r>
    </w:p>
    <w:p>
      <w:pPr>
        <w:spacing w:before="160" w:after="120"/>
      </w:pPr>
      <w:r>
        <w:rPr>
          <w:b/>
          <w:sz w:val="28"/>
        </w:rPr>
        <w:t>【光伏】</w:t>
      </w:r>
    </w:p>
    <w:p>
      <w:pPr>
        <w:spacing w:before="160" w:after="40" w:line="240" w:lineRule="auto"/>
      </w:pPr>
      <w:r>
        <w:rPr>
          <w:b/>
        </w:rPr>
        <w:t xml:space="preserve">[1] </w:t>
      </w:r>
      <w:hyperlink r:id="rId9">
        <w:r>
          <w:rPr>
            <w:color w:val="1155CC"/>
            <w:u w:val="single"/>
          </w:rPr>
          <w:t>阴离子锚定双功能共聚物实现锡铅钙钛矿的氧化安全 p 掺杂</w:t>
        </w:r>
      </w:hyperlink>
    </w:p>
    <w:p>
      <w:pPr>
        <w:spacing w:before="0" w:after="80"/>
      </w:pPr>
      <w:r>
        <w:rPr>
          <w:i/>
          <w:sz w:val="20"/>
        </w:rPr>
        <w:t>EN: Oxidation-Safe p-Doping of Tin–Lead Perovskites Enabled by an Anion-Anchoring Bifunctional Copolymer</w:t>
      </w:r>
    </w:p>
    <w:p>
      <w:pPr>
        <w:spacing w:before="0" w:after="120"/>
      </w:pPr>
      <w:r>
        <w:rPr>
          <w:b/>
        </w:rPr>
        <w:t xml:space="preserve">Source: </w:t>
      </w:r>
      <w:r>
        <w:t>ACS Energy Letters: Latest Articles (ACS Publications)</w:t>
      </w:r>
      <w:r>
        <w:t xml:space="preserve">    </w:t>
      </w:r>
      <w:r>
        <w:rPr>
          <w:b/>
        </w:rPr>
        <w:t xml:space="preserve">Pub date: </w:t>
      </w:r>
      <w:r>
        <w:t>2026-07-11 00:00:00+00:00</w:t>
      </w:r>
      <w:r>
        <w:t xml:space="preserve">    </w:t>
      </w:r>
      <w:r>
        <w:rPr>
          <w:b/>
        </w:rPr>
        <w:t xml:space="preserve">DOI: </w:t>
      </w:r>
      <w:hyperlink r:id="rId10">
        <w:r>
          <w:rPr>
            <w:color w:val="1155CC"/>
            <w:u w:val="single"/>
          </w:rPr>
          <w:t>10.1021/acsenergylett.6c01287</w:t>
        </w:r>
      </w:hyperlink>
    </w:p>
    <w:p>
      <w:pPr>
        <w:spacing w:before="0" w:after="120"/>
      </w:pPr>
      <w:r>
        <w:rPr>
          <w:b/>
        </w:rPr>
        <w:t xml:space="preserve">Notes: </w:t>
      </w:r>
      <w:r>
        <w:t>abstract_source=openalex</w:t>
      </w:r>
    </w:p>
    <w:p>
      <w:pPr>
        <w:spacing w:before="0" w:after="80" w:lineRule="auto" w:line="276"/>
      </w:pPr>
      <w:r>
        <w:rPr>
          <w:b/>
        </w:rPr>
        <w:t xml:space="preserve">摘要（ZH）: </w:t>
      </w:r>
      <w:r>
        <w:t>锡铅钙钛矿 (TLP) 提供接近最佳的带隙，但会遭受自发 Sn 2+ 氧化和不平衡的电荷传输。传统的 p 掺杂剂可改善空穴提取，但会加剧 Sn 2+ 氧化，从而产生根本性的设计冲突。在这里，我们用双功能共聚物添加剂聚（吡咯烷鎓-Jeffamine）六氟磷酸盐（PPJ-PF 6 ）解决了这一冲突，其中聚吡咯烷鎓主链将 PF 6 - 静电锚定在缺陷丰富的晶界处，以实现受控的、非破坏性的 p 掺杂，而 Jeffamine 聚醚链段协调并保护 Sn 2+ 免受氧化。密度泛函理论计算证实了有利的聚合物-钙钛矿结合，并表明仅当阴离子保留在聚合物支架内时，PF 6 - 诱导的费米能级下移才起作用。这种协作机制抑制了陷阱辅助复合，改善了能级对准，并增强了空穴迁移率，实现了 22.8% 的冠军 PCE（相对于 21.4% 的基线），未封装的器件在 500 小时后仍保留了约 80% 的初始效率。这些结果建立了一个可推广的设计原则：双功能聚合物支架能够实现 p 掺杂，同时保护氧化敏感的 Sn 亚晶格。</w:t>
      </w:r>
    </w:p>
    <w:p>
      <w:pPr>
        <w:spacing w:before="0" w:after="200" w:lineRule="auto" w:line="276"/>
      </w:pPr>
      <w:r>
        <w:rPr>
          <w:b/>
        </w:rPr>
        <w:t xml:space="preserve">Abstract (EN): </w:t>
      </w:r>
      <w:r>
        <w:t>Tin–lead perovskites (TLPs) offer near-optimal bandgaps but suffer from spontaneous Sn 2+ oxidation and imbalanced charge transport. Conventional p-dopants improve hole extraction yet exacerbate Sn 2+ oxidation, creating a fundamental design conflict. Here, we resolve this conflict with a bifunctional copolymer additive, poly(pyrrolidinium-Jeffamine) hexafluorophosphate (PPJ-PF 6 ), in which the polypyrrolidinium backbone electrostatically anchors PF 6 − at defect-rich grain boundaries for controlled, non-destructive p-doping, while the Jeffamine polyether segment coordinates and protects Sn 2+ against oxidation. Density functional theory calculations confirm favorable polymer–perovskite binding and show that PF 6 − -induced Fermi-level downshift operates only when the anion is retained within the polymer scaffold. This cooperative mechanism suppresses trap-assisted recombination, improves energy-level alignment, and enhances hole mobility, delivering a champion PCE of 22.8% (from a 21.4% baseline), with unencapsulated devices retaining ∼80% of initial efficiency after 500 h. These results establish a generalizable design principle: bifunctional polymer scaffolds enabling p-doping while protecting the oxidation-sensitive Sn sublattice.</w:t>
      </w:r>
    </w:p>
    <w:p>
      <w:pPr>
        <w:spacing w:before="120" w:after="120"/>
      </w:pPr>
      <w:r>
        <w:rPr>
          <w:sz w:val="18"/>
        </w:rPr>
        <w:t>——————————————————————————————————————————————————————————————————————</w:t>
      </w:r>
    </w:p>
    <w:p>
      <w:pPr>
        <w:spacing w:before="160" w:after="40" w:line="240" w:lineRule="auto"/>
      </w:pPr>
      <w:r>
        <w:rPr>
          <w:b/>
        </w:rPr>
        <w:t xml:space="preserve">[2] </w:t>
      </w:r>
      <w:hyperlink r:id="rId11">
        <w:r>
          <w:rPr>
            <w:color w:val="1155CC"/>
            <w:u w:val="single"/>
          </w:rPr>
          <w:t>基于并行加速和BERT的数据驱动模型，提高短期光伏功率预测的准确性</w:t>
        </w:r>
      </w:hyperlink>
    </w:p>
    <w:p>
      <w:pPr>
        <w:spacing w:before="0" w:after="80"/>
      </w:pPr>
      <w:r>
        <w:rPr>
          <w:i/>
          <w:sz w:val="20"/>
        </w:rPr>
        <w:t>EN: A data-driven model based on parallel acceleration and BERT to improve accuracy for short-term photovoltaic power prediction</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
        <w:r>
          <w:rPr>
            <w:color w:val="1155CC"/>
            <w:u w:val="single"/>
          </w:rPr>
          <w:t>城市形态如何塑造世界各地城市车载光伏发电的潜力</w:t>
        </w:r>
      </w:hyperlink>
    </w:p>
    <w:p>
      <w:pPr>
        <w:spacing w:before="0" w:after="80"/>
      </w:pPr>
      <w:r>
        <w:rPr>
          <w:i/>
          <w:sz w:val="20"/>
        </w:rPr>
        <w:t>EN: How urban morphology shapes the potential of vehicle-integrated photovoltaics in cities across the world</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
        <w:r>
          <w:rPr>
            <w:color w:val="1155CC"/>
            <w:u w:val="single"/>
          </w:rPr>
          <w:t>AI家族如何带动太阳能电池产业链升级？</w:t>
        </w:r>
      </w:hyperlink>
    </w:p>
    <w:p>
      <w:pPr>
        <w:spacing w:before="0" w:after="80"/>
      </w:pPr>
      <w:r>
        <w:rPr>
          <w:i/>
          <w:sz w:val="20"/>
        </w:rPr>
        <w:t>EN: How does AI family drive the industrial chain upgrading of solar cells?</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
        <w:r>
          <w:rPr>
            <w:color w:val="1155CC"/>
            <w:u w:val="single"/>
          </w:rPr>
          <w:t>具有光转换稳定剂的钙钛矿-有机串联太阳能电池</w:t>
        </w:r>
      </w:hyperlink>
    </w:p>
    <w:p>
      <w:pPr>
        <w:spacing w:before="0" w:after="80"/>
      </w:pPr>
      <w:r>
        <w:rPr>
          <w:i/>
          <w:sz w:val="20"/>
        </w:rPr>
        <w:t>EN: Perovskite–organic tandem solar cells with a photo-transformable stabilizer</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15">
        <w:r>
          <w:rPr>
            <w:color w:val="1155CC"/>
            <w:u w:val="single"/>
          </w:rPr>
          <w:t>10.1038/s41586-026-10869-x</w:t>
        </w:r>
      </w:hyperlink>
    </w:p>
    <w:p>
      <w:pPr>
        <w:spacing w:before="0" w:after="120"/>
      </w:pPr>
      <w:r>
        <w:rPr>
          <w:b/>
        </w:rPr>
        <w:t xml:space="preserve">Notes: </w:t>
      </w:r>
      <w:r>
        <w:t>abstract_source=nature_html</w:t>
      </w:r>
    </w:p>
    <w:p>
      <w:pPr>
        <w:spacing w:before="0" w:after="80" w:lineRule="auto" w:line="276"/>
      </w:pPr>
      <w:r>
        <w:rPr>
          <w:b/>
        </w:rPr>
        <w:t xml:space="preserve">摘要（ZH）: </w:t>
      </w:r>
      <w:r>
        <w:t>具有高溴含量的宽带隙（WBG）混合卤化物钙钛矿用作钙钛矿-有机串联太阳能电池（TSC）的前电池材料，通常会遇到初始卤化物混合不均匀性和光诱导卤化物偏析1-3，限制了钙钛矿-有机TSC的性能。在这里，我们将光转换添加剂 4-[3-(三氟甲基)-3H-二氮杂环-3-基]苄胺 (TDB) 引入到 WBG 钙钛矿前驱体溶液中，以建立稳定混合卤化物相的两阶段策略。在结晶过程中，TDB 通过抑制富 Br 相的快速沉淀并加速退火时卤化物的混合来改善初始卤化物的均匀性。在操作照明过程中，TDB 发生转变，形成在钙钛矿晶界表面具有更强吸附作用的新物质，从而抑制与碘化物相关的缺陷的形成，抑制缺陷辅助的载流子捕获和离子迁移，从而减轻光诱导的卤化物偏析4-6。代表性的WBG钙钛矿（Eg = 1.88 eV）太阳能电池实现了20.01%的功率转换效率（PCE），开路电压为1.42 V，填充因子为85.13%，并提高了光照下的稳定性。通过将 WBG 钙钛矿太阳能电池集成到单片钙钛矿有机 TSC 中，我们实现了 28.80% 的 PCE，经认证的稳态 PCE 为 28.04%。在 ISOS-L-1 协议下运行 625 小时后，钙钛矿有机 TSC 保留了其初始 PCE 的 90%。</w:t>
      </w:r>
    </w:p>
    <w:p>
      <w:pPr>
        <w:spacing w:before="0" w:after="200" w:lineRule="auto" w:line="276"/>
      </w:pPr>
      <w:r>
        <w:rPr>
          <w:b/>
        </w:rPr>
        <w:t xml:space="preserve">Abstract (EN): </w:t>
      </w:r>
      <w:r>
        <w:t>Wide-bandgap (WBG) mixed-halide perovskites with high Br content, which are employed as the front cell material in perovskite–organic tandem solar cells (TSCs), often suffer from initial halide-mixing inhomogeneity and light-induced halide segregation1–3, limiting the performance of perovskite–organic TSCs. Here, we introduced a photo-transformable additive 4-[3-(trifluoromethyl)-3H-diazirin-3-yl]benzylamine (TDB) into the WBG perovskite precursor solution to establish a two-stage strategy for stabilizing the mixed-halide phase. During crystallization, TDB improves the initial halide homogeneity by suppressing the rapid precipitation of the Br-rich phase and accelerating halide mixing upon annealing. During operational illumination, TDB undergoes transformation to form a new species with stronger adsorption on the perovskite grain-boundary surfaces, which inhibits the formation of iodide-related defects, suppresses defect-assisted carrier trapping and ion migration, thereby mitigating light-induced halide segregation4–6. The representative WBG perovskite (Eg = 1.88 eV) solar cell achieved a power conversion efficiency (PCE) of 20.01%, with an open-circuit voltage of 1.42 V, a fill factor of 85.13% and improved stability under illumination. By integrating the WBG perovskite solar cell into a monolithic perovskite–organic TSC, we achieved a PCE of 28.80% with a certified steady-state PCE of 28.04%. The perovskite–organic TSC retained 90% of its initial PCE after 625 h of operation under the ISOS-L-1 protocol.</w:t>
      </w:r>
    </w:p>
    <w:p>
      <w:pPr>
        <w:spacing w:before="120" w:after="120"/>
      </w:pPr>
      <w:r>
        <w:rPr>
          <w:sz w:val="18"/>
        </w:rPr>
        <w:t>——————————————————————————————————————————————————————————————————————</w:t>
      </w:r>
    </w:p>
    <w:p>
      <w:pPr>
        <w:spacing w:before="160" w:after="40" w:line="240" w:lineRule="auto"/>
      </w:pPr>
      <w:r>
        <w:rPr>
          <w:b/>
        </w:rPr>
        <w:t xml:space="preserve">[6] </w:t>
      </w:r>
      <w:hyperlink r:id="rId16">
        <w:r>
          <w:rPr>
            <w:color w:val="1155CC"/>
            <w:u w:val="single"/>
          </w:rPr>
          <w:t>早期局部化学调节使宽带隙 Cu2ZnSnS4 太阳能电池的开路电压达到 847 mV</w:t>
        </w:r>
      </w:hyperlink>
    </w:p>
    <w:p>
      <w:pPr>
        <w:spacing w:before="0" w:after="80"/>
      </w:pPr>
      <w:r>
        <w:rPr>
          <w:i/>
          <w:sz w:val="20"/>
        </w:rPr>
        <w:t>EN: Early-stage local chemistry regulation enabling open-circuit voltage of 847 mV in wide-bandgap Cu2ZnSnS4 solar cells</w:t>
      </w:r>
    </w:p>
    <w:p>
      <w:pPr>
        <w:spacing w:before="0" w:after="120"/>
      </w:pPr>
      <w:r>
        <w:rPr>
          <w:b/>
        </w:rPr>
        <w:t xml:space="preserve">Source: </w:t>
      </w:r>
      <w:r>
        <w:t>Nature Energy</w:t>
      </w:r>
      <w:r>
        <w:t xml:space="preserve">    </w:t>
      </w:r>
      <w:r>
        <w:rPr>
          <w:b/>
        </w:rPr>
        <w:t xml:space="preserve">Pub date: </w:t>
      </w:r>
      <w:r>
        <w:t>2026-07-13 00:00:00+00:00</w:t>
      </w:r>
      <w:r>
        <w:t xml:space="preserve">    </w:t>
      </w:r>
      <w:r>
        <w:rPr>
          <w:b/>
        </w:rPr>
        <w:t xml:space="preserve">DOI: </w:t>
      </w:r>
      <w:hyperlink r:id="rId17">
        <w:r>
          <w:rPr>
            <w:color w:val="1155CC"/>
            <w:u w:val="single"/>
          </w:rPr>
          <w:t>10.1038/s41560-026-02111-9</w:t>
        </w:r>
      </w:hyperlink>
    </w:p>
    <w:p>
      <w:pPr>
        <w:spacing w:before="0" w:after="120"/>
      </w:pPr>
      <w:r>
        <w:rPr>
          <w:b/>
        </w:rPr>
        <w:t xml:space="preserve">Notes: </w:t>
      </w:r>
      <w:r>
        <w:t>abstract_source=nature_html</w:t>
      </w:r>
    </w:p>
    <w:p>
      <w:pPr>
        <w:spacing w:before="0" w:after="80" w:lineRule="auto" w:line="276"/>
      </w:pPr>
      <w:r>
        <w:rPr>
          <w:b/>
        </w:rPr>
        <w:t xml:space="preserve">摘要（ZH）: </w:t>
      </w:r>
      <w:r>
        <w:t>宽带隙锌黄锡矿 Cu2ZnSnS4 (CZTS) 是串联光伏发电的一种有前景的顶级电池候选材料，但其进展受到持续开路电压 (VOC) 缺陷的限制。之前关于宽带隙 CZTS 太阳能电池的报告显示，相对于辐射极限，VOC 损失很大，这主要是由于设计的整体成分与早期结晶过程中形成的局部化学之间的不匹配，其中元素扩散会诱发第二相和有害缺陷。在这里，我们展示了一种缺陷调节策略，可以稳定局部化学环境并抑制扩散诱导的第二相，从而维持所需的结晶环境和途径。这种方法可以促进良性缺陷而不是有害缺陷，从而减少非辐射复合损失。因此，我们在无镉宽带隙 CZTS 太阳能电池中获得了 847 mV 的认证冠军 VOC（辐射极限的 65.3%）和 12.4% 的效率。这种缺陷调节策略为多元化合物半导体的合成提供了普遍的见解。</w:t>
      </w:r>
    </w:p>
    <w:p>
      <w:pPr>
        <w:spacing w:before="0" w:after="200" w:lineRule="auto" w:line="276"/>
      </w:pPr>
      <w:r>
        <w:rPr>
          <w:b/>
        </w:rPr>
        <w:t xml:space="preserve">Abstract (EN): </w:t>
      </w:r>
      <w:r>
        <w:t>Wide-bandgap kesterite Cu2ZnSnS4 (CZTS) is a promising top-cell candidate for tandem photovoltaics, yet its progress is limited by persistent open-circuit voltage (VOC) deficits. Previous reports of wide-bandgap CZTS solar cells have exhibited substantial VOC losses relative to the radiative limit, largely due to a mismatch between the designed global composition and the local chemistry formed during early crystallization, where elemental diffusion induces secondary phases and detrimental defects. Here we demonstrate a defect regulation strategy that stabilizes the local chemical environment and suppresses diffusion-induced secondary phases, therefore maintaining the desired crystallization environment and pathway. This approach promotes benign defects over detrimental ones, thereby reducing non-radiative recombination losses. Consequently, we achieve a certified champion VOC of 847 mV (65.3% of the radiative limit) and an efficiency of 12.4% in Cd-free wide-bandgap CZTS solar cells. This defect regulation strategy provides a generalized insight into the synthesis of multinary compound semiconductors.</w:t>
      </w:r>
    </w:p>
    <w:p>
      <w:pPr>
        <w:spacing w:before="120" w:after="120"/>
      </w:pPr>
      <w:r>
        <w:rPr>
          <w:sz w:val="18"/>
        </w:rPr>
        <w:t>——————————————————————————————————————————————————————————————————————</w:t>
      </w:r>
    </w:p>
    <w:p>
      <w:pPr>
        <w:spacing w:before="160" w:after="40" w:line="240" w:lineRule="auto"/>
      </w:pPr>
      <w:r>
        <w:rPr>
          <w:b/>
        </w:rPr>
        <w:t xml:space="preserve">[7] </w:t>
      </w:r>
      <w:hyperlink r:id="rId18">
        <w:r>
          <w:rPr>
            <w:color w:val="1155CC"/>
            <w:u w:val="single"/>
          </w:rPr>
          <w:t>具有溶液处理碳顶部电极的有机太阳能电池</w:t>
        </w:r>
      </w:hyperlink>
    </w:p>
    <w:p>
      <w:pPr>
        <w:spacing w:before="0" w:after="80"/>
      </w:pPr>
      <w:r>
        <w:rPr>
          <w:i/>
          <w:sz w:val="20"/>
        </w:rPr>
        <w:t>EN: Organic Solar Cells with Solution-Processed Carbon Top Electrodes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19">
        <w:r>
          <w:rPr>
            <w:color w:val="1155CC"/>
            <w:u w:val="single"/>
          </w:rPr>
          <w:t>10.1021/acsami.6c09224</w:t>
        </w:r>
      </w:hyperlink>
    </w:p>
    <w:p>
      <w:pPr>
        <w:spacing w:before="0" w:after="120"/>
      </w:pPr>
      <w:r>
        <w:rPr>
          <w:b/>
        </w:rPr>
        <w:t xml:space="preserve">Notes: </w:t>
      </w:r>
      <w:r>
        <w:t>abstract_source=pubmed</w:t>
      </w:r>
    </w:p>
    <w:p>
      <w:pPr>
        <w:spacing w:before="0" w:after="80" w:lineRule="auto" w:line="276"/>
      </w:pPr>
      <w:r>
        <w:rPr>
          <w:b/>
        </w:rPr>
        <w:t xml:space="preserve">摘要（ZH）: </w:t>
      </w:r>
      <w:r>
        <w:t>有机太阳能电池（OSC）继续表现出快速的性能改进。人们对 OSC 的兴趣源于可持续技术的前景，该技术允许低成本、大面积的解决方案可加工性。事实上，大多数 OSC 仍然依赖热蒸发金属电极，例如银或金。在这里，我们展示了首款采用完全溶液处理、刮刀碳顶部电极的 OSC，作为既定金属触点的低成本且可回收的替代品。引入了一种坚固的电子传输层 (ETL) 结构，该结构由溶液处理的铝掺杂氧化锌纳米颗粒 (AZO-NP) 薄膜和 20 nm 厚的氧化锡 (SnOx) 层组成，通过原子层沉积 (ALD) 在 80 °C 下生长，以保护下面的有机层免受碳浆中其他有害溶剂的影响。 AZO-NP 层对于改善 ALD-SnOx 层的成核并提供必要的溶剂阻隔性能至关重要。为了改善碳顶电极和 ETL 之间的电子界面，我们插入了在相同 ALD 工艺中生长的超薄氧化铟 (InOx) 层 (1.5 nm)。 ALD-InOx 的金属特性提高了再现性，我们还证实，ALD-InOx (5 × 106 Ω/sq) 的方块电阻比 ALD-SnOx (5 × 108 Ω/sq) 低 2 个数量级，使得碳顶电极能够充分横向传输光生电子，从而仅与相邻的 ETL 形成点状接触。由此产生的带有刮刀碳顶电极的 OSC</w:t>
      </w:r>
    </w:p>
    <w:p>
      <w:pPr>
        <w:spacing w:before="0" w:after="200" w:lineRule="auto" w:line="276"/>
      </w:pPr>
      <w:r>
        <w:rPr>
          <w:b/>
        </w:rPr>
        <w:t xml:space="preserve">Abstract (EN): </w:t>
      </w:r>
      <w:r>
        <w:t>Organic solar cells (OSCs) continue to show rapid performance improvements. The interest in OSCs is nurtured by the prospects of a sustainable technology that allows for low-cost, large-area solution processability. In reality, most OSCs still rely on thermally evaporated metal electrodes, such as silver or gold. Here, we demonstrate the first OSCs utilizing a fully solution-processed, doctor-bladed carbon top electrode as a low-cost and recyclable alternative to established metal contacts. A robust electron transport layer (ETL) architecture comprising a thin film of solution-processed aluminum-doped zinc oxide nanoparticles (AZO-NPs) and a 20 nm-thick tin oxide (SnOx) layer, grown by atomic layer deposition (ALD) at 80 °C, is introduced to protect the underlying organic layers against the otherwise detrimental solvent from the carbon paste. The AZO-NP layer is of critical importance to improve the nucleation of the ALD-SnOx layer and afford the necessary solvent barrier properties. To improve the electronic interface between the carbon top electrode and the ETL, we inserted an ultrathin indium oxide (InOx) layer (1.5 nm), grown in the same ALD process. The metallic properties of the ALD-InOx improved reproducibility, and we also confirmed that the 2 orders of magnitude lower sheet resistance of ALD-InOx (5 × 106 Ω/sq) vs ALD-SnOx (5 × 108 Ω/sq) enabled sufficient lateral transport of photogenerated electrons to be extracted by the carbon top electrode, that is found to only make pointlike contact to the adjacent ETL. The resulting OSCs with the doctor-bladed carbon top electrode achieved an encouraging power conversion efficiency of 11%, which provides a very promising direction toward sustainable, scalable, and resource-efficient OSC manufacturing.</w:t>
      </w:r>
    </w:p>
    <w:p>
      <w:pPr>
        <w:spacing w:before="120" w:after="120"/>
      </w:pPr>
      <w:r>
        <w:rPr>
          <w:sz w:val="18"/>
        </w:rPr>
        <w:t>——————————————————————————————————————————————————————————————————————</w:t>
      </w:r>
    </w:p>
    <w:p>
      <w:pPr>
        <w:spacing w:before="160" w:after="40" w:line="240" w:lineRule="auto"/>
      </w:pPr>
      <w:r>
        <w:rPr>
          <w:b/>
        </w:rPr>
        <w:t xml:space="preserve">[8] </w:t>
      </w:r>
      <w:hyperlink r:id="rId20">
        <w:r>
          <w:rPr>
            <w:color w:val="1155CC"/>
            <w:u w:val="single"/>
          </w:rPr>
          <w:t>用于高效稳定钙钛矿太阳能电池的氟化驱动多位点锚定</w:t>
        </w:r>
      </w:hyperlink>
    </w:p>
    <w:p>
      <w:pPr>
        <w:spacing w:before="0" w:after="80"/>
      </w:pPr>
      <w:r>
        <w:rPr>
          <w:i/>
          <w:sz w:val="20"/>
        </w:rPr>
        <w:t>EN: Fluorination-Driven Multi-Site Anchoring for Highly Efficient and Stable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21">
        <w:r>
          <w:rPr>
            <w:color w:val="1155CC"/>
            <w:u w:val="single"/>
          </w:rPr>
          <w:t>10.1021/acsami.6c08150</w:t>
        </w:r>
      </w:hyperlink>
    </w:p>
    <w:p>
      <w:pPr>
        <w:spacing w:before="0" w:after="120"/>
      </w:pPr>
      <w:r>
        <w:rPr>
          <w:b/>
        </w:rPr>
        <w:t xml:space="preserve">Notes: </w:t>
      </w:r>
      <w:r>
        <w:t>abstract_source=pubmed</w:t>
      </w:r>
    </w:p>
    <w:p>
      <w:pPr>
        <w:spacing w:before="0" w:after="80" w:lineRule="auto" w:line="276"/>
      </w:pPr>
      <w:r>
        <w:rPr>
          <w:b/>
        </w:rPr>
        <w:t xml:space="preserve">摘要（ZH）: </w:t>
      </w:r>
      <w:r>
        <w:t>分子钝化已被证明可以有效减轻钙钛矿太阳能电池（PSC）的界面缺陷。然而，实现平衡的界面相互作用，同时抑制缺陷并促进电荷提取仍然具有挑战性。在此，提出了一种氟化驱动的多位点锚定策略，通过 3-氟-4-(氨基甲基)吡啶二碘化铵 (3-F-AMP) 出色的钝化作用来提供高效且稳定的 PSC。 3-F-AMP 中的氟化可调节分子偶极子并增强近平面的几何形状，使氟原子、质子化氨基和质子化吡啶氮位点能够与钙钛矿表面协同相互作用。这种多位点锚定策略不仅可以抑制残留 PbI2 的形成，从而稳定钙钛矿晶格，还可以减少非辐射复合并创建匹配良好的钙钛矿/电子传输层界面，并改善电荷提取。因此，经过3-F-AMP处理的器件表现出显着增强的光伏性能，1.53 eV和1.68 eV钙钛矿的冠军效率分别达到25.82%和22.69%，1.24 cm2大面积器件的功率转换效率达到25.07%，同时在ISOS协议下显着提高了运行稳定性。这项工作为多位点钝化剂的合理设计以促进PSC的工业化铺平了一条新的道路。</w:t>
      </w:r>
    </w:p>
    <w:p>
      <w:pPr>
        <w:spacing w:before="0" w:after="200" w:lineRule="auto" w:line="276"/>
      </w:pPr>
      <w:r>
        <w:rPr>
          <w:b/>
        </w:rPr>
        <w:t xml:space="preserve">Abstract (EN): </w:t>
      </w:r>
      <w:r>
        <w:t>Molecular passivation has been demonstrated to be effective in mitigating interfacial defects in perovskite solar cells (PSCs). However, achieving balanced interfacial interactions that can simultaneously suppress defects and promote charge extraction remains challenging. Herein, a fluorination-driven multi-site anchoring strategy is proposed to deliver highly efficient and stable PSCs through the outstanding passivation effect of 3-fluoro-4-(aminomethyl)pyridinium ammonium diiodide (3-F-AMP). The fluorination in 3-F-AMP modulates the molecular dipole and enforces a nearly planar geometry, enabling the fluorine atom, protonated amino, and protonated pyridine nitrogen sites to cooperatively interact with the perovskite surface. This multi-site anchoring strategy can not only inhibit the formation of residual PbI2 and then stabilize the perovskite lattice but also reduce nonradiative recombination and create a well-matched perovskite/electron-transport layer interface with improved charge extraction. As such, the 3-F-AMP-treated devices exhibit significantly enhanced photovoltaic performance, achieving champion efficiencies of 25.82 and 22.69% for the 1.53 and 1.68 eV perovskites, respectively, and a power conversion efficiency of 25.07% for 1.24 cm2 large-area devices, together with markedly improved operational stability under ISOS protocols. This work paves a novel path for the rational design of multi-site passivators to facilitate the industrialization of PSCs.</w:t>
      </w:r>
    </w:p>
    <w:p>
      <w:pPr>
        <w:spacing w:before="120" w:after="120"/>
      </w:pPr>
      <w:r>
        <w:rPr>
          <w:sz w:val="18"/>
        </w:rPr>
        <w:t>——————————————————————————————————————————————————————————————————————</w:t>
      </w:r>
    </w:p>
    <w:p>
      <w:pPr>
        <w:spacing w:before="160" w:after="40" w:line="240" w:lineRule="auto"/>
      </w:pPr>
      <w:r>
        <w:rPr>
          <w:b/>
        </w:rPr>
        <w:t xml:space="preserve">[9] </w:t>
      </w:r>
      <w:hyperlink r:id="rId22">
        <w:r>
          <w:rPr>
            <w:color w:val="1155CC"/>
            <w:u w:val="single"/>
          </w:rPr>
          <w:t>用于全真空沉积钙钛矿太阳能电池的醋酸甲脒可控固态结晶</w:t>
        </w:r>
      </w:hyperlink>
    </w:p>
    <w:p>
      <w:pPr>
        <w:spacing w:before="0" w:after="80"/>
      </w:pPr>
      <w:r>
        <w:rPr>
          <w:i/>
          <w:sz w:val="20"/>
        </w:rPr>
        <w:t>EN: Controlled solid-state crystallization with formamidinium acetate for fully vacuum-deposited perovskite solar cells</w:t>
      </w:r>
    </w:p>
    <w:p>
      <w:pPr>
        <w:spacing w:before="0" w:after="120"/>
      </w:pPr>
      <w:r>
        <w:rPr>
          <w:b/>
        </w:rPr>
        <w:t xml:space="preserve">Source: </w:t>
      </w:r>
      <w:r>
        <w:t>Nature Energy</w:t>
      </w:r>
      <w:r>
        <w:t xml:space="preserve">    </w:t>
      </w:r>
      <w:r>
        <w:rPr>
          <w:b/>
        </w:rPr>
        <w:t xml:space="preserve">Pub date: </w:t>
      </w:r>
      <w:r>
        <w:t>2026-07-14 00:00:00+00:00</w:t>
      </w:r>
      <w:r>
        <w:t xml:space="preserve">    </w:t>
      </w:r>
      <w:r>
        <w:rPr>
          <w:b/>
        </w:rPr>
        <w:t xml:space="preserve">DOI: </w:t>
      </w:r>
      <w:hyperlink r:id="rId23">
        <w:r>
          <w:rPr>
            <w:color w:val="1155CC"/>
            <w:u w:val="single"/>
          </w:rPr>
          <w:t>10.1038/s41560-026-02093-8</w:t>
        </w:r>
      </w:hyperlink>
    </w:p>
    <w:p>
      <w:pPr>
        <w:spacing w:before="0" w:after="120"/>
      </w:pPr>
      <w:r>
        <w:rPr>
          <w:b/>
        </w:rPr>
        <w:t xml:space="preserve">Notes: </w:t>
      </w:r>
      <w:r>
        <w:t>abstract_source=nature_html</w:t>
      </w:r>
    </w:p>
    <w:p>
      <w:pPr>
        <w:spacing w:before="0" w:after="80" w:lineRule="auto" w:line="276"/>
      </w:pPr>
      <w:r>
        <w:rPr>
          <w:b/>
        </w:rPr>
        <w:t xml:space="preserve">摘要（ZH）: </w:t>
      </w:r>
      <w:r>
        <w:t>真空沉积是制备钙钛矿太阳能电池（PSC）的一种有前途的途径。然而，真空沉积 PSC 的性能尚未与溶液加工器件相媲美。在这里，我们通过控制固态反应途径来提高完全真空沉积的 PSC 的性能。我们发现乙酸甲脒直接与 PbI2 反应形成 FAPbI3 种子层，大大降低了前驱体固态转化为结晶 δ 相以及随后转化为 α 相钙钛矿的障碍。此外，过量的乙酸盐钝化晶界缺陷，从而抑制非辐射复合。结果，PSC的功率转换效率为25.53%，电致发光外量子效率为18.38%。重要的是，无溶剂制造还实现了出色的器件稳定性，在 ISOS-L-1 协议下 1,000 小时后，器件仍保留超过 95% 的初始功率转换效率。</w:t>
      </w:r>
    </w:p>
    <w:p>
      <w:pPr>
        <w:spacing w:before="0" w:after="200" w:lineRule="auto" w:line="276"/>
      </w:pPr>
      <w:r>
        <w:rPr>
          <w:b/>
        </w:rPr>
        <w:t xml:space="preserve">Abstract (EN): </w:t>
      </w:r>
      <w:r>
        <w:t>Vacuum deposition is a promising route for the fabrication of perovskite solar cells (PSCs). However, vacuum-deposited PSCs have not yet matched the performance achieved by solution-processed devices. Here we improve the performance of fully vacuum-deposited PSCs by controlling the solid-state reaction pathway. We find that formamidinium acetate reacts directly with PbI2 to form FAPbI3 seed layers, substantially lowering the barrier to the solid-state conversion of precursors into the crystalline δ-phase and their subsequent transformation into the α-phase perovskite. Moreover, the excess acetate passivates grain boundary defects, thereby suppressing non-radiative recombination. As a result, the PSCs achieve a power conversion efficiency of 25.53% and an electroluminescence external quantum efficiency of 18.38%. Importantly, the solvent-free fabrication also enables excellent device stability, with the devices retaining over 95% of their initial power conversion efficiency after 1,000 h under the ISOS-L-1 protocol.</w:t>
      </w:r>
    </w:p>
    <w:p>
      <w:pPr>
        <w:spacing w:before="120" w:after="120"/>
      </w:pPr>
      <w:r>
        <w:rPr>
          <w:sz w:val="18"/>
        </w:rPr>
        <w:t>——————————————————————————————————————————————————————————————————————</w:t>
      </w:r>
    </w:p>
    <w:p>
      <w:pPr>
        <w:spacing w:before="160" w:after="40" w:line="240" w:lineRule="auto"/>
      </w:pPr>
      <w:r>
        <w:rPr>
          <w:b/>
        </w:rPr>
        <w:t xml:space="preserve">[10] </w:t>
      </w:r>
      <w:hyperlink r:id="rId24">
        <w:r>
          <w:rPr>
            <w:color w:val="1155CC"/>
            <w:u w:val="single"/>
          </w:rPr>
          <w:t>具有均匀量子阱的竞争性配位驱动相演化至纯相准二维迪翁-雅各布森钙钛矿</w:t>
        </w:r>
      </w:hyperlink>
    </w:p>
    <w:p>
      <w:pPr>
        <w:spacing w:before="0" w:after="80"/>
      </w:pPr>
      <w:r>
        <w:rPr>
          <w:i/>
          <w:sz w:val="20"/>
        </w:rPr>
        <w:t>EN: Competitive Coordination-Driven Phase Evolution toward Phase-Pure Quasi-2D Dion−Jacobson Perovskites with Uniform Quantum Wells</w:t>
      </w:r>
    </w:p>
    <w:p>
      <w:pPr>
        <w:spacing w:before="0" w:after="120"/>
      </w:pPr>
      <w:r>
        <w:rPr>
          <w:b/>
        </w:rPr>
        <w:t xml:space="preserve">Source: </w:t>
      </w:r>
      <w:r>
        <w:t>ACS Energy Letters: Latest Articles (ACS Publications)</w:t>
      </w:r>
      <w:r>
        <w:t xml:space="preserve">    </w:t>
      </w:r>
      <w:r>
        <w:rPr>
          <w:b/>
        </w:rPr>
        <w:t xml:space="preserve">Pub date: </w:t>
      </w:r>
      <w:r>
        <w:t>2026-07-14 00:00:00+00:00</w:t>
      </w:r>
      <w:r>
        <w:t xml:space="preserve">    </w:t>
      </w:r>
      <w:r>
        <w:rPr>
          <w:b/>
        </w:rPr>
        <w:t xml:space="preserve">DOI: </w:t>
      </w:r>
      <w:hyperlink r:id="rId25">
        <w:r>
          <w:rPr>
            <w:color w:val="1155CC"/>
            <w:u w:val="single"/>
          </w:rPr>
          <w:t>10.1021/acsenergylett.6c01347</w:t>
        </w:r>
      </w:hyperlink>
    </w:p>
    <w:p>
      <w:pPr>
        <w:spacing w:before="0" w:after="120"/>
      </w:pPr>
      <w:r>
        <w:rPr>
          <w:b/>
        </w:rPr>
        <w:t xml:space="preserve">Notes: </w:t>
      </w:r>
      <w:r>
        <w:t>abstract_source=openalex</w:t>
      </w:r>
    </w:p>
    <w:p>
      <w:pPr>
        <w:spacing w:before="0" w:after="80" w:lineRule="auto" w:line="276"/>
      </w:pPr>
      <w:r>
        <w:rPr>
          <w:b/>
        </w:rPr>
        <w:t xml:space="preserve">摘要（ZH）: </w:t>
      </w:r>
      <w:r>
        <w:t>准二维（quasi-2D）Dion−Jacobson (DJ) 钙钛矿具有双齿二铵阳离子，可消除范德华间隙，提供高效的载流子传输和结构稳定性。然而，在结晶过程中，这些间隔物和无机骨架之间的积极配位会导致无序的量子阱（QW）分布，严重阻碍载流子传输。在此，我们提出了一种竞争性配位定向相演化策略，以实现具有均匀量子线的纯相准二维 DJ 钙钛矿。通过引入二甲胺作为竞争性配体，Pb 2+ 物质在初始湿膜阶段被有效捕获，防止形成不需要的高 n 相。在随后的退火过程中，Pb 2+ 物质的受控释放能够与预先存在的低 n 相发生化学计量反应，从而产生目标相纯 DJ 钙钛矿。通过消除相界和均匀的能量景观，我们的光电探测器表现出令人印象深刻的 2.2 × 10 5 开/关比、4.32 A W −1 的高响应度和增强的稳定性，为高性能光电器件建立了强大的动力学调制方法。</w:t>
      </w:r>
    </w:p>
    <w:p>
      <w:pPr>
        <w:spacing w:before="0" w:after="200" w:lineRule="auto" w:line="276"/>
      </w:pPr>
      <w:r>
        <w:rPr>
          <w:b/>
        </w:rPr>
        <w:t xml:space="preserve">Abstract (EN): </w:t>
      </w:r>
      <w:r>
        <w:t>Quasi-two-dimensional (quasi-2D) Dion−Jacobson (DJ) perovskites feature bidentate diammonium cations that eliminate van der Waals gaps, providing efficient carrier transport and structural stability. However, aggressive coordination between these spacers and the inorganic framework during crystallization causes disordered quantum well (QW) distributions, severely hindering carrier transport. Herein, we present a competitive coordination-directed phase evolution strategy to achieve phase-pure quasi-2D DJ perovskites with uniform QWs. By introducing dimethylamine as a competitive ligand, Pb 2+ species are effectively captured during the initial wet-film stage, preventing the formation of undesired high-n phases. During subsequent annealing, the controlled release of Pb 2+ species enables stoichiometric reactions with pre-existing low-n phases, resulting in targeted phase-pure DJ perovskites. With the elimination of phase boundaries and a homogeneous energy landscape, our photodetectors demonstrate an impressive on/off ratio of 2.2 × 10 5, high responsivity of 4.32 A W −1, and enhanced stability, establishing a robust kinetic modulation approach for high-performance optoelectronics.</w:t>
      </w:r>
    </w:p>
    <w:p>
      <w:pPr>
        <w:spacing w:before="120" w:after="120"/>
      </w:pPr>
      <w:r>
        <w:rPr>
          <w:sz w:val="18"/>
        </w:rPr>
        <w:t>——————————————————————————————————————————————————————————————————————</w:t>
      </w:r>
    </w:p>
    <w:p>
      <w:pPr>
        <w:spacing w:before="160" w:after="40" w:line="240" w:lineRule="auto"/>
      </w:pPr>
      <w:r>
        <w:rPr>
          <w:b/>
        </w:rPr>
        <w:t xml:space="preserve">[11] </w:t>
      </w:r>
      <w:hyperlink r:id="rId26">
        <w:r>
          <w:rPr>
            <w:color w:val="1155CC"/>
            <w:u w:val="single"/>
          </w:rPr>
          <w:t>用于光催化太阳能生产过氧化氢的含嘧啶共价有机框架</w:t>
        </w:r>
      </w:hyperlink>
    </w:p>
    <w:p>
      <w:pPr>
        <w:spacing w:before="0" w:after="80"/>
      </w:pPr>
      <w:r>
        <w:rPr>
          <w:i/>
          <w:sz w:val="20"/>
        </w:rPr>
        <w:t>EN: Pyrimidine-Containing Covalent Organic Framework for Photocatalytic Solar Hydrogen Peroxide Production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27">
        <w:r>
          <w:rPr>
            <w:color w:val="1155CC"/>
            <w:u w:val="single"/>
          </w:rPr>
          <w:t>10.1021/acsami.6c09721</w:t>
        </w:r>
      </w:hyperlink>
    </w:p>
    <w:p>
      <w:pPr>
        <w:spacing w:before="0" w:after="120"/>
      </w:pPr>
      <w:r>
        <w:rPr>
          <w:b/>
        </w:rPr>
        <w:t xml:space="preserve">Notes: </w:t>
      </w:r>
      <w:r>
        <w:t>abstract_source=pubmed</w:t>
      </w:r>
    </w:p>
    <w:p>
      <w:pPr>
        <w:spacing w:before="0" w:after="80" w:lineRule="auto" w:line="276"/>
      </w:pPr>
      <w:r>
        <w:rPr>
          <w:b/>
        </w:rPr>
        <w:t xml:space="preserve">摘要（ZH）: </w:t>
      </w:r>
      <w:r>
        <w:t>使用有机半导体光催化剂从水和 O2 光催化生产过氧化氢 (H2O2) 是太阳能转化为化学能的一种有前景的方法。最近，由供体（D）-受体（A）缀合物组成的共价有机框架（COF）由于半导体合成的可调平台而引起了人们的关注。在本研究中，我们合成了一系列由2,4,6-三甲酰间苯三酚（Tp）作为A单元和带有不同数量的末端-NH2基团作为D单元的不同含氮杂环组成的COF。含有2,4,6-三氨基嘧啶（PmA3）作为D单元的COF表现出最高的光催化H2O2生成活性。光电化学测量和密度泛函理论计算表明，PmA3-COF的高活性源于多支链三胺结构和Pm环的高空穴捕获能力带来的高电子电导率。这些特性增强了光生空穴对水的氧化，从而有效产生 H2O2。</w:t>
      </w:r>
    </w:p>
    <w:p>
      <w:pPr>
        <w:spacing w:before="0" w:after="200" w:lineRule="auto" w:line="276"/>
      </w:pPr>
      <w:r>
        <w:rPr>
          <w:b/>
        </w:rPr>
        <w:t xml:space="preserve">Abstract (EN): </w:t>
      </w:r>
      <w:r>
        <w:t>Photocatalytic production of hydrogen peroxide (H2O2) from water and O2 using organic semiconductor photocatalysts is a promising approach for solar-to-chemical energy conversion. Recently, covalent organic frameworks (COFs) consisting of donor (D)-acceptor (A) conjugates have attracted attention owing to the tunable platforms for semiconductor synthesis. In this study, we synthesized a series of COFs consisting of 2,4,6-triformylphloroglucinol (Tp) as an A unit and different N-containing heterocycles bearing different numbers of terminal -NH2 groups as D units. The COF containing 2,4,6-triaminopyrimidine (PmA3) as the D unit exhibited the highest activity for photocatalytic H2O2 generation. Photoelectrochemical measurements and density functional theory calculations revealed that the high activity of PmA3-COF originates from the high electron conductivity owing to the multibranched triamine structure and high hole-trapping capability of the Pm ring. These properties enhanced oxidation of water by the photogenerated holes, resulting in efficient H2O2 generation.</w:t>
      </w:r>
    </w:p>
    <w:p>
      <w:pPr>
        <w:spacing w:before="120" w:after="120"/>
      </w:pPr>
      <w:r>
        <w:rPr>
          <w:sz w:val="18"/>
        </w:rPr>
        <w:t>——————————————————————————————————————————————————————————————————————</w:t>
      </w:r>
    </w:p>
    <w:p>
      <w:pPr>
        <w:spacing w:before="160" w:after="40" w:line="240" w:lineRule="auto"/>
      </w:pPr>
      <w:r>
        <w:rPr>
          <w:b/>
        </w:rPr>
        <w:t xml:space="preserve">[12] </w:t>
      </w:r>
      <w:hyperlink r:id="rId28">
        <w:r>
          <w:rPr>
            <w:color w:val="1155CC"/>
            <w:u w:val="single"/>
          </w:rPr>
          <w:t>东非农业光伏的技术经济评估和利益相关者观点</w:t>
        </w:r>
      </w:hyperlink>
    </w:p>
    <w:p>
      <w:pPr>
        <w:spacing w:before="0" w:after="80"/>
      </w:pPr>
      <w:r>
        <w:rPr>
          <w:i/>
          <w:sz w:val="20"/>
        </w:rPr>
        <w:t>EN: Techno-economic assessment and stakeholder perspectives on agrivoltaics in East Africa</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9">
        <w:r>
          <w:rPr>
            <w:color w:val="1155CC"/>
            <w:u w:val="single"/>
          </w:rPr>
          <w:t>水风光伏互补系统的电力短缺：发生条件、时间模式和规划影响</w:t>
        </w:r>
      </w:hyperlink>
    </w:p>
    <w:p>
      <w:pPr>
        <w:spacing w:before="0" w:after="80"/>
      </w:pPr>
      <w:r>
        <w:rPr>
          <w:i/>
          <w:sz w:val="20"/>
        </w:rPr>
        <w:t>EN: Power shortages in hydro-wind-photovoltaic complementary systems: occurring conditions, temporal patterns, and planning implications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0">
        <w:r>
          <w:rPr>
            <w:color w:val="1155CC"/>
            <w:u w:val="single"/>
          </w:rPr>
          <w:t>FAPbI 3 钙钛矿太阳能电池中的能带排列和界面：硬 X 射线光电子能谱研究</w:t>
        </w:r>
      </w:hyperlink>
    </w:p>
    <w:p>
      <w:pPr>
        <w:spacing w:before="0" w:after="80"/>
      </w:pPr>
      <w:r>
        <w:rPr>
          <w:i/>
          <w:sz w:val="20"/>
        </w:rPr>
        <w:t>EN: Energy Band Alignment and Interfaces in FAPbI 3 Perovskite Solar Cells: A Hard X-ray Photoelectron Spectroscopy Investigation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31">
        <w:r>
          <w:rPr>
            <w:color w:val="1155CC"/>
            <w:u w:val="single"/>
          </w:rPr>
          <w:t>10.1021/acsami.6c08990</w:t>
        </w:r>
      </w:hyperlink>
    </w:p>
    <w:p>
      <w:pPr>
        <w:spacing w:before="0" w:after="120"/>
      </w:pPr>
      <w:r>
        <w:rPr>
          <w:b/>
        </w:rPr>
        <w:t xml:space="preserve">Notes: </w:t>
      </w:r>
      <w:r>
        <w:t>abstract_source=pubmed</w:t>
      </w:r>
    </w:p>
    <w:p>
      <w:pPr>
        <w:spacing w:before="0" w:after="80" w:lineRule="auto" w:line="276"/>
      </w:pPr>
      <w:r>
        <w:rPr>
          <w:b/>
        </w:rPr>
        <w:t xml:space="preserve">摘要（ZH）: </w:t>
      </w:r>
      <w:r>
        <w:t>界面现象严重影响钙钛矿太阳能电池的性能和长期稳定性；因此，优化接口仍然是其商业化的关键挑战。在本研究中，我们使用硬 X 射线光电子能谱研究了 ITO/SnO2/FAPbI3/HTL 器件中 FAPbI3 钙钛矿吸收剂和基于 spiro-OMeTAD 的空穴传输层 (HTL) 之间埋入界面的化学相互作用和电子结构。我们的结果表明，spiro-OMeTAD HTL 中掺入了 Pb 和 I 离子。 Pb 4f 核心能级光谱显示了新的非钙钛矿 Pb 物种的形成，N 1s 光谱显示了一个额外的峰，表明螺-OMeTAD 在钙钛矿层上沉积引起的化学修饰。此外，随着 HTL 厚度的增加，spiro-OMeTAD N 1s 峰表现出向较低结合能的系统性转变，表明 spiro-OMeTAD HTL 中的带向下弯曲。总体而言，这些发现提供了对 FAPbI3/HTL 界面附近化学和电子相互作用的直接了解，并强调了优化传输层厚度以实现有利的能级对准和提高器件性能的重要性。</w:t>
      </w:r>
    </w:p>
    <w:p>
      <w:pPr>
        <w:spacing w:before="0" w:after="200" w:lineRule="auto" w:line="276"/>
      </w:pPr>
      <w:r>
        <w:rPr>
          <w:b/>
        </w:rPr>
        <w:t xml:space="preserve">Abstract (EN): </w:t>
      </w:r>
      <w:r>
        <w:t>Interfacial phenomena critically influence both the performance and long-term stability of perovskite solar cells; hence, optimizing interfaces remains a key challenge for their commercialization. In this study, we investigate the chemical interactions and electronic structure of the buried interface between the FAPbI3 perovskite absorber and spiro-OMeTAD-based hole transport layer (HTL) in an ITO/SnO2/FAPbI3/HTL device using hard X-ray photoelectron spectroscopy. Our results indicate Pb and I ion incorporation in the spiro-OMeTAD HTL. The Pb 4f core level spectra show the formation of new nonperovskite Pb species, and the N 1s spectra exhibit an additional peak, indicating chemical modifications induced by the deposition of spiro-OMeTAD on the perovskite layer. Moreover, the spiro-OMeTAD N 1s peak exhibits a systematic shift toward lower binding energies with increasing HTL thickness, indicating a downward band bending in the spiro-OMeTAD HTL. Overall, these findings provide direct insight into the chemical and electronic interactions near the FAPbI3/HTL interface and emphasize the importance of optimizing transport layer thickness to achieve favorable energy level alignment and improved device performance.</w:t>
      </w:r>
    </w:p>
    <w:p>
      <w:pPr>
        <w:spacing w:before="120" w:after="120"/>
      </w:pPr>
      <w:r>
        <w:rPr>
          <w:sz w:val="18"/>
        </w:rPr>
        <w:t>——————————————————————————————————————————————————————————————————————</w:t>
      </w:r>
    </w:p>
    <w:p>
      <w:pPr>
        <w:spacing w:before="160" w:after="40" w:line="240" w:lineRule="auto"/>
      </w:pPr>
      <w:r>
        <w:rPr>
          <w:b/>
        </w:rPr>
        <w:t xml:space="preserve">[15] </w:t>
      </w:r>
      <w:hyperlink r:id="rId32">
        <w:r>
          <w:rPr>
            <w:color w:val="1155CC"/>
            <w:u w:val="single"/>
          </w:rPr>
          <w:t>位点主导的量子切割纳米晶体使硅光伏发电的外量子效率超过 100%</w:t>
        </w:r>
      </w:hyperlink>
    </w:p>
    <w:p>
      <w:pPr>
        <w:spacing w:before="0" w:after="80"/>
      </w:pPr>
      <w:r>
        <w:rPr>
          <w:i/>
          <w:sz w:val="20"/>
        </w:rPr>
        <w:t>EN: Site-dominant quantum-cutting nanocrystals enable silicon photovoltaics exceeding 100% external quantum efficiency</w:t>
      </w:r>
    </w:p>
    <w:p>
      <w:pPr>
        <w:spacing w:before="0" w:after="120"/>
      </w:pPr>
      <w:r>
        <w:rPr>
          <w:b/>
        </w:rPr>
        <w:t xml:space="preserve">Source: </w:t>
      </w:r>
      <w:r>
        <w:t>Joule</w:t>
      </w:r>
      <w:r>
        <w:t xml:space="preserve">    </w:t>
      </w:r>
      <w:r>
        <w:rPr>
          <w:b/>
        </w:rPr>
        <w:t xml:space="preserve">Pub date: </w:t>
      </w:r>
      <w:r>
        <w:t>2026-07-14 00:00:00+00:00</w:t>
      </w:r>
      <w:r>
        <w:t xml:space="preserve">    </w:t>
      </w:r>
      <w:r>
        <w:rPr>
          <w:b/>
        </w:rPr>
        <w:t xml:space="preserve">DOI: </w:t>
      </w:r>
      <w:hyperlink r:id="rId33">
        <w:r>
          <w:rPr>
            <w:color w:val="1155CC"/>
            <w:u w:val="single"/>
          </w:rPr>
          <w:t>10.1016/j.joule.2026.102578</w:t>
        </w:r>
      </w:hyperlink>
    </w:p>
    <w:p>
      <w:pPr>
        <w:spacing w:before="0" w:after="120"/>
      </w:pPr>
      <w:r>
        <w:rPr>
          <w:b/>
        </w:rPr>
        <w:t xml:space="preserve">Notes: </w:t>
      </w:r>
      <w:r>
        <w:t>abstract_source=rss_cell</w:t>
      </w:r>
    </w:p>
    <w:p>
      <w:pPr>
        <w:spacing w:before="0" w:after="80" w:lineRule="auto" w:line="276"/>
      </w:pPr>
      <w:r>
        <w:rPr>
          <w:b/>
        </w:rPr>
        <w:t xml:space="preserve">摘要（ZH）: </w:t>
      </w:r>
      <w:r>
        <w:t>通过温度梯度合成控制 CsPbCl3:Yb 纳米晶体中 Yb 离子位点的占据（间隙与取代）可提高量子切割效率。与 c-Si PV 集成的优化纳米晶体薄膜在 380 nm 功率密度为 30 μW/cm² 时实现了 117.2% ± 2.9% 的 EQE，经认证的 PCE 为 26.00%（参考：25.58%）。该策略为推进降档增强型光伏发电超越肖克利-奎瑟极限提供了基本见解。</w:t>
      </w:r>
    </w:p>
    <w:p>
      <w:pPr>
        <w:spacing w:before="0" w:after="200" w:lineRule="auto" w:line="276"/>
      </w:pPr>
      <w:r>
        <w:rPr>
          <w:b/>
        </w:rPr>
        <w:t xml:space="preserve">Abstract (EN): </w:t>
      </w:r>
      <w:r>
        <w:t>Manipulating Yb ion-site occupancy (interstitial vs. substitutional) in CsPbCl3:Yb nanocrystals via temperature-gradient synthesis enhances quantum-cutting efficiency. The optimized nanocrystal film integrated with c-Si PV achieves an EQE of 117.2% ± 2.9% at a power density of 30 μW/cm² at 380 nm and a certified PCE of 26.00% (Ref.: 25.58%). This strategy provides fundamental insights for advancing down-shifting-enhanced photovoltaics beyond the Shockley-Queisser limit.</w:t>
      </w:r>
    </w:p>
    <w:p>
      <w:pPr>
        <w:spacing w:before="120" w:after="120"/>
      </w:pPr>
      <w:r>
        <w:rPr>
          <w:sz w:val="18"/>
        </w:rPr>
        <w:t>——————————————————————————————————————————————————————————————————————</w:t>
      </w:r>
    </w:p>
    <w:p>
      <w:pPr>
        <w:spacing w:before="160" w:after="40" w:line="240" w:lineRule="auto"/>
      </w:pPr>
      <w:r>
        <w:rPr>
          <w:b/>
        </w:rPr>
        <w:t xml:space="preserve">[16] </w:t>
      </w:r>
      <w:hyperlink r:id="rId34">
        <w:r>
          <w:rPr>
            <w:color w:val="1155CC"/>
            <w:u w:val="single"/>
          </w:rPr>
          <w:t>反向偏压下的电化学反应会产生额外的移动离子，从而实现金属卤化物钙钛矿二极管中的空穴隧穿</w:t>
        </w:r>
      </w:hyperlink>
    </w:p>
    <w:p>
      <w:pPr>
        <w:spacing w:before="0" w:after="80"/>
      </w:pPr>
      <w:r>
        <w:rPr>
          <w:i/>
          <w:sz w:val="20"/>
        </w:rPr>
        <w:t>EN: Electrochemical reactions under reverse bias create additional mobile ions that enable hole tunneling in metal halide perovskite diodes</w:t>
      </w:r>
    </w:p>
    <w:p>
      <w:pPr>
        <w:spacing w:before="0" w:after="120"/>
      </w:pPr>
      <w:r>
        <w:rPr>
          <w:b/>
        </w:rPr>
        <w:t xml:space="preserve">Source: </w:t>
      </w:r>
      <w:r>
        <w:t>Joule</w:t>
      </w:r>
      <w:r>
        <w:t xml:space="preserve">    </w:t>
      </w:r>
      <w:r>
        <w:rPr>
          <w:b/>
        </w:rPr>
        <w:t xml:space="preserve">Pub date: </w:t>
      </w:r>
      <w:r>
        <w:t>2026-07-14 00:00:00+00:00</w:t>
      </w:r>
      <w:r>
        <w:t xml:space="preserve">    </w:t>
      </w:r>
      <w:r>
        <w:rPr>
          <w:b/>
        </w:rPr>
        <w:t xml:space="preserve">DOI: </w:t>
      </w:r>
      <w:hyperlink r:id="rId35">
        <w:r>
          <w:rPr>
            <w:color w:val="1155CC"/>
            <w:u w:val="single"/>
          </w:rPr>
          <w:t>10.1016/j.joule.2026.102577</w:t>
        </w:r>
      </w:hyperlink>
    </w:p>
    <w:p>
      <w:pPr>
        <w:spacing w:before="0" w:after="120"/>
      </w:pPr>
      <w:r>
        <w:rPr>
          <w:b/>
        </w:rPr>
        <w:t xml:space="preserve">Notes: </w:t>
      </w:r>
      <w:r>
        <w:t>abstract_source=rss_cell</w:t>
      </w:r>
    </w:p>
    <w:p>
      <w:pPr>
        <w:spacing w:before="0" w:after="80" w:lineRule="auto" w:line="276"/>
      </w:pPr>
      <w:r>
        <w:rPr>
          <w:b/>
        </w:rPr>
        <w:t xml:space="preserve">摘要（ZH）: </w:t>
      </w:r>
      <w:r>
        <w:t>反向偏压下的钙钛矿二极管必须被视为半导体器件和电化学电池。反向偏压下产生的高浓度移动缺陷可实现低击穿电压和快速电池退化。</w:t>
      </w:r>
    </w:p>
    <w:p>
      <w:pPr>
        <w:spacing w:before="0" w:after="200" w:lineRule="auto" w:line="276"/>
      </w:pPr>
      <w:r>
        <w:rPr>
          <w:b/>
        </w:rPr>
        <w:t xml:space="preserve">Abstract (EN): </w:t>
      </w:r>
      <w:r>
        <w:t>Perovskite diodes under reverse bias must be thought of as both semiconductor devices and electrochemical cells. High concentrations of mobile defects created under reverse bias enable low breakdown voltages and rapid cell degradation.</w:t>
      </w:r>
    </w:p>
    <w:p>
      <w:pPr>
        <w:spacing w:before="120" w:after="120"/>
      </w:pPr>
      <w:r>
        <w:rPr>
          <w:sz w:val="18"/>
        </w:rPr>
        <w:t>——————————————————————————————————————————————————————————————————————</w:t>
      </w:r>
    </w:p>
    <w:p>
      <w:pPr>
        <w:spacing w:before="160" w:after="40" w:line="240" w:lineRule="auto"/>
      </w:pPr>
      <w:r>
        <w:rPr>
          <w:b/>
        </w:rPr>
        <w:t xml:space="preserve">[17] </w:t>
      </w:r>
      <w:hyperlink r:id="rId36">
        <w:r>
          <w:rPr>
            <w:color w:val="1155CC"/>
            <w:u w:val="single"/>
          </w:rPr>
          <w:t>表面限制保护可稳定常温刀片涂层钙钛矿的预退火结晶</w:t>
        </w:r>
      </w:hyperlink>
    </w:p>
    <w:p>
      <w:pPr>
        <w:spacing w:before="0" w:after="80"/>
      </w:pPr>
      <w:r>
        <w:rPr>
          <w:i/>
          <w:sz w:val="20"/>
        </w:rPr>
        <w:t>EN: Surface-confined protection stabilizes pre-annealing crystallization for ambient blade-coated perovskites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钙钛矿太阳能电池的规模化制造从根本上受到钙钛矿结晶对环境水分和氧气的脆弱性的限制，特别是在刮刀涂覆过程中，延长的预退火间隔会暴露不稳定的中间体。在这里，我们引入了一种表面限制的保护策略，以在环境条件下本质上稳定钙钛矿薄膜的形成。通过将三氟乙酸二丙铵（DPTA）引入钙钛矿前驱体墨水中，自发形成致密的自组装表面层，在关键的预退火阶段选择性地保护湿钙钛矿预膜免受环境侵蚀。这种瞬态而有效的屏障可以保护 PbI2·NMP 中间体，以防止钙钛矿晶格的预退火降解，即使在高湿度下也是如此。同时，DPTA 的多功能离子性质允许与钙钛矿晶格发生强配位和氢键相互作用，从而减少体积和界面缺陷。结果，经过空气处理的刀片涂层无MA钙钛矿太阳能电池的效率达到26.14%（认证为25.75%），并且在最大功率点测试的连续1个太阳光照下1300小时后仍保持初始效率的93.11%。该策略很容易转化为与制造相关的钙钛矿太阳能模块，在 100 × 100 mm2 的基板面积上实现 22.72% 的效率。这些结果将表面限制保护确立为环境条件下可扩展钙钛矿光伏电池的一般原则。</w:t>
      </w:r>
    </w:p>
    <w:p>
      <w:pPr>
        <w:spacing w:before="0" w:after="200" w:lineRule="auto" w:line="276"/>
      </w:pPr>
      <w:r>
        <w:rPr>
          <w:b/>
        </w:rPr>
        <w:t xml:space="preserve">Abstract (EN): </w:t>
      </w:r>
      <w:r>
        <w:t>Scalable manufacturing of perovskite solar cells is fundamentally limited by the vulnerability of perovskite crystallization to ambient moisture and oxygen, particularly during blade coating where an extended pre-annealing interval exposes unstable intermediates. Here, we introduce a surface-confined protection strategy to intrinsically stabilize perovskite film formation under ambient conditions. By introducing dipropylammonium trifluoroacetate (DPTA) into the perovskite precursor ink to spontaneously form a dense and self-assembled surface layer, selectively shielding the wet perovskite pre-film from environmental attack during the critical pre-annealing stage. This transient yet effective barrier preserves the PbI2·NMP intermediate to prevent pre-annealing degradation of the perovskite lattice even at high humidity. Simultaneously, the multifunctional ionic nature of DPTA allows strong coordination and hydrogen-bonding interactions with the perovskite lattice, leading to reduced bulk and interfacial defects. As a result, air-processed blade-coated MA-free perovskite solar cells reach an efficiency of 26.14% (certified at 25.75%), and retain 93.11% of the initial efficiency after 1300 h under continuous 1 sun illumination tested at maximum-power-point. The strategy readily translates to manufacturing-relevant perovskite solar modules, delivering 22.72%-efficiency on substrate area of 100 × 100 mm2. These results establish surface-confined protection as a general principle for scalable perovskite photovoltaics under ambient conditions.</w:t>
      </w:r>
    </w:p>
    <w:p>
      <w:pPr>
        <w:spacing w:before="120" w:after="120"/>
      </w:pPr>
      <w:r>
        <w:rPr>
          <w:sz w:val="18"/>
        </w:rPr>
        <w:t>——————————————————————————————————————————————————————————————————————</w:t>
      </w:r>
    </w:p>
    <w:p>
      <w:pPr>
        <w:spacing w:before="160" w:after="40" w:line="240" w:lineRule="auto"/>
      </w:pPr>
      <w:r>
        <w:rPr>
          <w:b/>
        </w:rPr>
        <w:t xml:space="preserve">[18] </w:t>
      </w:r>
      <w:hyperlink r:id="rId37">
        <w:r>
          <w:rPr>
            <w:color w:val="1155CC"/>
            <w:u w:val="single"/>
          </w:rPr>
          <w:t>具有长寿命载流子的超亮二维钙钛矿的活生长</w:t>
        </w:r>
      </w:hyperlink>
    </w:p>
    <w:p>
      <w:pPr>
        <w:spacing w:before="0" w:after="80"/>
      </w:pPr>
      <w:r>
        <w:rPr>
          <w:i/>
          <w:sz w:val="20"/>
        </w:rPr>
        <w:t>EN: Living growth of ultra-bright 2D perovskites with long-lived carriers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二维（2D）钙钛矿中生长引起的缺陷和应变严重限制了载流子传输并抑制辐射效率，从而牺牲了载流子寿命并掩盖了量子限制的优势。在这里，我们报告了二维钙钛矿单晶的近平衡等温（NEIT）生长范例，其表现出类似于活性聚合的活性生长特性。这种方法将结晶主要限制在初始核，从而产生超低成核密度，并产生具有增强晶体学完美性的 PEA2PbI4 (Pb-n1)、PEA2MAPb2I7 (Pb-n2) 和 PEA2MA2Pb3I10 (Pb-n3) 的厘米级单晶。该工艺实现了 Pb-n1 的 Pb 前体利用率约 89%，显着超过传统方法的约 13%，并且符合绿色化学和可持续合成原则。此外，陷阱密度被抑制了一个数量级。这实现了高光致发光量子产率（PLQY，Pb-n1 为 77 ± 2%）、2D Pb-n1 钙钛矿薄片中的首次无腔激光发射，以及与 3D 钙钛矿相媲美的扩散长度高达约 1.92 μm 的长载流子寿命。至关重要的是，活性 NEIT 生长成功地实现了 2D 块状钙钛矿异质结构的外延，从而将横向光电探测器中的光载流子分离加速了 60 倍。这种近平衡的活生长范式将缺陷最小化的二维钙钛矿建立为高性能量子阱光电子学的多功能活跃平台。</w:t>
      </w:r>
    </w:p>
    <w:p>
      <w:pPr>
        <w:spacing w:before="0" w:after="200" w:lineRule="auto" w:line="276"/>
      </w:pPr>
      <w:r>
        <w:rPr>
          <w:b/>
        </w:rPr>
        <w:t xml:space="preserve">Abstract (EN): </w:t>
      </w:r>
      <w:r>
        <w:t>Growth-induced defects and strain in two-dimensional (2D) perovskites severely limit carrier transport and suppress radiative efficiency, thereby sacrificing the carrier lifetime and obscuring the advantages from quantum confinement. Here, we report a near-equilibrium isothermal (NEIT) growth paradigm of 2D perovskite single crystals that exhibits living growth characteristics analogous to living polymerization. This approach confines crystallization primarily to initial nuclei, resulting in ultra-low nucleation density and yielding centimeter-scale single crystals of PEA2PbI4 (Pb-n1), PEA2MAPb2I7 (Pb-n2), and PEA2MA2Pb3I10 (Pb-n3) with enhanced crystallographic perfection. This process achieves ~89% utilization of Pb precursor for Pb-n1, significantly surpassing ~13% from conventional methods and aligning with green-chemistry and sustainable synthetic principles. Additionally, the trap density gets suppressed by one order of magnitude. This unlocks high photoluminescence quantum yields (PLQYs, 77 ± 2% for Pb-n1), first cavity-free lasing in 2D Pb-n1 perovskite flakes, and long carrier lifetimes with diffusion lengths up to ~1.92 μm rivaling 3D perovskites. Critically, the living NEIT growth successfully enables the epitaxy of 2D bulk perovskite heterostructures, driving 60-fold accelerated photocarrier separation in lateral photodetectors. This near-equilibrium living growth paradigm establishes defect-minimized 2D perovskites as a versatile and active platform for high-performance quantum-well optoelectronics.</w:t>
      </w:r>
    </w:p>
    <w:p>
      <w:pPr>
        <w:spacing w:before="120" w:after="120"/>
      </w:pPr>
      <w:r>
        <w:rPr>
          <w:sz w:val="18"/>
        </w:rPr>
        <w:t>——————————————————————————————————————————————————————————————————————</w:t>
      </w:r>
    </w:p>
    <w:p>
      <w:pPr>
        <w:spacing w:before="160" w:after="40" w:line="240" w:lineRule="auto"/>
      </w:pPr>
      <w:r>
        <w:rPr>
          <w:b/>
        </w:rPr>
        <w:t xml:space="preserve">[19] </w:t>
      </w:r>
      <w:hyperlink r:id="rId38">
        <w:r>
          <w:rPr>
            <w:color w:val="1155CC"/>
            <w:u w:val="single"/>
          </w:rPr>
          <w:t>低温液体辅助振动应力消除策略可实现稳定高效的钙钛矿太阳能电池</w:t>
        </w:r>
      </w:hyperlink>
    </w:p>
    <w:p>
      <w:pPr>
        <w:spacing w:before="0" w:after="80"/>
      </w:pPr>
      <w:r>
        <w:rPr>
          <w:i/>
          <w:sz w:val="20"/>
        </w:rPr>
        <w:t>EN: Low-temperature liquid-assisted vibrational stress-relief strategy enables stable and efficient perovskite solar cells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钙钛矿光伏发电的商业化受到多晶薄膜中固有缺陷和界面应变的阻碍，这会损害效率和稳定性。传统的化学钝化通常取决于成分和结构，并引入异质杂质，从而产生额外的应力。在这里，我们介绍了一种通用的低温液体辅助振动应力消除（LTL-VSR）策略，该策略通过物理声振动直接解决材料退化的根本原因。高频振动引起空化崩溃和共振晶格滑动，去除纳米级杂质，消灭离子空位，并将残余应力降低十倍以上，而不会造成热损伤。这种机械修复策略与不同的钙钛矿成分、器件架构和尺寸广泛兼容，刚性电池的功率转换效率 (PCE) 为 26.47%，柔性电池的功率转换效率 (PCE) 为 24.64%。此外，大面积组件在孔径面积为16.8 cm2和600 cm2时，PCE分别达到23.59%和20.55%。未封装的 n-i-p 器件在运行 1200 小时后仍保留 92.4% 的初始效率。 LTL-VSR 的通用性和可扩展性使其成为钙钛矿光伏工业制造的变革性方法。</w:t>
      </w:r>
    </w:p>
    <w:p>
      <w:pPr>
        <w:spacing w:before="0" w:after="200" w:lineRule="auto" w:line="276"/>
      </w:pPr>
      <w:r>
        <w:rPr>
          <w:b/>
        </w:rPr>
        <w:t xml:space="preserve">Abstract (EN): </w:t>
      </w:r>
      <w:r>
        <w:t>The commercialization of perovskite photovoltaics is hindered by intrinsic defects and interfacial strain in polycrystalline films, which compromise both efficiency and stability. Conventional chemical passivation is frequently composition- and structure-dependent and introduces heterogeneous impurities that generate additional stress. Here, we introduce a universal low-temperature liquid-assisted vibrational stress relief (LTL-VSR) strategy that directly addresses the root causes of material degradation through physical acoustic vibration. High-frequency vibrations induce cavitation collapse and resonant lattice sliding, removing nanoscale impurities, annihilating ionic vacancies, and reducing residual stress by over tenfold without thermal damage. This mechanical healing strategy is broadly compatible with diverse perovskite compositions, device architectures, and sizes, delivering power conversion efficiencies (PCEs) of 26.47% for rigid and 24.64% for flexible cells. Moreover, large-area modules achieved PCEs of 23.59% and 20.55% for aperture areas of 16.8 cm2 and 600 cm2, respectively. Unencapsulated n-i-p devices retain 92.4% of initial efficiency after 1200 hours of operation. The universality and scalability of LTL-VSR position it as a transformative approach for the industrial manufacturing of perovskite photovoltaics.</w:t>
      </w:r>
    </w:p>
    <w:p>
      <w:pPr>
        <w:spacing w:before="120" w:after="120"/>
      </w:pPr>
      <w:r>
        <w:rPr>
          <w:sz w:val="18"/>
        </w:rPr>
        <w:t>——————————————————————————————————————————————————————————————————————</w:t>
      </w:r>
    </w:p>
    <w:p>
      <w:pPr>
        <w:spacing w:before="160" w:after="40" w:line="240" w:lineRule="auto"/>
      </w:pPr>
      <w:r>
        <w:rPr>
          <w:b/>
        </w:rPr>
        <w:t xml:space="preserve">[20] </w:t>
      </w:r>
      <w:hyperlink r:id="rId39">
        <w:r>
          <w:rPr>
            <w:color w:val="1155CC"/>
            <w:u w:val="single"/>
          </w:rPr>
          <w:t>从无线单片叶子光化学联产氢气和化学品</w:t>
        </w:r>
      </w:hyperlink>
    </w:p>
    <w:p>
      <w:pPr>
        <w:spacing w:before="0" w:after="80"/>
      </w:pPr>
      <w:r>
        <w:rPr>
          <w:i/>
          <w:sz w:val="20"/>
        </w:rPr>
        <w:t>EN: Photochemical coproduction of hydrogen and chemicals from a wireless monolithic leaf</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40">
        <w:r>
          <w:rPr>
            <w:color w:val="1155CC"/>
            <w:u w:val="single"/>
          </w:rPr>
          <w:t>10.1126/sciadv.aed7830</w:t>
        </w:r>
      </w:hyperlink>
    </w:p>
    <w:p>
      <w:pPr>
        <w:spacing w:before="0" w:after="120"/>
      </w:pPr>
      <w:r>
        <w:rPr>
          <w:b/>
        </w:rPr>
        <w:t xml:space="preserve">Notes: </w:t>
      </w:r>
      <w:r>
        <w:t>abstract_source=pubmed</w:t>
      </w:r>
    </w:p>
    <w:p>
      <w:pPr>
        <w:spacing w:before="0" w:after="80" w:lineRule="auto" w:line="276"/>
      </w:pPr>
      <w:r>
        <w:rPr>
          <w:b/>
        </w:rPr>
        <w:t xml:space="preserve">摘要（ZH）: </w:t>
      </w:r>
      <w:r>
        <w:t>集光吸收和催化于一体的人造树叶通过直接将阳光转化为燃料，为可再生电力的间歇性提供了解决方案。在这里，我们设计了一种无线单片叶片，它将隧道氧化物钝化接触硅底部吸收器与缺陷控制钒酸铋 (BiVO4) 顶部吸收器集成在一起，用于氢和化学品的光化学联产。纳米多孔 BiVO4 和微锥体硅的组合通过互补能带结构和几何纳米纹理扩展光捕获，确保高光电压。富含氧空位的表面还原无定形 BiVO4 壳可改善选择性甘油氧化的空穴传输和催化活性，从而实现无偏压操作。作为一种基于无偏压光电催化的独立光化学二极管，无线单片叶子仅在阳光下即可连续共同产生氢气和 C3 化学物质，达到每小时每平方米 395.9 毫摩尔和 91.68 毫摩尔的速率。这项工作重点介绍了吸收剂和界面工程，以实现高效、耐用的人造树叶，以实现可持续的氢气和增值化学品生产。</w:t>
      </w:r>
    </w:p>
    <w:p>
      <w:pPr>
        <w:spacing w:before="0" w:after="200" w:lineRule="auto" w:line="276"/>
      </w:pPr>
      <w:r>
        <w:rPr>
          <w:b/>
        </w:rPr>
        <w:t xml:space="preserve">Abstract (EN): </w:t>
      </w:r>
      <w:r>
        <w:t>Artificial leaves integrating light absorption and catalysis provide a solution to the intermittency of renewable electricity by directly converting sunlight into fuels. Here, we design a wireless monolithic leaf that integrates a tunnel oxide passivating contact Si bottom absorber with a defect-controlled bismuth vanadate (BiVO4) top absorber for photochemical coproduction of hydrogen and chemicals. The combination of nanoporous BiVO4 and micropyramidal silicon ensures a high photovoltage by extending light harvesting through complementary band structures and geometric nanotexturing. A surface-reduced amorphous BiVO4 shell rich in oxygen vacancies improves hole transport and catalytic activity for selective glycerol oxidation, enabling bias-free operation. As a standalone photochemical diode that builds on bias-free photoelectrocatalysis, the wireless monolithic leaf continuously coproduces hydrogen and C3 chemicals solely under sunlight, achieving rates of 395.9 and 91.68 millimoles per square meter per hour. This work highlights absorber and interface engineering for efficient, durable artificial leaves toward sustainable hydrogen and value-added chemical production.</w:t>
      </w:r>
    </w:p>
    <w:p>
      <w:pPr>
        <w:spacing w:before="120" w:after="120"/>
      </w:pPr>
      <w:r>
        <w:rPr>
          <w:sz w:val="18"/>
        </w:rPr>
        <w:t>——————————————————————————————————————————————————————————————————————</w:t>
      </w:r>
    </w:p>
    <w:p>
      <w:pPr>
        <w:spacing w:before="160" w:after="40" w:line="240" w:lineRule="auto"/>
      </w:pPr>
      <w:r>
        <w:rPr>
          <w:b/>
        </w:rPr>
        <w:t xml:space="preserve">[21] </w:t>
      </w:r>
      <w:hyperlink r:id="rId41">
        <w:r>
          <w:rPr>
            <w:color w:val="1155CC"/>
            <w:u w:val="single"/>
          </w:rPr>
          <w:t>导电聚合物桥介导高性能柔性钙钛矿-有机串联太阳能电池</w:t>
        </w:r>
      </w:hyperlink>
    </w:p>
    <w:p>
      <w:pPr>
        <w:spacing w:before="0" w:after="80"/>
      </w:pPr>
      <w:r>
        <w:rPr>
          <w:i/>
          <w:sz w:val="20"/>
        </w:rPr>
        <w:t>EN: Conductive Polymer Bridges Mediate High‐Performance Flexible Perovskite–Organic Tandem Solar Cells</w:t>
      </w:r>
    </w:p>
    <w:p>
      <w:pPr>
        <w:spacing w:before="0" w:after="120"/>
      </w:pPr>
      <w:r>
        <w:rPr>
          <w:b/>
        </w:rPr>
        <w:t xml:space="preserve">Source: </w:t>
      </w:r>
      <w:r>
        <w:t>Wiley: Advanced Materials: Table of Contents</w:t>
      </w:r>
      <w:r>
        <w:t xml:space="preserve">    </w:t>
      </w:r>
      <w:r>
        <w:rPr>
          <w:b/>
        </w:rPr>
        <w:t xml:space="preserve">Pub date: </w:t>
      </w:r>
      <w:r>
        <w:t>2026-07-15 07:22:04+00:00</w:t>
      </w:r>
      <w:r>
        <w:t xml:space="preserve">    </w:t>
      </w:r>
      <w:r>
        <w:rPr>
          <w:b/>
        </w:rPr>
        <w:t xml:space="preserve">DOI: </w:t>
      </w:r>
      <w:hyperlink r:id="rId42">
        <w:r>
          <w:rPr>
            <w:color w:val="1155CC"/>
            <w:u w:val="single"/>
          </w:rPr>
          <w:t>10.1002/adma.74183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柔性钙钛矿-有机串联太阳能电池（TSC）中，富溴钙钛矿薄膜中的大量晶界（GB）对于决定其效率和机械耐久性至关重要。加剧的载流子复合、光子引起的晶格膨胀和源自晶界的相分离大大降低了光伏性能和可靠性。在这项工作中，我们通过将离子液体掺入聚氨酯（PU）中开发了一种导电聚合物复合材料，它可以钝化与 Pb 和 FA 相关的缺陷并抑制卤化物偏析，同时减轻残余应力。至关重要的是，它在 GB 上建立了高效的横向导电聚合物桥 (CPB)。 CPB 显着增加了载流子扩散长度并抑制了非辐射复合。结果，刚性宽带隙 (WBG) 钙钛矿太阳能电池 (PSC) 实现了 20.85% 的冠军效率以及出色的运行稳定性（</w:t>
      </w:r>
      <w:r>
        <w:t xml:space="preserve"> </w:t>
      </w:r>
      <w:r>
        <w:t>时间</w:t>
      </w:r>
      <w:r>
        <w:rPr>
          <w:vertAlign w:val="subscript"/>
        </w:rPr>
        <w:t>90</w:t>
      </w:r>
      <w:r>
        <w:t>&gt; 1000 小时）。在灵活的配置中，CPB 介导的器件实现了 19.03% 的高效率，并表现出出色的机械鲁棒性，在 10000 次弯曲循环后保留了 92% 的初始 PCE。此外，钙钛矿有机 TSC 的刚性版本达到了 25.92% 的功率转换效率，柔性版本达到了 24.02% 的显着功率转换效率。值得注意的是，在连续光照 1000 小时后，刚性串联电池仍保持其初始 PCE 的 87%，而柔性串联电池则保持其初始 PCE 的 81%</w:t>
      </w:r>
    </w:p>
    <w:p>
      <w:pPr>
        <w:spacing w:before="0" w:after="200" w:lineRule="auto" w:line="276"/>
      </w:pPr>
      <w:r>
        <w:rPr>
          <w:b/>
        </w:rPr>
        <w:t xml:space="preserve">Abstract (EN): </w:t>
      </w:r>
      <w:r>
        <w:t>In flexible perovskite–organic tandem solar cells (TSCs), the numerous grain boundaries (GBs) in Br‐rich perovskite films are critical in determining their efficiency and mechanical durability. Exacerbated carrier recombination, photon‐induced lattice expansion, and phase segregation originating from GBs substantially reduce the photovoltaic performance and reliability. In this work, we developed a conductive polymer composite by incorporating an ionic liquid into polyurethane (PU), which passivates Pb‐ and FA‐related defects and suppresses halide segregation while mitigating residual stress. Critically, it establishes efficient lateral conductive polymer bridges (CPB) across GBs. The CPB significantly increased carrier diffusion length and suppressed nonradiative recombination. As a result, the rigid wide‐bandgap (WBG) perovskite solar cells (PSCs) achieved a champion efficiency of 20.85% along with outstanding operational stability (</w:t>
      </w:r>
      <w:r>
        <w:t xml:space="preserve"> </w:t>
      </w:r>
      <w:r>
        <w:t>T</w:t>
      </w:r>
      <w:r>
        <w:rPr>
          <w:vertAlign w:val="subscript"/>
        </w:rPr>
        <w:t>90</w:t>
      </w:r>
      <w:r>
        <w:t>&amp;gt; 1000 h). In flexible configurations, CPB‐mediated devices attained a high efficiency of 19.03% and exhibited excellent mechanical robustness, retaining 92% of their initial PCE after 10 000 bending cycles. Furthermore, the perovskite–organic TSCs reached notable power conversion efficiencies of 25.92% for rigid versions and 24.02% for flexible ones. Remarkably, the rigid tandem cells maintained 87% of their initial PCE after 1000 h of continuous light exposure, while the flexible counterparts retained 81% of their original PCE after 10 000 bending cycles.</w:t>
      </w:r>
    </w:p>
    <w:p>
      <w:pPr>
        <w:spacing w:before="120" w:after="120"/>
      </w:pPr>
      <w:r>
        <w:rPr>
          <w:sz w:val="18"/>
        </w:rPr>
        <w:t>——————————————————————————————————————————————————————————————————————</w:t>
      </w:r>
    </w:p>
    <w:p>
      <w:pPr>
        <w:spacing w:before="160" w:after="40" w:line="240" w:lineRule="auto"/>
      </w:pPr>
      <w:r>
        <w:rPr>
          <w:b/>
        </w:rPr>
        <w:t xml:space="preserve">[22] </w:t>
      </w:r>
      <w:hyperlink r:id="rId43">
        <w:r>
          <w:rPr>
            <w:color w:val="1155CC"/>
            <w:u w:val="single"/>
          </w:rPr>
          <w:t>高效有机太阳能电池非富勒烯受体聚集的远程修饰诱导蝴蝶效应</w:t>
        </w:r>
      </w:hyperlink>
    </w:p>
    <w:p>
      <w:pPr>
        <w:spacing w:before="0" w:after="80"/>
      </w:pPr>
      <w:r>
        <w:rPr>
          <w:i/>
          <w:sz w:val="20"/>
        </w:rPr>
        <w:t>EN: Remote Modification‐Induced Butterfly Effect on Nonfullerene Acceptor Aggregation for Efficient Organic Solar Cells</w:t>
      </w:r>
    </w:p>
    <w:p>
      <w:pPr>
        <w:spacing w:before="0" w:after="120"/>
      </w:pPr>
      <w:r>
        <w:rPr>
          <w:b/>
        </w:rPr>
        <w:t xml:space="preserve">Source: </w:t>
      </w:r>
      <w:r>
        <w:t>Wiley: Advanced Materials: Table of Contents</w:t>
      </w:r>
      <w:r>
        <w:t xml:space="preserve">    </w:t>
      </w:r>
      <w:r>
        <w:rPr>
          <w:b/>
        </w:rPr>
        <w:t xml:space="preserve">Pub date: </w:t>
      </w:r>
      <w:r>
        <w:t>2026-07-15 08:38:45+00:00</w:t>
      </w:r>
      <w:r>
        <w:t xml:space="preserve">    </w:t>
      </w:r>
      <w:r>
        <w:rPr>
          <w:b/>
        </w:rPr>
        <w:t xml:space="preserve">DOI: </w:t>
      </w:r>
      <w:hyperlink r:id="rId44">
        <w:r>
          <w:rPr>
            <w:color w:val="1155CC"/>
            <w:u w:val="single"/>
          </w:rPr>
          <w:t>10.1002/adma.74119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OSC）在下一代光伏应用中具有独特的优势，但其功率转换效率（PCE）仍然受到大量电压损耗的限制。由于分子结构和固态堆积之间复杂的非线性关系，同时实现非富勒烯受体（NFA）的高发光和电荷传输特性仍然是一个重大挑战。在这项研究中，我们展示了一种基于“蝴蝶效应”的分子设计概念，该概念能够通过远程苯环上的微妙取代基修饰来精确控制 A-DA'D-A 型 NFA 中的分子间堆积。甲氧基、甲基、氢和氟基团的系统调制揭示了不同的堆积构型：甲氧基取代的AQxPO通过抑制端桥（E-B）堆叠提高光致发光量子产率（PLQY至9.96％），但破坏重要的电荷传输路径，而氟取代的AQxPF促进E-B/端-端（E-E）堆叠，以降低PLQY为代价增强载流子传输（4.78%）。值得注意的是，氢取代的 AQxPH 可以最佳地抑制有害的 E-B 堆积，同时保持有效的 E-E 相互作用，从而产生高 PLQY 和优异的电荷传输。因此，基于 D18:AQxPH 的二元 OSC 实现了 20.9% 的显着 PCE 和高 V</w:t>
      </w:r>
      <w:r>
        <w:t xml:space="preserve"> </w:t>
      </w:r>
      <w:r>
        <w:t>奥克</w:t>
      </w:r>
      <w:r>
        <w:t xml:space="preserve"> </w:t>
      </w:r>
      <w:r>
        <w:t>0.925 V，超低非辐射能量损失为 0.176 eV。这项工作提供了克服 OSC 效率瓶颈的设计原则</w:t>
      </w:r>
    </w:p>
    <w:p>
      <w:pPr>
        <w:spacing w:before="0" w:after="200" w:lineRule="auto" w:line="276"/>
      </w:pPr>
      <w:r>
        <w:rPr>
          <w:b/>
        </w:rPr>
        <w:t xml:space="preserve">Abstract (EN): </w:t>
      </w:r>
      <w:r>
        <w:t>Organic solar cells (OSCs) possess unique advantages for next‐generation photovoltaic applications, yet their power conversion efficiencies (PCE) are still constrained by substantial voltage losses. Simultaneously achieving high luminescence and charge transport properties of nonfullerene acceptors (NFAs) remains a major challenge due to the complex, nonlinear relationship between molecular structure and solid‐state packing. In this study, we demonstrate a molecular design concept based on the “butterfly effect” that enables precise control over intermolecular packing in A–DA′D–A‐type NFAs through subtle substituent modifications on the remote phenyl ring. Systematic modulation with methoxy, methyl, hydrogen, and fluorine groups reveals distinct packing configurations: methoxy‐substituted AQxPO enhances photoluminescence quantum yield (PLQY to 9.96%) via depressed end–bridge (E–B) stacking but disrupts vital charge transport pathways, while fluorine‐substituted AQxPF promotes E–B/end–end (E–E) stacking, enhancing carrier transport at the cost of reduced PLQY (4.78%). Notably, the hydrogen‐substituted AQxPH optimally suppressing detrimental E–B stacking while maintaining efficient E–E interactions, yielding both high PLQY and superior charge transport. Consequently, the D18:AQxPH‐based binary OSC achieves a remarkable PCE of 20.9% with a high V</w:t>
      </w:r>
      <w:r>
        <w:t xml:space="preserve"> </w:t>
      </w:r>
      <w:r>
        <w:t>OC</w:t>
      </w:r>
      <w:r>
        <w:t xml:space="preserve"> </w:t>
      </w:r>
      <w:r>
        <w:t>of 0.925 V at an ultralow non‐radiative energy loss of 0.176 eV. This work provides a design principle to overcome OSC efficiency bottlenecks through precise stacking control.</w:t>
      </w:r>
    </w:p>
    <w:p>
      <w:pPr>
        <w:spacing w:before="120" w:after="120"/>
      </w:pPr>
      <w:r>
        <w:rPr>
          <w:sz w:val="18"/>
        </w:rPr>
        <w:t>——————————————————————————————————————————————————————————————————————</w:t>
      </w:r>
    </w:p>
    <w:p>
      <w:pPr>
        <w:spacing w:before="160" w:after="40" w:line="240" w:lineRule="auto"/>
      </w:pPr>
      <w:r>
        <w:rPr>
          <w:b/>
        </w:rPr>
        <w:t xml:space="preserve">[23] </w:t>
      </w:r>
      <w:hyperlink r:id="rId45">
        <w:r>
          <w:rPr>
            <w:color w:val="1155CC"/>
            <w:u w:val="single"/>
          </w:rPr>
          <w:t>用于高效钙钛矿太阳能电池的自组装单层的数据驱动设计</w:t>
        </w:r>
      </w:hyperlink>
    </w:p>
    <w:p>
      <w:pPr>
        <w:spacing w:before="0" w:after="80"/>
      </w:pPr>
      <w:r>
        <w:rPr>
          <w:i/>
          <w:sz w:val="20"/>
        </w:rPr>
        <w:t>EN: Data‐Driven Design of Self‐Assembled Monolayers for High‐Efficiency Perovskite Solar Cells</w:t>
      </w:r>
    </w:p>
    <w:p>
      <w:pPr>
        <w:spacing w:before="0" w:after="120"/>
      </w:pPr>
      <w:r>
        <w:rPr>
          <w:b/>
        </w:rPr>
        <w:t xml:space="preserve">Source: </w:t>
      </w:r>
      <w:r>
        <w:t>Wiley: Advanced Materials: Table of Contents</w:t>
      </w:r>
      <w:r>
        <w:t xml:space="preserve">    </w:t>
      </w:r>
      <w:r>
        <w:rPr>
          <w:b/>
        </w:rPr>
        <w:t xml:space="preserve">Pub date: </w:t>
      </w:r>
      <w:r>
        <w:t>2026-07-15 08:42:41+00:00</w:t>
      </w:r>
      <w:r>
        <w:t xml:space="preserve">    </w:t>
      </w:r>
      <w:r>
        <w:rPr>
          <w:b/>
        </w:rPr>
        <w:t xml:space="preserve">DOI: </w:t>
      </w:r>
      <w:hyperlink r:id="rId46">
        <w:r>
          <w:rPr>
            <w:color w:val="1155CC"/>
            <w:u w:val="single"/>
          </w:rPr>
          <w:t>10.1002/adma.74060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自组装单层（SAM）对于提高钙钛矿太阳能电池（PSC）的性能至关重要。然而，分子结构和器件效率之间错综复杂的联系阻碍了合理的 SAM 设计。在这里，我们引入了一种数据驱动策略，该策略利用已报告的 SAM 及其 PSC 效率的精选数据集，并将分子结构编码为三个不同的部分：锚定基团 - 连接基团 - 头基团。基于这种片段编码框架，我们的策略侧重于片段单元的重组，而不是不受约束的从头分子设计。在交叉验证的框架内使用集成学习和 SHapley Additive exPlanations (SHAP) 可解释性，我们将头部群体确定为主要的绩效驱动因素。这一见解通过重组从精选数据库中识别出的高价值片段来指导扩展分子库的构建。然后对该文库进行虚拟筛选，产生了具有最高预测效率的可合成的 SAM 分子，即 S1。实验验证表明，S1 在 NiO 上形成紧凑、有序的单层</w:t>
      </w:r>
      <w:r>
        <w:t xml:space="preserve"> </w:t>
      </w:r>
      <w:r>
        <w:t>x</w:t>
      </w:r>
      <w:r>
        <w:t xml:space="preserve"> </w:t>
      </w:r>
      <w:r>
        <w:t>，具有排列良好的 HOMO 能级和可优化电子耦合的强界面偶极子。因此，S1 能够实现缺陷钝化和空穴提取，实现 26.21% 的冠军功率转换效率。这项研究建立了一种机器学习范式，集成了基于片段的编码和可解释的人工智能，用于高性能数据驱动的界面优化</w:t>
      </w:r>
    </w:p>
    <w:p>
      <w:pPr>
        <w:spacing w:before="0" w:after="200" w:lineRule="auto" w:line="276"/>
      </w:pPr>
      <w:r>
        <w:rPr>
          <w:b/>
        </w:rPr>
        <w:t xml:space="preserve">Abstract (EN): </w:t>
      </w:r>
      <w:r>
        <w:t>Self‐assembled monolayers (SAMs) are pivotal for boosting the performance of perovskite solar cells (PSCs). Yet, the intricate link between molecular structure and device efficiency hinders rational SAM design. Here, we introduce a data‐driven strategy that leverages a curated dataset of reported SAMs and their PSC efficiencies, with molecular structures encoded into three distinct segments: anchor group–linker–head group. Based on this fragment‐encoding framework, our strategy focuses on the recombination of fragment units, rather than unconstrained de novo molecular design. Using ensemble learning and SHapley Additive exPlanations (SHAP) interpretability within a cross‐validated framework, we pinpointed the head group as the dominant performance driver. This insight guided the construction of an expanded molecular library by recombining high‐value fragments identified from the curated database. Virtual screening of this library then yielded a synthetically accessible SAM molecule with top‐predicted efficiency, namely S1. Experimental validation revealed that S1 forms a compact, ordered monolayer on NiO</w:t>
      </w:r>
      <w:r>
        <w:t xml:space="preserve"> </w:t>
      </w:r>
      <w:r>
        <w:t>x</w:t>
      </w:r>
      <w:r>
        <w:t xml:space="preserve"> </w:t>
      </w:r>
      <w:r>
        <w:t>, featuring a well‐aligned HOMO level and a strong interfacial dipole that optimizes electronic coupling. Consequently, S1 enables defect passivation and hole extraction, delivering a champion power conversion efficiency of 26.21%. This study establishes a machine learning paradigm, integrating fragment‐based encoding and explainable AI for data‐driven interface optimization in high‐performance PSCs.</w:t>
      </w:r>
    </w:p>
    <w:p>
      <w:pPr>
        <w:spacing w:before="120" w:after="120"/>
      </w:pPr>
      <w:r>
        <w:rPr>
          <w:sz w:val="18"/>
        </w:rPr>
        <w:t>——————————————————————————————————————————————————————————————————————</w:t>
      </w:r>
    </w:p>
    <w:p>
      <w:pPr>
        <w:spacing w:before="160" w:after="40" w:line="240" w:lineRule="auto"/>
      </w:pPr>
      <w:r>
        <w:rPr>
          <w:b/>
        </w:rPr>
        <w:t xml:space="preserve">[24] </w:t>
      </w:r>
      <w:hyperlink r:id="rId47">
        <w:r>
          <w:rPr>
            <w:color w:val="1155CC"/>
            <w:u w:val="single"/>
          </w:rPr>
          <w:t>吸附能差驱动合成具有定制暴露面的钙钛矿单晶</w:t>
        </w:r>
      </w:hyperlink>
    </w:p>
    <w:p>
      <w:pPr>
        <w:spacing w:before="0" w:after="80"/>
      </w:pPr>
      <w:r>
        <w:rPr>
          <w:i/>
          <w:sz w:val="20"/>
        </w:rPr>
        <w:t>EN: Adsorption Energy Difference‐Driven Synthesis of Perovskite Single Crystals With Tailored Exposed Facets</w:t>
      </w:r>
    </w:p>
    <w:p>
      <w:pPr>
        <w:spacing w:before="0" w:after="120"/>
      </w:pPr>
      <w:r>
        <w:rPr>
          <w:b/>
        </w:rPr>
        <w:t xml:space="preserve">Source: </w:t>
      </w:r>
      <w:r>
        <w:t>Wiley: Angewandte Chemie International Edition: Table of Contents</w:t>
      </w:r>
      <w:r>
        <w:t xml:space="preserve">    </w:t>
      </w:r>
      <w:r>
        <w:rPr>
          <w:b/>
        </w:rPr>
        <w:t xml:space="preserve">Pub date: </w:t>
      </w:r>
      <w:r>
        <w:t>2026-07-15 12:03:35+00:00</w:t>
      </w:r>
      <w:r>
        <w:t xml:space="preserve">    </w:t>
      </w:r>
      <w:r>
        <w:rPr>
          <w:b/>
        </w:rPr>
        <w:t xml:space="preserve">DOI: </w:t>
      </w:r>
      <w:hyperlink r:id="rId48">
        <w:r>
          <w:rPr>
            <w:color w:val="1155CC"/>
            <w:u w:val="single"/>
          </w:rPr>
          <w:t>10.1002/anie.1032601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定制暴露面的钙钛矿单晶的精确合成对于提高光电材料的性能至关重要。然而，控制制备具有不同暴露面的钙钛矿单晶具有挑战性，因为钙钛矿往往会生长热力学稳定的晶面，阻碍了对面依赖性光电特性的系统研究。在这里，我们首先实现了通过晶体惯态调节剂介导的配位竞争策略合成晶面特异性钙钛矿单晶，实现了从立方（100）到十二面体（110）晶面主导结构的形态控制。非热力学(110)面的形成机制源于晶习调节剂与(110)面之间的强配位，选择性地抑制(110)面的生长，最终产生以(110)面为主的单晶。光电表征揭示了不同的晶面相关特性，与 (100) 晶面相比，(110) 晶面表现出更高的缺陷密度。性能评估表明，（100）面中较低的缺陷密度可增强光电探测器的性能，而（110）面中较高的缺陷密度可提高光催化性能。这项研究建立了定制钙钛矿晶体面的新范例，并为设计高性能光电材料提供了基本见解。</w:t>
      </w:r>
    </w:p>
    <w:p>
      <w:pPr>
        <w:spacing w:before="0" w:after="200" w:lineRule="auto" w:line="276"/>
      </w:pPr>
      <w:r>
        <w:rPr>
          <w:b/>
        </w:rPr>
        <w:t xml:space="preserve">Abstract (EN): </w:t>
      </w:r>
      <w:r>
        <w:t>The precise synthesis of perovskite single crystals with tailored exposed facets is crucial for enhancing the performance of optoelectronic materials. However, the controlled preparation of perovskite single‐crystal with different exposed facets is challenging, because perovskite tends to grow thermodynamically stable crystal facets, hindering systematic investigations of facet‐dependent optoelectronic properties. Here, we first realized the synthesis of facet‐specific perovskite single crystals via a coordination competition strategy mediated by the crystal‐habit modifier, achieving morphological manipulation from cubic (100) to dodecahedral (110) facet‐dominant structures. The formation mechanism of non‐thermodynamic (110) facets originates from strong coordination between the crystal‐habit modifier and (110) facets, which selectively inhibits (110) facet growth and finally produces a (110) facet‐dominated single crystal. Optoelectronic characterization reveals distinct facet‐dependent properties, with (110) facets exhibiting higher defect density compared to (100) facets. Performance evaluations demonstrate that lower defect densities in (100) facets enhance photodetector performance, while the elevated defect densities in (110) facets improve photocatalytic performance. This study establishes a new paradigm for tailoring perovskite crystal facets and provides fundamental insights for designing high‐performance optoelectronic materials.</w:t>
      </w:r>
    </w:p>
    <w:p>
      <w:pPr>
        <w:spacing w:before="120" w:after="120"/>
      </w:pPr>
      <w:r>
        <w:rPr>
          <w:sz w:val="18"/>
        </w:rPr>
        <w:t>——————————————————————————————————————————————————————————————————————</w:t>
      </w:r>
    </w:p>
    <w:p>
      <w:pPr>
        <w:spacing w:before="160" w:after="40" w:line="240" w:lineRule="auto"/>
      </w:pPr>
      <w:r>
        <w:rPr>
          <w:b/>
        </w:rPr>
        <w:t xml:space="preserve">[25] </w:t>
      </w:r>
      <w:hyperlink r:id="rId49">
        <w:r>
          <w:rPr>
            <w:color w:val="1155CC"/>
            <w:u w:val="single"/>
          </w:rPr>
          <w:t>翼型二聚体受体的精确端基共轭位点异构化使有机太阳能电池的效率达到 20.32%</w:t>
        </w:r>
      </w:hyperlink>
    </w:p>
    <w:p>
      <w:pPr>
        <w:spacing w:before="0" w:after="80"/>
      </w:pPr>
      <w:r>
        <w:rPr>
          <w:i/>
          <w:sz w:val="20"/>
        </w:rPr>
        <w:t>EN: Precise End‐Group Conjugated‐Site Isomerization of Wing‐Typed Dimeric Acceptors Enables 20.32% Efficiency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2026-07-15 12:12:48+00:00</w:t>
      </w:r>
      <w:r>
        <w:t xml:space="preserve">    </w:t>
      </w:r>
      <w:r>
        <w:rPr>
          <w:b/>
        </w:rPr>
        <w:t xml:space="preserve">DOI: </w:t>
      </w:r>
      <w:hyperlink r:id="rId50">
        <w:r>
          <w:rPr>
            <w:color w:val="1155CC"/>
            <w:u w:val="single"/>
          </w:rPr>
          <w:t>10.1002/anie.1052031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异构化已被证明是优化光伏材料主链几何结构和提高有机太阳能电池（OSC）功率转换效率（PCE）的有效策略。然而，二聚体受体的精确异构化及其对光电和光伏性能的影响却很少研究。在此，开发了四种具有烷基化连接基的异构翼型二聚受体（称为 Dimer-1、Dimer-2、Dimer-3 和 Dimer-4），以研究端基的不同共轭位点（甲氧基取代的 EG1 和无甲氧基 EG2）如何操纵分子堆积和光电特性。其中，Dimer-2具有两个内部EG1和两个外部EG2基团，表现出优异的分子堆积、结晶度和光致发光性。因此，基于PM6:Dimer-2的OSC实现了15.12%的较高PCE，并且光电压和填充因子明显提高，这主要是由于其优化的形貌和减少的能量损失。在此成功的基础上，将 Dimer-2 引入经典的 PM6:BTP-eC9 和 D18:L8-BO 对中，以制备具有互补吸收和有利垂直相分布的三元系统，分别获得令人印象深刻的 20.06% 和 20.32% 的 PCE。值得注意的是，20.32% 的效率是具有非完全缀合二聚体受体的三元 OSC 中的最高值。这项工作表明，端基共轭位点的精确异构化是开发高性能二聚体受体和构建高效 OSC 的可行方法。</w:t>
      </w:r>
    </w:p>
    <w:p>
      <w:pPr>
        <w:spacing w:before="0" w:after="200" w:lineRule="auto" w:line="276"/>
      </w:pPr>
      <w:r>
        <w:rPr>
          <w:b/>
        </w:rPr>
        <w:t xml:space="preserve">Abstract (EN): </w:t>
      </w:r>
      <w:r>
        <w:t>Molecular isomerization has been proven as an effective strategy to optimize the backbone geometry of photovoltaic materials and improve power‐conversion‐efficiency (PCE) of organic solar cells (OSCs). However, the precise isomerization of dimeric acceptors and their effect on optoelectronic and photovoltaic properties have been rarely studied. Herein, four isomeric wing‐typed dimeric acceptors (named Dimer‐1, Dimer‐2, Dimer‐3, and Dimer‐4) with an alkylated linker are developed to investigate how different conjugated‐sites of end‐groups (methoxy‐substituted EG1 and methoxy‐free EG2) manipulate molecular packing and optoelectronic properties. Among them, Dimer‐2, with two inside EG1 and two outside EG2 groups, show superior molecular packing, crystallinity, and photoluminescence. Therefore, the PM6:Dimer‐2‐based OSC achieves a higher PCE of 15.12% with obviously boosted photovoltage and fill factor, mainly due to its optimized morphology and reduced energy loss. Building on this success, Dimer‐2 is introduced into the classic PM6:BTP‐eC9 and D18:L8‐BO pairs to prepare ternary systems with complementary absorption and favorable vertical phase distribution, leading to impressive PCEs of 20.06% and 20.32%, respectively. Notably, 20.32% efficiency is the highest value among ternary OSCs with non‐fully conjugated dimeric acceptors. This work indicates that the precise isomerization of end‐group conjugated‐sites is a feasible approach to developing high‐performance dimeric acceptors and constructing efficient OSCs.</w:t>
      </w:r>
    </w:p>
    <w:p>
      <w:pPr>
        <w:spacing w:before="120" w:after="120"/>
      </w:pPr>
      <w:r>
        <w:rPr>
          <w:sz w:val="18"/>
        </w:rPr>
        <w:t>——————————————————————————————————————————————————————————————————————</w:t>
      </w:r>
    </w:p>
    <w:p>
      <w:pPr>
        <w:spacing w:before="160" w:after="40" w:line="240" w:lineRule="auto"/>
      </w:pPr>
      <w:r>
        <w:rPr>
          <w:b/>
        </w:rPr>
        <w:t xml:space="preserve">[26] </w:t>
      </w:r>
      <w:hyperlink r:id="rId51">
        <w:r>
          <w:rPr>
            <w:color w:val="1155CC"/>
            <w:u w:val="single"/>
          </w:rPr>
          <w:t>钙钛矿太阳能电池中的双向化学机械界面稳定</w:t>
        </w:r>
      </w:hyperlink>
    </w:p>
    <w:p>
      <w:pPr>
        <w:spacing w:before="0" w:after="80"/>
      </w:pPr>
      <w:r>
        <w:rPr>
          <w:i/>
          <w:sz w:val="20"/>
        </w:rPr>
        <w:t>EN: Bidirectional Chemo-Mechanical Interface Stabilization in Perovskite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52">
        <w:r>
          <w:rPr>
            <w:color w:val="1155CC"/>
            <w:u w:val="single"/>
          </w:rPr>
          <w:t>10.1021/jacs.6c06932</w:t>
        </w:r>
      </w:hyperlink>
    </w:p>
    <w:p>
      <w:pPr>
        <w:spacing w:before="0" w:after="120"/>
      </w:pPr>
      <w:r>
        <w:rPr>
          <w:b/>
        </w:rPr>
        <w:t xml:space="preserve">Notes: </w:t>
      </w:r>
      <w:r>
        <w:t>abstract_source=pubmed</w:t>
      </w:r>
    </w:p>
    <w:p>
      <w:pPr>
        <w:spacing w:before="0" w:after="80" w:lineRule="auto" w:line="276"/>
      </w:pPr>
      <w:r>
        <w:rPr>
          <w:b/>
        </w:rPr>
        <w:t xml:space="preserve">摘要（ZH）: </w:t>
      </w:r>
      <w:r>
        <w:t>钙钛矿太阳能电池（PSC）中不同层之间的界面结构容易同时发生横向（面内）化学聚集和垂直（面外）机械分层。这个问题严重影响了PSC中的长期光电过程，并且尚未得到全面解决。在此，我们引入了1,3,6,8-芘四磺酸四钠盐（PTS）的超薄界面层，以在分子水平上稳定钙钛矿/C60界面。 PTS 分子中的磺酸基团锚定在钙钛矿界面上，而平行排列的芘核心与 C60 分子建立了强大的 π-π 相互作用。重建的界面增强了界面粘附力并限制了 C60 分子的迁移率，从而在钙钛矿/C60 界面上实现了双向化学机械界面稳定 (BCIS) 机制。由此产生的 PSC 的功率转换效率 (PCE) 高达 26.53%，在 1000 小时最大功率点跟踪 (ISOS-L-1l) 后显示出 96% 的 PCE 保留率，在 300 次热循环后显示出 91% 的 PCE 保留率（-40 至 85 °C，IEC61215 MQT11）。 PTS 处理的可扩展性通过使用工业兼容制造工艺在 55% 相对湿度 (RH) 下生产的 818 cm2（孔径面积）钙钛矿太阳能模块 (PSM) 得到证明，其 PCE 超过 20%。这项工作强调双向界面工程是推进商业上可行的钙钛矿光伏发电的关键策略。</w:t>
      </w:r>
    </w:p>
    <w:p>
      <w:pPr>
        <w:spacing w:before="0" w:after="200" w:lineRule="auto" w:line="276"/>
      </w:pPr>
      <w:r>
        <w:rPr>
          <w:b/>
        </w:rPr>
        <w:t xml:space="preserve">Abstract (EN): </w:t>
      </w:r>
      <w:r>
        <w:t>The interface structures between dissimilar layers in perovskite solar cells (PSCs) are prone to the concurrent occurrence of lateral (in-plane) chemical aggregation and vertical (out-of-plane) mechanical delamination. This issue severely affects long-term optoelectronic processes in PSCs, and it has not been addressed holistically. Herein, we introduce an ultrathin interfacial layer of 1,3,6,8-pyrenetetrasulfonic tetrasodium salt (PTS) to stabilize the perovskite/C60 interface at the molecular level. The sulfonate groups in PTS molecules anchor to the perovskite interface, while the parallelly aligned pyrene cores establish robust π-π interactions with C60 molecules. The reconstructed interface enhances the interfacial adhesion and restricts the mobility of C60 molecules, enabling a bidirectional chemo-mechanical interface stabilization (BCIS) mechanism at the perovskite/C60 interface. The resultant PSCs deliver power conversion efficiencies (PCEs) of up to 26.53%, showing 96% PCE retention after 1,000 h maximum-power-point tracking (ISOS-L-1l), and 91% PCE retention after 300 thermal cycles (-40 to 85 °C, IEC61215 MQT11). The scalability of PTS treatment is demonstrated by the 818 cm2 (aperture area) perovskite solar modules (PSMs) with PCEs over 20% using industrial-compatible manufacturing processes under 55% relative humidity (RH). This work underscores bidirectional interface engineering as a critical strategy for advancing commercially viable perovskite photovoltaics.</w:t>
      </w:r>
    </w:p>
    <w:p>
      <w:pPr>
        <w:spacing w:before="120" w:after="120"/>
      </w:pPr>
      <w:r>
        <w:rPr>
          <w:sz w:val="18"/>
        </w:rPr>
        <w:t>——————————————————————————————————————————————————————————————————————</w:t>
      </w:r>
    </w:p>
    <w:p>
      <w:pPr>
        <w:spacing w:before="160" w:after="40" w:line="240" w:lineRule="auto"/>
      </w:pPr>
      <w:r>
        <w:rPr>
          <w:b/>
        </w:rPr>
        <w:t xml:space="preserve">[27] </w:t>
      </w:r>
      <w:hyperlink r:id="rId53">
        <w:r>
          <w:rPr>
            <w:color w:val="1155CC"/>
            <w:u w:val="single"/>
          </w:rPr>
          <w:t>屋顶光伏和能源公平：量化城市能源转型中的社会能源权衡</w:t>
        </w:r>
      </w:hyperlink>
    </w:p>
    <w:p>
      <w:pPr>
        <w:spacing w:before="0" w:after="80"/>
      </w:pPr>
      <w:r>
        <w:rPr>
          <w:i/>
          <w:sz w:val="20"/>
        </w:rPr>
        <w:t>EN: Rooftop photovoltaics and energy equity: quantifying socio-energy trade-offs in urban energy transitions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54">
        <w:r>
          <w:rPr>
            <w:color w:val="1155CC"/>
            <w:u w:val="single"/>
          </w:rPr>
          <w:t>咔唑的顶部界面分子工程可减轻混合卤化物钙钛矿太阳能电池中的相分离</w:t>
        </w:r>
      </w:hyperlink>
    </w:p>
    <w:p>
      <w:pPr>
        <w:spacing w:before="0" w:after="80"/>
      </w:pPr>
      <w:r>
        <w:rPr>
          <w:i/>
          <w:sz w:val="20"/>
        </w:rPr>
        <w:t>EN: Top-Interface Molecular Engineering with Carbazoles Mitigates Phase Segregation in Mixed-Halide Perovskite Solar Cells</w:t>
      </w:r>
    </w:p>
    <w:p>
      <w:pPr>
        <w:spacing w:before="0" w:after="120"/>
      </w:pPr>
      <w:r>
        <w:rPr>
          <w:b/>
        </w:rPr>
        <w:t xml:space="preserve">Source: </w:t>
      </w:r>
      <w:r>
        <w:t>ACS Energy Letters: Latest Articles (ACS Publications)</w:t>
      </w:r>
      <w:r>
        <w:t xml:space="preserve">    </w:t>
      </w:r>
      <w:r>
        <w:rPr>
          <w:b/>
        </w:rPr>
        <w:t xml:space="preserve">Pub date: </w:t>
      </w:r>
      <w:r>
        <w:t>2026-07-16 00:00:00+00:00</w:t>
      </w:r>
      <w:r>
        <w:t xml:space="preserve">    </w:t>
      </w:r>
      <w:r>
        <w:rPr>
          <w:b/>
        </w:rPr>
        <w:t xml:space="preserve">DOI: </w:t>
      </w:r>
      <w:hyperlink r:id="rId55">
        <w:r>
          <w:rPr>
            <w:color w:val="1155CC"/>
            <w:u w:val="single"/>
          </w:rPr>
          <w:t>10.1021/acsenergylett.6c01666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56">
        <w:r>
          <w:rPr>
            <w:color w:val="1155CC"/>
            <w:u w:val="single"/>
          </w:rPr>
          <w:t>通过 A 位 MA 阳离子均匀化 Sn-Pb 分布，实现高效全钙钛矿串联太阳能电池</w:t>
        </w:r>
      </w:hyperlink>
    </w:p>
    <w:p>
      <w:pPr>
        <w:spacing w:before="0" w:after="80"/>
      </w:pPr>
      <w:r>
        <w:rPr>
          <w:i/>
          <w:sz w:val="20"/>
        </w:rPr>
        <w:t>EN: Homogenizing Sn–Pb Distribution Through A‐Site MA Cations for Efficient All‐Perovskite Tandem Solar Cells</w:t>
      </w:r>
    </w:p>
    <w:p>
      <w:pPr>
        <w:spacing w:before="0" w:after="120"/>
      </w:pPr>
      <w:r>
        <w:rPr>
          <w:b/>
        </w:rPr>
        <w:t xml:space="preserve">Source: </w:t>
      </w:r>
      <w:r>
        <w:t>Wiley: Advanced Materials: Table of Contents</w:t>
      </w:r>
      <w:r>
        <w:t xml:space="preserve">    </w:t>
      </w:r>
      <w:r>
        <w:rPr>
          <w:b/>
        </w:rPr>
        <w:t xml:space="preserve">Pub date: </w:t>
      </w:r>
      <w:r>
        <w:t>2026-07-16 05:51:21+00:00</w:t>
      </w:r>
      <w:r>
        <w:t xml:space="preserve">    </w:t>
      </w:r>
      <w:r>
        <w:rPr>
          <w:b/>
        </w:rPr>
        <w:t xml:space="preserve">DOI: </w:t>
      </w:r>
      <w:hyperlink r:id="rId57">
        <w:r>
          <w:rPr>
            <w:color w:val="1155CC"/>
            <w:u w:val="single"/>
          </w:rPr>
          <w:t>10.1002/adma.74078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混合锡铅 (Sn-Pb) 钙钛矿对于高效串联太阳能电池至关重要，通常采用以甲脒 (FA) 为主的组合物和少量 MA。然而，这种 A 位混合对混合 Sn-Pb 钙钛矿性能的调节作用仍未得到充分探索。这项工作表明，设计混合 Sn-Pb 钙钛矿形成的热力学景观可以同时调节相均匀性和缺陷化学。通过可控地掺入甲基铵 (MA) 阳离子，可以调节结晶动力学，以促进均匀成核、抑制 Sn-Pb 相偏析并抑制 Sn</w:t>
      </w:r>
      <w:r>
        <w:t xml:space="preserve"> </w:t>
      </w:r>
      <w:r>
        <w:t>2+</w:t>
      </w:r>
      <w:r>
        <w:t xml:space="preserve"> </w:t>
      </w:r>
      <w:r>
        <w:t>氧化，从而减少非辐射复合损失。结果，混合锡铅钙钛矿太阳能电池获得了 23.90% 的认证功率转换效率 (PCE)。通过改善成分均匀性和抑制缺陷密度，优化的锡铅吸收器进一步集成到两端单片全钙钛矿串联器件中，PCE 为 30.13%（认证为 29.57%）。在模拟单太阳光照下，最大功率点运行 495 小时后，未封装的串联器件仍保持其初始 PCE 的 90%。</w:t>
      </w:r>
    </w:p>
    <w:p>
      <w:pPr>
        <w:spacing w:before="0" w:after="200" w:lineRule="auto" w:line="276"/>
      </w:pPr>
      <w:r>
        <w:rPr>
          <w:b/>
        </w:rPr>
        <w:t xml:space="preserve">Abstract (EN): </w:t>
      </w:r>
      <w:r>
        <w:t>Mixed tin–lead (Sn–Pb) perovskites are essential for high‐efficiency tandem solar cells, typically employing a formamidinium (FA)‐dominated composition with a small amount of MA. However, the regulatory role of such A‐site mixing on mixed Sn–Pb perovskite properties remains underexplored. This work demonstrates that engineering the thermodynamic landscape of mixed Sn–Pb perovskite formation enables simultaneous regulation of phase homogeneity and defect chemistry. By controllably incorporating methylammonium (MA) cations, the crystallization kinetics are modulated to promote uniform nucleation, suppress Sn–Pb phase segregation, and inhibit Sn</w:t>
      </w:r>
      <w:r>
        <w:t xml:space="preserve"> </w:t>
      </w:r>
      <w:r>
        <w:t>2+</w:t>
      </w:r>
      <w:r>
        <w:t xml:space="preserve"> </w:t>
      </w:r>
      <w:r>
        <w:t>oxidation, thereby mitigating non‐radiative recombination losses. As a result, mix tin–lead perovskite solar cells achieved a certified power conversion efficiency (PCE) of 23.90%. By leveraging the improved compositional homogeneity and suppressed defect density, the optimized tin–lead absorber is further integrated into two‐terminal monolithic all‐perovskite tandem devices, delivering a PCE of 30.13% (certified 29.57%). The unencapsulated tandem devices maintained 90% of its initial PCE after 495 h of maximum power point operation under simulated one‐sun illumination.</w:t>
      </w:r>
    </w:p>
    <w:p>
      <w:pPr>
        <w:spacing w:before="120" w:after="120"/>
      </w:pPr>
      <w:r>
        <w:rPr>
          <w:sz w:val="18"/>
        </w:rPr>
        <w:t>——————————————————————————————————————————————————————————————————————</w:t>
      </w:r>
    </w:p>
    <w:p>
      <w:pPr>
        <w:spacing w:before="160" w:after="40" w:line="240" w:lineRule="auto"/>
      </w:pPr>
      <w:r>
        <w:rPr>
          <w:b/>
        </w:rPr>
        <w:t xml:space="preserve">[30] </w:t>
      </w:r>
      <w:hyperlink r:id="rId58">
        <w:r>
          <w:rPr>
            <w:color w:val="1155CC"/>
            <w:u w:val="single"/>
          </w:rPr>
          <w:t>环境可扩展钙钛矿光伏电池的时空均匀结晶</w:t>
        </w:r>
      </w:hyperlink>
    </w:p>
    <w:p>
      <w:pPr>
        <w:spacing w:before="0" w:after="80"/>
      </w:pPr>
      <w:r>
        <w:rPr>
          <w:i/>
          <w:sz w:val="20"/>
        </w:rPr>
        <w:t>EN: Spatiotemporally homogeneous crystallization for ambient scalable perovskite photovoltaics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59">
        <w:r>
          <w:rPr>
            <w:color w:val="1155CC"/>
            <w:u w:val="single"/>
          </w:rPr>
          <w:t>10.1126/science.aef1969</w:t>
        </w:r>
      </w:hyperlink>
    </w:p>
    <w:p>
      <w:pPr>
        <w:spacing w:before="0" w:after="120"/>
      </w:pPr>
      <w:r>
        <w:rPr>
          <w:b/>
        </w:rPr>
        <w:t xml:space="preserve">Notes: </w:t>
      </w:r>
      <w:r>
        <w:t>abstract_source=crossref</w:t>
      </w:r>
    </w:p>
    <w:p>
      <w:pPr>
        <w:spacing w:before="0" w:after="80" w:lineRule="auto" w:line="276"/>
      </w:pPr>
      <w:r>
        <w:rPr>
          <w:b/>
        </w:rPr>
        <w:t xml:space="preserve">摘要（ZH）: </w:t>
      </w:r>
      <w:r>
        <w:t>钙钛矿太阳能电池（PSC）的商业化可能需要在环境条件下大规模沉积均质钙钛矿薄膜。然而，亚稳态钙钛矿在长时间涂覆过程中的空间异质降解导致不均匀性。在这里，我们证明了 α 相 FAPbI 的时空均匀结晶</w:t>
      </w:r>
      <w:r>
        <w:rPr>
          <w:vertAlign w:val="subscript"/>
        </w:rPr>
        <w:t>3</w:t>
      </w:r>
      <w:r>
        <w:t>（其中 FA 是甲脒）通过锁相策略实现，该策略在大面积打印过程中建立动态演变的水分缓冲颗粒间网络。这种方法可以防止环境湿度引起的过早降解，消除方向不均匀性。刀片涂层PSC实现了26.7%的功率转换效率（PCE；认证为26.1%），刚性和柔性100平方厘米组件分别达到21.5%和19.5%。改善的形态均匀性减轻了局部降解并抑制了自我放大的老化途径。在环境空气中进行 85°C 最大功率点跟踪 1500 小时后，封装器件仍保留了 90% 以上的初始 PCE。</w:t>
      </w:r>
    </w:p>
    <w:p>
      <w:pPr>
        <w:spacing w:before="0" w:after="200" w:lineRule="auto" w:line="276"/>
      </w:pPr>
      <w:r>
        <w:rPr>
          <w:b/>
        </w:rPr>
        <w:t xml:space="preserve">Abstract (EN): </w:t>
      </w:r>
      <w:r>
        <w:t>Commercializing perovskite solar cells (PSCs) will likely require the scalable deposition of homogeneous perovskite films under ambient conditions. However, the spatially heterogeneous degradation of metastable perovskites during prolonged coating leads to nonuniformity. Here, we demonstrate spatiotemporally homogeneous crystallization of α-phase FAPbI</w:t>
      </w:r>
      <w:r>
        <w:rPr>
          <w:vertAlign w:val="subscript"/>
        </w:rPr>
        <w:t>3</w:t>
      </w:r>
      <w:r>
        <w:t>(where FA is formamidinium) enabled by a phase-locking strategy that establishes a dynamically evolving, moisture-buffering intergranular network during large-area printing. This method prevents the premature degradation caused by ambient humidity, eliminating directional inhomogeneity. Blade-coated PSCs achieved a 26.7% power conversion efficiency (PCE; 26.1% certified), and rigid and flexible 100-square-centimeter modules reached 21.5 and 19.5%, respectively. Improved morphological homogeneity mitigated localized degradation and suppressed self-amplifying aging pathways. Encapsulated devices retained more than 90% of their initial PCE after 1500 hours of 85°C maximum power point tracking in ambient air.</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60">
        <w:r>
          <w:rPr>
            <w:color w:val="1155CC"/>
            <w:u w:val="single"/>
          </w:rPr>
          <w:t>通过钠离子电池瞬态热处理对空气降解的层状氧化物阴极进行非平衡恢复</w:t>
        </w:r>
      </w:hyperlink>
    </w:p>
    <w:p>
      <w:pPr>
        <w:spacing w:before="0" w:after="80"/>
      </w:pPr>
      <w:r>
        <w:rPr>
          <w:i/>
          <w:sz w:val="20"/>
        </w:rPr>
        <w:t>EN: Nonequilibrium Restoration of Air-Degraded Layered Oxide Cathodes via Transient Thermal Processing for Sodium-Ion Batteries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61">
        <w:r>
          <w:rPr>
            <w:color w:val="1155CC"/>
            <w:u w:val="single"/>
          </w:rPr>
          <w:t>10.1021/acsenergylett.6c01871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62">
        <w:r>
          <w:rPr>
            <w:color w:val="1155CC"/>
            <w:u w:val="single"/>
          </w:rPr>
          <w:t>调节 Fe-N-C 中的初级壳氮以增强硫氧化还原电催化</w:t>
        </w:r>
      </w:hyperlink>
    </w:p>
    <w:p>
      <w:pPr>
        <w:spacing w:before="0" w:after="80"/>
      </w:pPr>
      <w:r>
        <w:rPr>
          <w:i/>
          <w:sz w:val="20"/>
        </w:rPr>
        <w:t>EN: Tuning primary shell nitrogen in Fe–N–C for enhanced sulfur redox electrocatalysis</w:t>
      </w:r>
    </w:p>
    <w:p>
      <w:pPr>
        <w:spacing w:before="0" w:after="120"/>
      </w:pPr>
      <w:r>
        <w:rPr>
          <w:b/>
        </w:rPr>
        <w:t xml:space="preserve">Source: </w:t>
      </w:r>
      <w:r>
        <w:t>National Science Review Advance Access</w:t>
      </w:r>
      <w:r>
        <w:t xml:space="preserve">    </w:t>
      </w:r>
      <w:r>
        <w:rPr>
          <w:b/>
        </w:rPr>
        <w:t xml:space="preserve">Pub date: </w:t>
      </w:r>
      <w:r>
        <w:t>2026-07-13 00:00:00+00:00</w:t>
      </w:r>
      <w:r>
        <w:t xml:space="preserve">    </w:t>
      </w:r>
      <w:r>
        <w:rPr>
          <w:b/>
        </w:rPr>
        <w:t xml:space="preserve">DOI: </w:t>
      </w:r>
      <w:hyperlink r:id="rId63">
        <w:r>
          <w:rPr>
            <w:color w:val="1155CC"/>
            <w:u w:val="single"/>
          </w:rPr>
          <w:t>10.1093/nsr/nwag433</w:t>
        </w:r>
      </w:hyperlink>
    </w:p>
    <w:p>
      <w:pPr>
        <w:spacing w:before="0" w:after="120"/>
      </w:pPr>
      <w:r>
        <w:rPr>
          <w:b/>
        </w:rPr>
        <w:t xml:space="preserve">Notes: </w:t>
      </w:r>
      <w:r>
        <w:t>abstract_source=rss_oup</w:t>
      </w:r>
    </w:p>
    <w:p>
      <w:pPr>
        <w:spacing w:before="0" w:after="80" w:lineRule="auto" w:line="276"/>
      </w:pPr>
      <w:r>
        <w:rPr>
          <w:b/>
        </w:rPr>
        <w:t xml:space="preserve">摘要（ZH）: </w:t>
      </w:r>
      <w:r>
        <w:t>锂硫（Li-S）电池具有高能量密度，但受到缓慢的硫氧化还原动力学和多硫化物穿梭效应的限制，导致倍率性能差和容量快速衰减。电催化已成为加速多硫化物转化和提高电池性能的有效策略。在各种电催化剂中，金属-氮-碳催化剂被认为特别有吸引力。众所周知，金属-氮-碳材料中的配位环境和氮物种（例如吡啶或吡咯氮）的类型可以深刻地影响其催化活性。然而，这些不同的配体结构和硫氧化还原机制之间的潜在关系仍然难以捉摸。在此，我们报告了一项系统研究，通过精确调节的初级壳层配位环境，特别是吡啶-N（Npd）和吡咯-N（Npl），建立了硫氧化还原活性与Fe-N-C位点之间的关系。综合理论模拟和实验分析表明，与吡咯-N相比，吡啶-N配位表现出较低的Li吸附自由能，并且使Fe-Npd-SAC催化剂的d带中心更接近费米能级。这种电子结构调节增强了硫氧化还原动力学。因此，优化的吡啶 Fe-Npd-SAC 电极具有良好的电化学性能，在硫负载量为 7.2 mg cm-2 时，比容量达到 1265 mAh g-1，容量衰减为 –2。这些发现阐明了根本原因</w:t>
      </w:r>
    </w:p>
    <w:p>
      <w:pPr>
        <w:spacing w:before="0" w:after="200" w:lineRule="auto" w:line="276"/>
      </w:pPr>
      <w:r>
        <w:rPr>
          <w:b/>
        </w:rPr>
        <w:t xml:space="preserve">Abstract (EN): </w:t>
      </w:r>
      <w:r>
        <w:t>Lithium-sulfur (Li–S) batteries promise high energy density but are limited by sluggish sulfur redox kinetics and polysulfide shuttling effect, which lead to poor rate performance and rapid capacity fading. Electrocatalysis has emerged as an effective strategy to accelerate the conversion of polysulfides and improve battery performance. Among various electrocatalysts, metal–nitrogen–carbon catalysts are considered particularly appealing. It is well-recognized that coordination environment and the type of nitrogen species (e.g., pyridinic or pyrrolic nitrogen) in metal–nitrogen–carbon materials can profoundly influence their catalytic activity. However, the underlying relationship between these different ligand structures and the sulfur redox mechanism remains elusive. Herein, we report a systematic study establishing the relationship between sulfur redox activity and the Fe–N–C sites with precisely regulated primary-shell coordination environments, specifically pyridinic-N (Npd) and pyrrolic-N (Npl). Comprehensive theoretical simulations and experimental analyses reveal that pyridinic-N coordination exhibits a lower free energy for Li adsorption and positions the d-band center of the Fe-Npd-SAC catalyst closer to the Fermi level compared to pyrrolic-N. This electronic structure modulation enhances the sulfur redox kinetics. As a result, the optimized pyridinic Fe-Npd-SAC electrode delivers favorable electrochemical performance, achieving a specific capacity of 1265 mAh g–1 with a capacity fading of –2 at a sulfur loading of 7.2 mg cm–2. These findings elucidate the underlying role of first-shell nitrogen coordination in accelerating sulfur redox kinetics, offering insights into the rational construction of practical Li–S batteries.</w:t>
      </w:r>
    </w:p>
    <w:p>
      <w:pPr>
        <w:spacing w:before="120" w:after="120"/>
      </w:pPr>
      <w:r>
        <w:rPr>
          <w:sz w:val="18"/>
        </w:rPr>
        <w:t>——————————————————————————————————————————————————————————————————————</w:t>
      </w:r>
    </w:p>
    <w:p>
      <w:pPr>
        <w:spacing w:before="160" w:after="40" w:line="240" w:lineRule="auto"/>
      </w:pPr>
      <w:r>
        <w:rPr>
          <w:b/>
        </w:rPr>
        <w:t xml:space="preserve">[3] </w:t>
      </w:r>
      <w:hyperlink r:id="rId64">
        <w:r>
          <w:rPr>
            <w:color w:val="1155CC"/>
            <w:u w:val="single"/>
          </w:rPr>
          <w:t>通过机器学习模型对高镍氧化物阴极热失控指标进行定量分析和预测</w:t>
        </w:r>
      </w:hyperlink>
    </w:p>
    <w:p>
      <w:pPr>
        <w:spacing w:before="0" w:after="80"/>
      </w:pPr>
      <w:r>
        <w:rPr>
          <w:i/>
          <w:sz w:val="20"/>
        </w:rPr>
        <w:t>EN: Quantitative Analysis and Prediction of Thermal Runaway Metrics of High-Nickel Oxide Cathodes by Machine Learning Models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65">
        <w:r>
          <w:rPr>
            <w:color w:val="1155CC"/>
            <w:u w:val="single"/>
          </w:rPr>
          <w:t>10.1021/acsenergylett.6c01671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66">
        <w:r>
          <w:rPr>
            <w:color w:val="1155CC"/>
            <w:u w:val="single"/>
          </w:rPr>
          <w:t>通过原位同步加速器 X 射线吸收光谱实时监测全固态锂硫电池的多相演化</w:t>
        </w:r>
      </w:hyperlink>
    </w:p>
    <w:p>
      <w:pPr>
        <w:spacing w:before="0" w:after="80"/>
      </w:pPr>
      <w:r>
        <w:rPr>
          <w:i/>
          <w:sz w:val="20"/>
        </w:rPr>
        <w:t>EN: Real-Time Monitoring of Multiphase Evolution in All-Solid-State Li–S Batteries via In-Situ Synchrotron X-ray Absorption Spectroscopy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67">
        <w:r>
          <w:rPr>
            <w:color w:val="1155CC"/>
            <w:u w:val="single"/>
          </w:rPr>
          <w:t>10.1021/acsami.6c10664</w:t>
        </w:r>
      </w:hyperlink>
    </w:p>
    <w:p>
      <w:pPr>
        <w:spacing w:before="0" w:after="120"/>
      </w:pPr>
      <w:r>
        <w:rPr>
          <w:b/>
        </w:rPr>
        <w:t xml:space="preserve">Notes: </w:t>
      </w:r>
      <w:r>
        <w:t>abstract_source=pubmed</w:t>
      </w:r>
    </w:p>
    <w:p>
      <w:pPr>
        <w:spacing w:before="0" w:after="80" w:lineRule="auto" w:line="276"/>
      </w:pPr>
      <w:r>
        <w:rPr>
          <w:b/>
        </w:rPr>
        <w:t xml:space="preserve">摘要（ZH）: </w:t>
      </w:r>
      <w:r>
        <w:t>全固态锂硫电池（ASSLSB）可以克服多硫化物穿梭问题，为下一代储能提供经济、高能量密度的解决方案。然而，由于复杂的多相演化，其固相反应机理仍不清楚，很难使用现有的操作方法进行分析。在这里，我们设计了一种原位电池，可在实际条件下实现实时硫 K 边 X 射线吸收光谱。同时，为了解决光谱分析的复杂性，我们引入了一种结合主成分分析和约束优化的混合方法，尽管峰重叠严重，但仍允许稳健的定量光谱反卷积。我们的结果揭示了一个两步放电途径：硫直接还原为 Li2S2，然后还原为 Li2S。此外，我们发现P2S5添加剂可以与Li2S原位反应形成固体电解质Li3PS4，增强离子传导并促进更完全的放电。这项工作建立了电化学过程中多相演化实时分析的通用框架，并阐明了 ASSLSB 中的硫氧化还原机制。</w:t>
      </w:r>
    </w:p>
    <w:p>
      <w:pPr>
        <w:spacing w:before="0" w:after="200" w:lineRule="auto" w:line="276"/>
      </w:pPr>
      <w:r>
        <w:rPr>
          <w:b/>
        </w:rPr>
        <w:t xml:space="preserve">Abstract (EN): </w:t>
      </w:r>
      <w:r>
        <w:t>All-solid-state lithium-sulfur batteries (ASSLSBs) can overcome polysulfide shuttle problem and offer an economic, high-energy-density solution for next-generation energy storage. However, its solid-phase reaction mechanism remains unclear due to complex multiphase evolution, which is difficult to analyze using existing operando methods. Here, we design an in-situ cell enabling real-time sulfur K-edge X-ray absorption spectroscopy under practical conditions. Meanwhile, to address the complexity in spectra analysis, we introduce a hybrid method combining principal component analysis and constrained optimization, allowing robust quantitative spectral deconvolution despite severe peak overlap. Our results reveal a two-step discharge pathway: sulfur directly reduces to Li2S2 and then to Li2S. Additionally, we found that a P2S5 additive can react in-situ with Li2S to form the solid electrolyte Li3PS4, enhancing ionic conduction and promoting more complete discharge. This work establishes a general framework for real-time analysis of multiphase evolution during an electrochemical process and elucidates sulfur redox mechanisms in ASSLSBs.</w:t>
      </w:r>
    </w:p>
    <w:p>
      <w:pPr>
        <w:spacing w:before="120" w:after="120"/>
      </w:pPr>
      <w:r>
        <w:rPr>
          <w:sz w:val="18"/>
        </w:rPr>
        <w:t>——————————————————————————————————————————————————————————————————————</w:t>
      </w:r>
    </w:p>
    <w:p>
      <w:pPr>
        <w:spacing w:before="160" w:after="40" w:line="240" w:lineRule="auto"/>
      </w:pPr>
      <w:r>
        <w:rPr>
          <w:b/>
        </w:rPr>
        <w:t xml:space="preserve">[5] </w:t>
      </w:r>
      <w:hyperlink r:id="rId68">
        <w:r>
          <w:rPr>
            <w:color w:val="1155CC"/>
            <w:u w:val="single"/>
          </w:rPr>
          <w:t>调节卟啉基 COF 以实现水性锌碘电池中的高碘负载和高效氧化还原动力学</w:t>
        </w:r>
      </w:hyperlink>
    </w:p>
    <w:p>
      <w:pPr>
        <w:spacing w:before="0" w:after="80"/>
      </w:pPr>
      <w:r>
        <w:rPr>
          <w:i/>
          <w:sz w:val="20"/>
        </w:rPr>
        <w:t>EN: Tuning Porphyrin-Based COFs for High Iodine Loading and Efficient Redox Kinetics in Aqueous Zinc–Iodine Batteries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69">
        <w:r>
          <w:rPr>
            <w:color w:val="1155CC"/>
            <w:u w:val="single"/>
          </w:rPr>
          <w:t>10.1021/acsami.6c08079</w:t>
        </w:r>
      </w:hyperlink>
    </w:p>
    <w:p>
      <w:pPr>
        <w:spacing w:before="0" w:after="120"/>
      </w:pPr>
      <w:r>
        <w:rPr>
          <w:b/>
        </w:rPr>
        <w:t xml:space="preserve">Notes: </w:t>
      </w:r>
      <w:r>
        <w:t>abstract_source=pubmed</w:t>
      </w:r>
    </w:p>
    <w:p>
      <w:pPr>
        <w:spacing w:before="0" w:after="80" w:lineRule="auto" w:line="276"/>
      </w:pPr>
      <w:r>
        <w:rPr>
          <w:b/>
        </w:rPr>
        <w:t xml:space="preserve">摘要（ZH）: </w:t>
      </w:r>
      <w:r>
        <w:t>水性锌碘电池 (AZIB) 的性能历来受到碘渗透不良和 I2 阴极反应动力学缓慢的限制。为了解决这些问题，开发一种能够实现高碘负载和快速氧化还原动力学的有效阴极主体已成为该领域的关键挑战。在这项研究中，合成了一种基于卟啉的共价有机框架（COF366），其具有可调节的壁内官能团，作为碘主体。 COF366 的羟基官能化版本（命名为 COF366-OH）表现出 52 wt% 的显着碘负载能力。这种高比率可归因于多种机制的结合，包括碘的物理限制以及与框架的有利的路易斯酸碱相互作用。这些相互作用产生的协同作用不仅改善了碘的固定，而且减少了电压极化并加速了氧化还原转化过程。结果，COF366-OH/I2 正极在 500 次循环后表现出令人印象深刻的比容量 157 mAh g-1。该性能超越了原始 COF366，凸显了倍率性能和循环稳定性的显着改进。原位拉曼光谱分析表明，I5-是放电过程中形成的主要氧化产物，这与COF366-OH和I5-之间观察到的强结合能一致。这种强大的相互作用不仅稳定了 I5-物种，而且有效减轻了穿梭效应，从而有助于更长的循环寿命和改善的电荷转移</w:t>
      </w:r>
    </w:p>
    <w:p>
      <w:pPr>
        <w:spacing w:before="0" w:after="200" w:lineRule="auto" w:line="276"/>
      </w:pPr>
      <w:r>
        <w:rPr>
          <w:b/>
        </w:rPr>
        <w:t xml:space="preserve">Abstract (EN): </w:t>
      </w:r>
      <w:r>
        <w:t>The performance of aqueous zinc-iodine batteries (AZIBs) has historically been limited by poor iodine infiltration and slow reaction kinetics at the I2 cathode. To address these issues, developing an effective cathode host that can achieve both high iodine loading and rapid redox kinetics has become a pivotal challenge in the field. In this study, a porphyrin-based covalent organic framework (COF366) was synthesized with tunable in-wall functional groups, which served as an iodine host. The hydroxyl-functionalized version of COF366, designated as COF366-OH, demonstrated a remarkable iodine loading capacity of 52 wt %. This high ratio can be credited to a combination of mechanisms, including physical confinement of iodine and favorable Lewis acid-base interactions with the framework. The resultant synergy from these interactions not only improved iodine immobilization but also reduced voltage polarization and sped up the redox conversion process. As a result, the COF366-OH/I2 cathode exhibited an impressive specific capacity of 157 mAh g-1 after 500 cycles. This performance surpassed that of the pristine COF366, highlighting significant improvements in both rate capability and cycling stability. In situ Raman spectroscopy analyses indicated that I5- was the primary oxidation product formed during the discharge process, which aligns with the strong binding energy observed between COF366-OH and I5-. This robust interaction not only stabilized the I5- species but also effectively mitigated the shuttle effect, thus contributing to a longer cycling life and improved charge-transfer kinetics. This research illustrates a synergistic approach through structural modifications in order to boost the performance of iodine species in AZIBs, showcasing the potential benefits of tailored COFs in energy storage applications.</w:t>
      </w:r>
    </w:p>
    <w:p>
      <w:pPr>
        <w:spacing w:before="120" w:after="120"/>
      </w:pPr>
      <w:r>
        <w:rPr>
          <w:sz w:val="18"/>
        </w:rPr>
        <w:t>——————————————————————————————————————————————————————————————————————</w:t>
      </w:r>
    </w:p>
    <w:p>
      <w:pPr>
        <w:spacing w:before="160" w:after="40" w:line="240" w:lineRule="auto"/>
      </w:pPr>
      <w:r>
        <w:rPr>
          <w:b/>
        </w:rPr>
        <w:t xml:space="preserve">[6] </w:t>
      </w:r>
      <w:hyperlink r:id="rId70">
        <w:r>
          <w:rPr>
            <w:color w:val="1155CC"/>
            <w:u w:val="single"/>
          </w:rPr>
          <w:t>通过电化学耦合氧原子转移解锁高氯酸锂的阴离子还原</w:t>
        </w:r>
      </w:hyperlink>
    </w:p>
    <w:p>
      <w:pPr>
        <w:spacing w:before="0" w:after="80"/>
      </w:pPr>
      <w:r>
        <w:rPr>
          <w:i/>
          <w:sz w:val="20"/>
        </w:rPr>
        <w:t>EN: Unlocking Anion Reduction of Lithium Perchlorate via Electrochemically Coupled Oxygen Atom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1">
        <w:r>
          <w:rPr>
            <w:color w:val="1155CC"/>
            <w:u w:val="single"/>
          </w:rPr>
          <w:t>10.1021/jacs.5c18724</w:t>
        </w:r>
      </w:hyperlink>
    </w:p>
    <w:p>
      <w:pPr>
        <w:spacing w:before="0" w:after="120"/>
      </w:pPr>
      <w:r>
        <w:rPr>
          <w:b/>
        </w:rPr>
        <w:t xml:space="preserve">Notes: </w:t>
      </w:r>
      <w:r>
        <w:t>abstract_source=pubmed</w:t>
      </w:r>
    </w:p>
    <w:p>
      <w:pPr>
        <w:spacing w:before="0" w:after="80" w:lineRule="auto" w:line="276"/>
      </w:pPr>
      <w:r>
        <w:rPr>
          <w:b/>
        </w:rPr>
        <w:t xml:space="preserve">摘要（ZH）: </w:t>
      </w:r>
      <w:r>
        <w:t>对高能量密度电化学储能的需求不断增长，需要能量矢量来最大化每个活性材料配方单位转移的电子数量。在此，我们引入电化学耦合氧原子转移（OAT）作为一种新范例，以利用锂金属固态电池中 p 区含氧阴离子的能量。利用碳负载的 Fe 纳米粒子作为 OAT 催化剂和转化型正极活性材料的双重作用，我们证明了 ClO4- 的八电子阴离子还原率 &gt; 50% 的转化率，提供了 1150 mA h g-1 的容量和 1950 W h kg-1 的能量密度。我们进一步展示了提高电极水平能量密度的策略，为电池系统中基于含氧阴离子的阴离子氧化还原奠定了基础。</w:t>
      </w:r>
    </w:p>
    <w:p>
      <w:pPr>
        <w:spacing w:before="0" w:after="200" w:lineRule="auto" w:line="276"/>
      </w:pPr>
      <w:r>
        <w:rPr>
          <w:b/>
        </w:rPr>
        <w:t xml:space="preserve">Abstract (EN): </w:t>
      </w:r>
      <w:r>
        <w:t>The growing demand for high energy density electrochemical energy storage necessitates energy vectors that maximize the number of electrons transferred per formula unit of active material. Herein, we introduce electrochemically coupled oxygen atom transfer (OAT) as a new paradigm to harness the energy of p-block oxoanions in a Li-metal solid-state battery. Using carbon-supported Fe nanoparticles in a dual role of OAT catalyst and conversion-type cathode active material, we demonstrate the eight-electron anion reduction of ClO4- at &gt;50% conversion, delivering a capacity of 1150 mA h g-1 and an energy density of 1950 W h kg-1. We further demonstrate strategies to enhance the energy density at the electrode level, establishing a foundation for oxoanion-based anion redox in battery systems.</w:t>
      </w:r>
    </w:p>
    <w:p>
      <w:pPr>
        <w:spacing w:before="120" w:after="120"/>
      </w:pPr>
      <w:r>
        <w:rPr>
          <w:sz w:val="18"/>
        </w:rPr>
        <w:t>——————————————————————————————————————————————————————————————————————</w:t>
      </w:r>
    </w:p>
    <w:p>
      <w:pPr>
        <w:spacing w:before="160" w:after="40" w:line="240" w:lineRule="auto"/>
      </w:pPr>
      <w:r>
        <w:rPr>
          <w:b/>
        </w:rPr>
        <w:t xml:space="preserve">[7] </w:t>
      </w:r>
      <w:hyperlink r:id="rId72">
        <w:r>
          <w:rPr>
            <w:color w:val="1155CC"/>
            <w:u w:val="single"/>
          </w:rPr>
          <w:t>硫脲衍生涂层可用于固态电池中的富锂锰氧化物正极</w:t>
        </w:r>
      </w:hyperlink>
    </w:p>
    <w:p>
      <w:pPr>
        <w:spacing w:before="0" w:after="80"/>
      </w:pPr>
      <w:r>
        <w:rPr>
          <w:i/>
          <w:sz w:val="20"/>
        </w:rPr>
        <w:t>EN: Thiourea-derived coating enabled lithium-rich manganese oxide positive electrode in solid-state batteries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采用富锂锰氧化物正极的固态电池是下一代高能量密度储能系统的极有前途的候选者。然而，富锂锰氧化物正极的实际部署受到几个关键挑战的阻碍，包括初始循环可逆性差、容量快速衰减、氧释放导致的结构崩溃以及高电位下的界面不稳定性。在这里，我们介绍了一种针对富锂锰氧化物正极的硫脲衍生表面改性策略，该策略显着增强了固态电池（SSB）的电化学性能。改性富锂锰氧化物正极的初始放电容量为220.2 mAh g−1，初始库仑效率为84.83%，在4.6V下1C循环600次后容量保持率为97%（相对于Li+/Li）。循环性能的改善归因于富锂锰氧化物颗粒的双重改性，即亚纳米厚的富硫涂层的应用和在附近表面形成尖晶石状结构，这分别防止了与氧相关的降解并加速了Li+传输。这些发现提出了一种可扩展的表面改性策略，有可能解决富锂锰氧化物基SSB的关键局限性，为开发稳定的高能​​量密度电池铺平道路。</w:t>
      </w:r>
    </w:p>
    <w:p>
      <w:pPr>
        <w:spacing w:before="0" w:after="200" w:lineRule="auto" w:line="276"/>
      </w:pPr>
      <w:r>
        <w:rPr>
          <w:b/>
        </w:rPr>
        <w:t xml:space="preserve">Abstract (EN): </w:t>
      </w:r>
      <w:r>
        <w:t>Solid-state batteries employing lithium-rich manganese oxide positive electrodes are a highly promising candidate for next-generation high-energy-density energy storage systems. However, the practical deployment of lithium-rich manganese oxide positive electrodes is hindered by several critical challenges, including poor initial-cycle reversibility, rapid capacity decay, structural collapse due to oxygen release, and interfacial instability at high potentials. Here, we introduce a thiourea-derived surface modification strategy for lithium-rich manganese oxide positive electrodes, which significantly enhances the electrochemical performance of solid-state batteries (SSBs). The modified lithium-rich manganese oxide positive electrodes exhibit an initial discharge capacity of 220.2 mAh g−1, an initial Coulombic efficiency of 84.83 %, and capacity retention of 97 % after 600 cycles at 1 C under 4.6 V (vs. Li+/Li). The improved cycling performance is shown to be attributed to a dual modification of lithium-rich manganese oxide particles, i.e., the application of sub-nm-thick S-rich coating layer and formation of a spinel-like structure in the surface near proximity, which prevents oxygen-related degradation and accelerates Li+ transport, respectively. These findings present a scalable surface modification strategy that potentially addresses key limitations of lithium-rich manganese oxide-based SSBs, paving the way for the development of stable, high-energy-density batteries.</w:t>
      </w:r>
    </w:p>
    <w:p>
      <w:pPr>
        <w:spacing w:before="120" w:after="120"/>
      </w:pPr>
      <w:r>
        <w:rPr>
          <w:sz w:val="18"/>
        </w:rPr>
        <w:t>——————————————————————————————————————————————————————————————————————</w:t>
      </w:r>
    </w:p>
    <w:p>
      <w:pPr>
        <w:spacing w:before="160" w:after="40" w:line="240" w:lineRule="auto"/>
      </w:pPr>
      <w:r>
        <w:rPr>
          <w:b/>
        </w:rPr>
        <w:t xml:space="preserve">[8] </w:t>
      </w:r>
      <w:hyperlink r:id="rId73">
        <w:r>
          <w:rPr>
            <w:color w:val="1155CC"/>
            <w:u w:val="single"/>
          </w:rPr>
          <w:t>机械信号揭示磷酸铁锂电极的空间异质性</w:t>
        </w:r>
      </w:hyperlink>
    </w:p>
    <w:p>
      <w:pPr>
        <w:spacing w:before="0" w:after="80"/>
      </w:pPr>
      <w:r>
        <w:rPr>
          <w:i/>
          <w:sz w:val="20"/>
        </w:rPr>
        <w:t>EN: Mechanical Signals Revealing Spatial Heterogeneity in Lithium Iron Phosphate Electrodes</w:t>
      </w:r>
    </w:p>
    <w:p>
      <w:pPr>
        <w:spacing w:before="0" w:after="120"/>
      </w:pPr>
      <w:r>
        <w:rPr>
          <w:b/>
        </w:rPr>
        <w:t xml:space="preserve">Source: </w:t>
      </w:r>
      <w:r>
        <w:t>ACS Energy Letters: Latest Articles (ACS Publications)</w:t>
      </w:r>
      <w:r>
        <w:t xml:space="preserve">    </w:t>
      </w:r>
      <w:r>
        <w:rPr>
          <w:b/>
        </w:rPr>
        <w:t xml:space="preserve">Pub date: </w:t>
      </w:r>
      <w:r>
        <w:t>2026-07-15 00:00:00+00:00</w:t>
      </w:r>
      <w:r>
        <w:t xml:space="preserve">    </w:t>
      </w:r>
      <w:r>
        <w:rPr>
          <w:b/>
        </w:rPr>
        <w:t xml:space="preserve">DOI: </w:t>
      </w:r>
      <w:hyperlink r:id="rId74">
        <w:r>
          <w:rPr>
            <w:color w:val="1155CC"/>
            <w:u w:val="single"/>
          </w:rPr>
          <w:t>10.1021/acsenergylett.6c01511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75">
        <w:r>
          <w:rPr>
            <w:color w:val="1155CC"/>
            <w:u w:val="single"/>
          </w:rPr>
          <w:t>具有增强空气稳定性和加工性能的柱效应稳定层状氧化物钠离子电池正极</w:t>
        </w:r>
      </w:hyperlink>
    </w:p>
    <w:p>
      <w:pPr>
        <w:spacing w:before="0" w:after="80"/>
      </w:pPr>
      <w:r>
        <w:rPr>
          <w:i/>
          <w:sz w:val="20"/>
        </w:rPr>
        <w:t>EN: Pillar-Effect-Stabilized Layered Oxide Sodium-Ion Battery Cathodes with Enhanced Air Stability and Processability</w:t>
      </w:r>
    </w:p>
    <w:p>
      <w:pPr>
        <w:spacing w:before="0" w:after="120"/>
      </w:pPr>
      <w:r>
        <w:rPr>
          <w:b/>
        </w:rPr>
        <w:t xml:space="preserve">Source: </w:t>
      </w:r>
      <w:r>
        <w:t>ACS Energy Letters: Latest Articles (ACS Publications)</w:t>
      </w:r>
      <w:r>
        <w:t xml:space="preserve">    </w:t>
      </w:r>
      <w:r>
        <w:rPr>
          <w:b/>
        </w:rPr>
        <w:t xml:space="preserve">Pub date: </w:t>
      </w:r>
      <w:r>
        <w:t>2026-07-15 00:00:00+00:00</w:t>
      </w:r>
      <w:r>
        <w:t xml:space="preserve">    </w:t>
      </w:r>
      <w:r>
        <w:rPr>
          <w:b/>
        </w:rPr>
        <w:t xml:space="preserve">DOI: </w:t>
      </w:r>
      <w:hyperlink r:id="rId76">
        <w:r>
          <w:rPr>
            <w:color w:val="1155CC"/>
            <w:u w:val="single"/>
          </w:rPr>
          <w:t>10.1021/acsenergylett.6c01429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77">
        <w:r>
          <w:rPr>
            <w:color w:val="1155CC"/>
            <w:u w:val="single"/>
          </w:rPr>
          <w:t>高性能锂离子电池镍基无钴层状正极的晶域工程</w:t>
        </w:r>
      </w:hyperlink>
    </w:p>
    <w:p>
      <w:pPr>
        <w:spacing w:before="0" w:after="80"/>
      </w:pPr>
      <w:r>
        <w:rPr>
          <w:i/>
          <w:sz w:val="20"/>
        </w:rPr>
        <w:t>EN: Crystal Domain Engineering of Ni‐based Co‐Free Layered Cathodes for High‐Performance Li‐Ion Batteries</w:t>
      </w:r>
    </w:p>
    <w:p>
      <w:pPr>
        <w:spacing w:before="0" w:after="120"/>
      </w:pPr>
      <w:r>
        <w:rPr>
          <w:b/>
        </w:rPr>
        <w:t xml:space="preserve">Source: </w:t>
      </w:r>
      <w:r>
        <w:t>Wiley: Advanced Materials: Table of Contents</w:t>
      </w:r>
      <w:r>
        <w:t xml:space="preserve">    </w:t>
      </w:r>
      <w:r>
        <w:rPr>
          <w:b/>
        </w:rPr>
        <w:t xml:space="preserve">Pub date: </w:t>
      </w:r>
      <w:r>
        <w:t>2026-07-15 08:40:12+00:00</w:t>
      </w:r>
      <w:r>
        <w:t xml:space="preserve">    </w:t>
      </w:r>
      <w:r>
        <w:rPr>
          <w:b/>
        </w:rPr>
        <w:t xml:space="preserve">DOI: </w:t>
      </w:r>
      <w:hyperlink r:id="rId78">
        <w:r>
          <w:rPr>
            <w:color w:val="1155CC"/>
            <w:u w:val="single"/>
          </w:rPr>
          <w:t>10.1002/adma.74104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镍基层状氧化物（NCM）是高能锂离子电池的关键候选材料之一，但由于各种不可逆相变，特别是当钴被去除时，会遭受严重的结构退化。解决这种内在的不稳定性需要创造性的批量设计策略，其中晶域工程成为一种引人注目的方法。在这项研究中，我们开发了一种基于晶域工程的简单一步策略，以可控地集成局部有序富锂锂</w:t>
      </w:r>
      <w:r>
        <w:rPr>
          <w:vertAlign w:val="subscript"/>
        </w:rPr>
        <w:t>2</w:t>
      </w:r>
      <w:r>
        <w:t>TMO</w:t>
      </w:r>
      <w:r>
        <w:rPr>
          <w:vertAlign w:val="subscript"/>
        </w:rPr>
        <w:t>3</w:t>
      </w:r>
      <w:r>
        <w:t>晶域，由LiNi组成</w:t>
      </w:r>
      <w:r>
        <w:t xml:space="preserve"> </w:t>
      </w:r>
      <w:r>
        <w:t>6-</w:t>
      </w:r>
      <w:r>
        <w:t xml:space="preserve"> </w:t>
      </w:r>
      <w:r>
        <w:t>x</w:t>
      </w:r>
      <w:r>
        <w:t xml:space="preserve"> </w:t>
      </w:r>
      <w:r>
        <w:t>锰</w:t>
      </w:r>
      <w:r>
        <w:t xml:space="preserve"> </w:t>
      </w:r>
      <w:r>
        <w:t>x</w:t>
      </w:r>
      <w:r>
        <w:t xml:space="preserve"> </w:t>
      </w:r>
      <w:r>
        <w:t>六原子环，进入NMs体晶格。通过精确控制锂化学计量，获得具有可调节富锂功能单元的“双域”镍基无钴富锂层状氧化物（Ni-LLO）。受益于这种晶域工程，具有竞争力的容量（∼200 mAh g</w:t>
      </w:r>
      <w:r>
        <w:t xml:space="preserve"> </w:t>
      </w:r>
      <w:r>
        <w:t>−1</w:t>
      </w:r>
      <w:r>
        <w:t xml:space="preserve"> </w:t>
      </w:r>
      <w:r>
        <w:t>）在 1 C 下的袋型电池中经过 600 次循环后，可以提供 90.59% 的优异容量保持率。进一步的机理研究表明，共生的 Li</w:t>
      </w:r>
      <w:r>
        <w:rPr>
          <w:vertAlign w:val="subscript"/>
        </w:rPr>
        <w:t>2</w:t>
      </w:r>
      <w:r>
        <w:t>TMO</w:t>
      </w:r>
      <w:r>
        <w:rPr>
          <w:vertAlign w:val="subscript"/>
        </w:rPr>
        <w:t>3</w:t>
      </w:r>
      <w:r>
        <w:t>晶域抑制H3相的形成并减轻la</w:t>
      </w:r>
    </w:p>
    <w:p>
      <w:pPr>
        <w:spacing w:before="0" w:after="200" w:lineRule="auto" w:line="276"/>
      </w:pPr>
      <w:r>
        <w:rPr>
          <w:b/>
        </w:rPr>
        <w:t xml:space="preserve">Abstract (EN): </w:t>
      </w:r>
      <w:r>
        <w:t>Ni‐based layered oxides (NCMs) are one of the crucial candidates for high‐energy Li‐ion batteries, but suffer from severe structural degradation owing to diverse irreversible phase transitions, especially when Co is removed. Addressing such intrinsic instabilities calls for creative bulk design strategies, wherein crystal domain engineering emerges as a compelling approach. In this research, we developed a simple one‐step strategy based on crystal domain engineering to controllably integrate locally ordered Li‐rich Li</w:t>
      </w:r>
      <w:r>
        <w:rPr>
          <w:vertAlign w:val="subscript"/>
        </w:rPr>
        <w:t>2</w:t>
      </w:r>
      <w:r>
        <w:t>TMO</w:t>
      </w:r>
      <w:r>
        <w:rPr>
          <w:vertAlign w:val="subscript"/>
        </w:rPr>
        <w:t>3</w:t>
      </w:r>
      <w:r>
        <w:t>crystal domain, which is composed of LiNi</w:t>
      </w:r>
      <w:r>
        <w:t xml:space="preserve"> </w:t>
      </w:r>
      <w:r>
        <w:t>6‐</w:t>
      </w:r>
      <w:r>
        <w:t xml:space="preserve"> </w:t>
      </w:r>
      <w:r>
        <w:t>x</w:t>
      </w:r>
      <w:r>
        <w:t xml:space="preserve"> </w:t>
      </w:r>
      <w:r>
        <w:t>Mn</w:t>
      </w:r>
      <w:r>
        <w:t xml:space="preserve"> </w:t>
      </w:r>
      <w:r>
        <w:t>x</w:t>
      </w:r>
      <w:r>
        <w:t xml:space="preserve"> </w:t>
      </w:r>
      <w:r>
        <w:t>hexatomic‐ring, into the NMs bulk lattice. By precisely controlling the lithium stoichiometry to obtain “twin domain” Ni‐based cobalt‐free lithium‐rich layered oxides (Ni‐LLOs) with a tunable lithium‐rich functional unit. Benefiting from such crystal domain engineering, the optimal cathode material with competitive capacity (∼200 mAh g</w:t>
      </w:r>
      <w:r>
        <w:t xml:space="preserve"> </w:t>
      </w:r>
      <w:r>
        <w:t>−1</w:t>
      </w:r>
      <w:r>
        <w:t xml:space="preserve"> </w:t>
      </w:r>
      <w:r>
        <w:t>) can deliver an excellent capacity retention of 90.59% after 600 cycles in pouch‐type cells at 1 C. Further mechanistic investigation reveals that the intergrown Li</w:t>
      </w:r>
      <w:r>
        <w:rPr>
          <w:vertAlign w:val="subscript"/>
        </w:rPr>
        <w:t>2</w:t>
      </w:r>
      <w:r>
        <w:t>TMO</w:t>
      </w:r>
      <w:r>
        <w:rPr>
          <w:vertAlign w:val="subscript"/>
        </w:rPr>
        <w:t>3</w:t>
      </w:r>
      <w:r>
        <w:t>crystal domain suppress the formation of H3 phase and mitigate lattice contraction through a pinning effect, while simultaneously alleviating Li/Ni cation mixing, thereby reducing the necessity for cobalt incorporation. Collectively, this work establishes crystal domain engineering as a versatile and powerful strategy for developing high‐energy, long‐lifespan cathode materials for next‐generation high‐performance lithium‐ion batteries.</w:t>
      </w:r>
    </w:p>
    <w:p>
      <w:pPr>
        <w:spacing w:before="120" w:after="120"/>
      </w:pPr>
      <w:r>
        <w:rPr>
          <w:sz w:val="18"/>
        </w:rPr>
        <w:t>——————————————————————————————————————————————————————————————————————</w:t>
      </w:r>
    </w:p>
    <w:p>
      <w:pPr>
        <w:spacing w:before="160" w:after="40" w:line="240" w:lineRule="auto"/>
      </w:pPr>
      <w:r>
        <w:rPr>
          <w:b/>
        </w:rPr>
        <w:t xml:space="preserve">[11] </w:t>
      </w:r>
      <w:hyperlink r:id="rId79">
        <w:r>
          <w:rPr>
            <w:color w:val="1155CC"/>
            <w:u w:val="single"/>
          </w:rPr>
          <w:t>全固态锂电池的范式转变：针对多电子反应简化卤化物阴极材料</w:t>
        </w:r>
      </w:hyperlink>
    </w:p>
    <w:p>
      <w:pPr>
        <w:spacing w:before="0" w:after="80"/>
      </w:pPr>
      <w:r>
        <w:rPr>
          <w:i/>
          <w:sz w:val="20"/>
        </w:rPr>
        <w:t>EN: A paradigm shift in all-solid-state lithium batteries: halide cathode materials streamlined for multi-electron reactions</w:t>
      </w:r>
    </w:p>
    <w:p>
      <w:pPr>
        <w:spacing w:before="0" w:after="120"/>
      </w:pPr>
      <w:r>
        <w:rPr>
          <w:b/>
        </w:rPr>
        <w:t xml:space="preserve">Source: </w:t>
      </w:r>
      <w:r>
        <w:t>National Science Review Advance Access</w:t>
      </w:r>
      <w:r>
        <w:t xml:space="preserve">    </w:t>
      </w:r>
      <w:r>
        <w:rPr>
          <w:b/>
        </w:rPr>
        <w:t xml:space="preserve">Pub date: </w:t>
      </w:r>
      <w:r>
        <w:t>2026-07-16 00:00:00+00:00</w:t>
      </w:r>
      <w:r>
        <w:t xml:space="preserve">    </w:t>
      </w:r>
      <w:r>
        <w:rPr>
          <w:b/>
        </w:rPr>
        <w:t xml:space="preserve">DOI: </w:t>
      </w:r>
      <w:hyperlink r:id="rId80">
        <w:r>
          <w:rPr>
            <w:color w:val="1155CC"/>
            <w:u w:val="single"/>
          </w:rPr>
          <w:t>10.1093/nsr/nwag438</w:t>
        </w:r>
      </w:hyperlink>
    </w:p>
    <w:p>
      <w:pPr>
        <w:spacing w:before="0" w:after="120"/>
      </w:pPr>
      <w:r>
        <w:rPr>
          <w:b/>
        </w:rPr>
        <w:t xml:space="preserve">Notes: </w:t>
      </w:r>
      <w:r>
        <w:t>abstract_source=rss_oup</w:t>
      </w:r>
    </w:p>
    <w:p>
      <w:pPr>
        <w:spacing w:before="0" w:after="80" w:lineRule="auto" w:line="276"/>
      </w:pPr>
      <w:r>
        <w:rPr>
          <w:b/>
        </w:rPr>
        <w:t xml:space="preserve">摘要（ZH）: </w:t>
      </w:r>
      <w:r>
        <w:t>卤化物阴极活性材料 (CAM) 正在成为全固态锂电池 (ASSLB) 的变革平台，具有固有的高离子/电子电导率、多电子传输能力以及消除非活性成分的单相电极结构的独特潜力。尽管有这些优点，但有关其反应机制、界面稳定性和循环过程中结构演化的关键挑战仍未得到充分解决。在这篇综述中，我们系统地追踪了卤化物 CAM 从液体电解质系统到 ASSLB 的演变，重点关注单相界面工程和多电子反应机制方面的最新突破。我们重点介绍元素和结构单元如何控制离子/电子传输路径和可逆性，同时批判性地评估多电子反应中能量密度和效率之间的困境。展望未来，概述了下一代卤化物 CAM 开发路线图，包括高通量材料筛选、集成一体化架构的可控设计以及克服电压迟滞和转换动力学限制的策略。通过将基本见解与实际工程联系起来，本次综述旨在为实现高能、经济高效的 ASSLB 提供可行的指导。</w:t>
      </w:r>
    </w:p>
    <w:p>
      <w:pPr>
        <w:spacing w:before="0" w:after="200" w:lineRule="auto" w:line="276"/>
      </w:pPr>
      <w:r>
        <w:rPr>
          <w:b/>
        </w:rPr>
        <w:t xml:space="preserve">Abstract (EN): </w:t>
      </w:r>
      <w:r>
        <w:t>Halide cathode active materials (CAMs) are emerging as a transformative platform for all-solid-state lithium batteries (ASSLBs), offering intrinsic high ionic/electronic conductivities, multi-electron transfer capability, and the unique potential for single-phase electrode architectures that eliminate inactive components. Despite these advantages, critical challenges regarding their reaction mechanisms, interfacial stability, and structural evolution during cycling remain inadequately addressed. In this review, we systematically trace the evolution of halide CAMs from liquid-electrolyte systems to ASSLBs, focusing on recent breakthroughs in single-phase interface engineering and multi-electron reaction mechanisms. We highlight how elemental and structural units govern ionic/electronic transport pathways and reversibility, while critically evaluating the dilemma between energy density and efficiency in multi-electron reaction. Looking forward, a roadmap for next-generation halide CAM development is outlined, encompassing high-throughput material screening, controllable design of integrated all-in-one architectures, and strategies to overcome voltage hysteresis and conversion kinetics limitations. By bridging fundamental insights with practical engineering, this review aims to provide actionable guidance for realizing high-energy, cost-effective ASSLBs.</w:t>
      </w:r>
    </w:p>
    <w:p>
      <w:pPr>
        <w:spacing w:before="120" w:after="120"/>
      </w:pPr>
      <w:r>
        <w:rPr>
          <w:sz w:val="18"/>
        </w:rPr>
        <w:t>——————————————————————————————————————————————————————————————————————</w:t>
      </w:r>
    </w:p>
    <w:p>
      <w:pPr>
        <w:spacing w:before="160" w:after="40" w:line="240" w:lineRule="auto"/>
      </w:pPr>
      <w:r>
        <w:rPr>
          <w:b/>
        </w:rPr>
        <w:t xml:space="preserve">[12] </w:t>
      </w:r>
      <w:hyperlink r:id="rId81">
        <w:r>
          <w:rPr>
            <w:color w:val="1155CC"/>
            <w:u w:val="single"/>
          </w:rPr>
          <w:t>竞争性占空引起的晶界富集使钠离子电池的无裂纹层状正极材料成为可能</w:t>
        </w:r>
      </w:hyperlink>
    </w:p>
    <w:p>
      <w:pPr>
        <w:spacing w:before="0" w:after="80"/>
      </w:pPr>
      <w:r>
        <w:rPr>
          <w:i/>
          <w:sz w:val="20"/>
        </w:rPr>
        <w:t>EN: Competitive Occupation-Induced Grain Boundary Enrichment Enables Crack-Free Layered Cathode Materials for Sodium-Ion Batteries</w:t>
      </w:r>
    </w:p>
    <w:p>
      <w:pPr>
        <w:spacing w:before="0" w:after="120"/>
      </w:pPr>
      <w:r>
        <w:rPr>
          <w:b/>
        </w:rPr>
        <w:t xml:space="preserve">Source: </w:t>
      </w:r>
      <w:r>
        <w:t>ACS Energy Letters: Latest Articles (ACS Publications)</w:t>
      </w:r>
      <w:r>
        <w:t xml:space="preserve">    </w:t>
      </w:r>
      <w:r>
        <w:rPr>
          <w:b/>
        </w:rPr>
        <w:t xml:space="preserve">Pub date: </w:t>
      </w:r>
      <w:r>
        <w:t>2026-07-16 00:00:00+00:00</w:t>
      </w:r>
      <w:r>
        <w:t xml:space="preserve">    </w:t>
      </w:r>
      <w:r>
        <w:rPr>
          <w:b/>
        </w:rPr>
        <w:t xml:space="preserve">DOI: </w:t>
      </w:r>
      <w:hyperlink r:id="rId82">
        <w:r>
          <w:rPr>
            <w:color w:val="1155CC"/>
            <w:u w:val="single"/>
          </w:rPr>
          <w:t>10.1021/acsenergylett.6c01088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83">
        <w:r>
          <w:rPr>
            <w:color w:val="1155CC"/>
            <w:u w:val="single"/>
          </w:rPr>
          <w:t>通过辊转印预锂化和软金属导电添加剂减轻全固态锂离子电池中的无阳极液硅阳极故障</w:t>
        </w:r>
      </w:hyperlink>
    </w:p>
    <w:p>
      <w:pPr>
        <w:spacing w:before="0" w:after="80"/>
      </w:pPr>
      <w:r>
        <w:rPr>
          <w:i/>
          <w:sz w:val="20"/>
        </w:rPr>
        <w:t>EN: Mitigating Anolyte-Free Si Anode Failure in All-Solid-State Lithium-Ion Batteries via Roll-Transfer Printing Prelithiation and Soft Metal Conductive Additives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84">
        <w:r>
          <w:rPr>
            <w:color w:val="1155CC"/>
            <w:u w:val="single"/>
          </w:rPr>
          <w:t>10.1021/acsami.6c06848</w:t>
        </w:r>
      </w:hyperlink>
    </w:p>
    <w:p>
      <w:pPr>
        <w:spacing w:before="0" w:after="120"/>
      </w:pPr>
      <w:r>
        <w:rPr>
          <w:b/>
        </w:rPr>
        <w:t xml:space="preserve">Notes: </w:t>
      </w:r>
      <w:r>
        <w:t>abstract_source=pubmed</w:t>
      </w:r>
    </w:p>
    <w:p>
      <w:pPr>
        <w:spacing w:before="0" w:after="80" w:lineRule="auto" w:line="276"/>
      </w:pPr>
      <w:r>
        <w:rPr>
          <w:b/>
        </w:rPr>
        <w:t xml:space="preserve">摘要（ZH）: </w:t>
      </w:r>
      <w:r>
        <w:t>含有 ≥95 wt% 微硅材料的无阳极液硅阳极在硫化物基全固态锂离子电池（ASSLIB）中的应用代表了实现高能量密度的非常有前途的途径。然而，它们的实际应用受到初始库仑效率低和循环稳定性差的阻碍，这源于硅的快速界面化学机械降解。为了克服这些限制，我们将锂活性软金属（例如 In、Sn 和 Al）融入无阳极电解液的 Si 电极中，并通过无溶剂、可扩展的辊转印技术进一步对复合材料进行预锂化。研究发现，锂化软金属充当坚固的混合离子电子导体，充当自适应导电相，缓冲应力并有助于在硅体积变化期间保持界面接触。这种效应有助于缓解循环过程中的应力集中并保留离子/电子渗透路径。因此，含有 40 wt% In (PLi-6Si4In) 的优化阳极可提供稳定的长期循环。当与高面积负载 LiNi0.7Co0.2Mn0.1O2 阴极 (26.5 mg cm-2) 结合使用时，全电池在室温下 0.5C 循环 700 次后表现出 72.7% 的容量保持率。为了满足实际需求，我们还制造了超高正极负载量（39.7 mg cm-2）和正负极容量比（1.32）的全电池，接近工业规格，100次循环后容量保持率保持在81.8%。这些发现强调，结合卷筒转移印刷预刻</w:t>
      </w:r>
    </w:p>
    <w:p>
      <w:pPr>
        <w:spacing w:before="0" w:after="200" w:lineRule="auto" w:line="276"/>
      </w:pPr>
      <w:r>
        <w:rPr>
          <w:b/>
        </w:rPr>
        <w:t xml:space="preserve">Abstract (EN): </w:t>
      </w:r>
      <w:r>
        <w:t>The application of anolyte-free Si anodes containing ≥95 wt % micro-Si material in sulfide-based all-solid-state lithium-ion batteries (ASSLIBs) represents a highly promising route toward achieving high energy density. Nevertheless, their practical implementation is hindered by low initial Coulombic efficiency and poor cycling stability, which originate from the rapid interfacial chemomechanical degradation of Si. To overcome these limitations, we incorporate lithium-active soft metals (e.g., In, Sn, and Al) into anolyte-free Si electrodes and further prelithiate the composite by a solvent-free, scalable roll-transfer printing technique. It is found that the lithiated soft metals function as robust mixed ionic-electronic conductors, serving as a self-adaptive conductive phase that buffers stress and helps preserve interfacial contact during Si volume changes. This effect helps alleviate stress concentration and preserve ionic/electronic percolation pathways during cycling. Accordingly, the optimized anode with 40 wt % In (PLi-6Si4In) delivers stable long-term cycling. When coupled with a high-areal-loading LiNi0.7Co0.2Mn0.1O2 cathode (26.5 mg cm-2), the full cell exhibits 72.7% capacity retention after 700 cycles at 0.5C at room temperature. To meet practical requirements, we also fabricate full cells with ultra-high cathode loading (39.7 mg cm-2) and a negative-to-positive electrode capacity ratio (1.32), approaching industrial specifications, which maintain 81.8% capacity retention after 100 cycles. These findings highlight that combining roll-transfer printing prelithiation with lithium-active soft metal buffering effectively addresses the persistent challenge of chemomechanical degradation in Si anodes, advancing the development of all-solid-state batteries toward commercial viability.</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85">
        <w:r>
          <w:rPr>
            <w:color w:val="1155CC"/>
            <w:u w:val="single"/>
          </w:rPr>
          <w:t>本体锡上的高杨氏模量 NaF 涂层：机械限制效应通过减轻 (De) 钠化应力来驱动持久的钠存储</w:t>
        </w:r>
      </w:hyperlink>
    </w:p>
    <w:p>
      <w:pPr>
        <w:spacing w:before="0" w:after="80"/>
      </w:pPr>
      <w:r>
        <w:rPr>
          <w:i/>
          <w:sz w:val="20"/>
        </w:rPr>
        <w:t>EN: High Young’s modulus NaF coating on bulk-Sn: mechanical confinement effect drives durable sodium storage by alleviating (De) sodiation stress</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86">
        <w:r>
          <w:rPr>
            <w:color w:val="1155CC"/>
            <w:u w:val="single"/>
          </w:rPr>
          <w:t>10.1093/nsr/nwag428</w:t>
        </w:r>
      </w:hyperlink>
    </w:p>
    <w:p>
      <w:pPr>
        <w:spacing w:before="0" w:after="120"/>
      </w:pPr>
      <w:r>
        <w:rPr>
          <w:b/>
        </w:rPr>
        <w:t xml:space="preserve">Notes: </w:t>
      </w:r>
      <w:r>
        <w:t>abstract_source=rss_oup</w:t>
      </w:r>
    </w:p>
    <w:p>
      <w:pPr>
        <w:spacing w:before="0" w:after="80" w:lineRule="auto" w:line="276"/>
      </w:pPr>
      <w:r>
        <w:rPr>
          <w:b/>
        </w:rPr>
        <w:t xml:space="preserve">摘要（ZH）: </w:t>
      </w:r>
      <w:r>
        <w:t>由于其高理论容量，锡已成为下一代钠离子电池的有前途的负极材料。然而，钠化时锡阳极的高体积膨胀会产生显着的内应力，从而导致颗粒破裂、粉化和电极故障。在此，我们报告了一种新颖且简便的方法，通过溶液过饱和途径在块状 Sn 颗粒上原位涂覆 NaF 层。 NaF涂层的高杨氏模量具有很强的机械约束效应，有效抑制了Sn的体积膨胀和机械应力。此外，NaF涂层促进了薄而均匀致密的固体电解质界面膜的形成，从而显着提高了库仑效率。设计的Sn@NaF负极在半电池和全电池中均表现出卓越的循环稳定性和低温适应性。这些结果凸显了 Sn@NaF 阳极在高能量密度 SIB 方面的巨大潜力。</w:t>
      </w:r>
    </w:p>
    <w:p>
      <w:pPr>
        <w:spacing w:before="0" w:after="200" w:lineRule="auto" w:line="276"/>
      </w:pPr>
      <w:r>
        <w:rPr>
          <w:b/>
        </w:rPr>
        <w:t xml:space="preserve">Abstract (EN): </w:t>
      </w:r>
      <w:r>
        <w:t>Sn has emerged as a promising anode material for next-generation Sodium-ion batteries owing to its high theoretical capacity. However, the high volumetric expansion of Sn anode upon sodiation generates significant internal stress, which leads to particle cracking, pulverization, and electrode failure. Herein, we report a novel and facile approach to in-situ coat a NaF layer on bulk Sn particles via a solution supersaturation route. The high Young’s modulus of the NaF coating enables a strong mechanical confinement effect, which effectively suppresses the volume expansion and mechanical stress of Sn. Additionally, the NaF coating promotes the formation of a thin, uniform and dense solid electrolyte interphase film, thereby resulting in a significant improved Coulombic efficiency. The designed Sn@NaF anode exhibits remarkable cycling stability and low-temperature adaptability in both half cell and full cell. These results highlight the great potential of the Sn@NaF anode for high energy density SIBs.</w:t>
      </w:r>
    </w:p>
    <w:p>
      <w:pPr>
        <w:spacing w:before="120" w:after="120"/>
      </w:pPr>
      <w:r>
        <w:rPr>
          <w:sz w:val="18"/>
        </w:rPr>
        <w:t>——————————————————————————————————————————————————————————————————————</w:t>
      </w:r>
    </w:p>
    <w:p>
      <w:pPr>
        <w:spacing w:before="160" w:after="40" w:line="240" w:lineRule="auto"/>
      </w:pPr>
      <w:r>
        <w:rPr>
          <w:b/>
        </w:rPr>
        <w:t xml:space="preserve">[2] </w:t>
      </w:r>
      <w:hyperlink r:id="rId87">
        <w:r>
          <w:rPr>
            <w:color w:val="1155CC"/>
            <w:u w:val="single"/>
          </w:rPr>
          <w:t>极端工作条件下无枝晶固态钠金属电池的均匀原位界面相</w:t>
        </w:r>
      </w:hyperlink>
    </w:p>
    <w:p>
      <w:pPr>
        <w:spacing w:before="0" w:after="80"/>
      </w:pPr>
      <w:r>
        <w:rPr>
          <w:i/>
          <w:sz w:val="20"/>
        </w:rPr>
        <w:t>EN: Homogeneous In Situ Interphase for Dendrite-Free Solid-State Sodium Metal Batteries under Extreme Working Conditions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88">
        <w:r>
          <w:rPr>
            <w:color w:val="1155CC"/>
            <w:u w:val="single"/>
          </w:rPr>
          <w:t>10.1021/acsenergylett.6c01583</w:t>
        </w:r>
      </w:hyperlink>
    </w:p>
    <w:p>
      <w:pPr>
        <w:spacing w:before="0" w:after="120"/>
      </w:pPr>
      <w:r>
        <w:rPr>
          <w:b/>
        </w:rPr>
        <w:t xml:space="preserve">Notes: </w:t>
      </w:r>
      <w:r>
        <w:t>abstract_source=openalex</w:t>
      </w:r>
    </w:p>
    <w:p>
      <w:pPr>
        <w:spacing w:before="0" w:after="80" w:lineRule="auto" w:line="276"/>
      </w:pPr>
      <w:r>
        <w:rPr>
          <w:b/>
        </w:rPr>
        <w:t xml:space="preserve">摘要（ZH）: </w:t>
      </w:r>
      <w:r>
        <w:t>由于物理接触不良、离子通量不均匀和枝晶生长不受控制，固态钠金属电池面临界面不稳定的问题。在此，提出了由亲钠性Na 15 Sn 4 和电绝缘性Na 2 S组成的自组装均匀界面相，以均匀化Na + 沉积，抑制枝晶生长，并确保界面键合稳定性。循环后的异位 SEM 分析揭示了无裂纹和无枝晶的形态，与裸 Na 观察到的灾难性失效形成鲜明对比。该复合阳极赋予Na 15 Sn 4 /Na 2 S@Na//NFM全电池超快充电能力和出色的宽温性能（–30 °C ∼ 60 °C）。在 2 C 下循环 500 次后，全电池仍保留 78.6% 的容量。软包电池可提供 408 Wh kg –1 的功率，并通过破坏性滥用测试（弯曲、钉子、剪切和切割），证明了其实际可行性。这项工作提出了一种平衡离子电导率、机械强度和化学相容性的界面工程。它提供了一种稳定钠以外的活性金属阳极的通用策略。</w:t>
      </w:r>
    </w:p>
    <w:p>
      <w:pPr>
        <w:spacing w:before="0" w:after="200" w:lineRule="auto" w:line="276"/>
      </w:pPr>
      <w:r>
        <w:rPr>
          <w:b/>
        </w:rPr>
        <w:t xml:space="preserve">Abstract (EN): </w:t>
      </w:r>
      <w:r>
        <w:t>Solid-state sodium metal batteries suffer from interfacial instability due to poor physical contact, uneven ion flux, and uncontrolled dendrite growth. Herein, a self-assembled homogeneous interphase composed of sodiophilic Na 15 Sn 4 and electronically insulating Na 2 S is proposed to homogenize Na + deposition, suppress dendrite growth, and ensure interfacial bonding stability. Ex situ SEM analysis after cycling reveals a crack-free and dendrite-free morphology, contrasting sharply with the catastrophic failure observed for bare Na. This composite anode endows the Na 15 Sn 4 /Na 2 S@Na//NFM full cell with ultrafast charging capability and outstanding wide-temperature performance (–30 °C ∼ 60 °C). The full cell retains 78.6% of its capacity after 500 cycles at 2 C. A pouch cell delivers 408 Wh kg –1 and passes destructive abuse tests (bending, nailing, shearing, and cutting), proving its practical viability. This work presents an interface engineering that balances ionic conductivity, mechanical strength, and chemical compatibility. It offers a versatile strategy for stabilizing reactive metal anodes beyond Na.</w:t>
      </w:r>
    </w:p>
    <w:p>
      <w:pPr>
        <w:spacing w:before="120" w:after="120"/>
      </w:pPr>
      <w:r>
        <w:rPr>
          <w:sz w:val="18"/>
        </w:rPr>
        <w:t>——————————————————————————————————————————————————————————————————————</w:t>
      </w:r>
    </w:p>
    <w:p>
      <w:pPr>
        <w:spacing w:before="160" w:after="40" w:line="240" w:lineRule="auto"/>
      </w:pPr>
      <w:r>
        <w:rPr>
          <w:b/>
        </w:rPr>
        <w:t xml:space="preserve">[3] </w:t>
      </w:r>
      <w:hyperlink r:id="rId89">
        <w:r>
          <w:rPr>
            <w:color w:val="1155CC"/>
            <w:u w:val="single"/>
          </w:rPr>
          <w:t>同源约束机器学习可实现水结构调节水性锌离子电池的氨基酸添加剂筛选</w:t>
        </w:r>
      </w:hyperlink>
    </w:p>
    <w:p>
      <w:pPr>
        <w:spacing w:before="0" w:after="80"/>
      </w:pPr>
      <w:r>
        <w:rPr>
          <w:i/>
          <w:sz w:val="20"/>
        </w:rPr>
        <w:t>EN: Homologous-Constrained Machine Learning Enables Amino Acid Additive Screening for Water-Structure-Regulated Aqueous Zinc-Ion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90">
        <w:r>
          <w:rPr>
            <w:color w:val="1155CC"/>
            <w:u w:val="single"/>
          </w:rPr>
          <w:t>10.1021/acsami.6c09254</w:t>
        </w:r>
      </w:hyperlink>
    </w:p>
    <w:p>
      <w:pPr>
        <w:spacing w:before="0" w:after="120"/>
      </w:pPr>
      <w:r>
        <w:rPr>
          <w:b/>
        </w:rPr>
        <w:t xml:space="preserve">Notes: </w:t>
      </w:r>
      <w:r>
        <w:t>abstract_source=pubmed</w:t>
      </w:r>
    </w:p>
    <w:p>
      <w:pPr>
        <w:spacing w:before="0" w:after="80" w:lineRule="auto" w:line="276"/>
      </w:pPr>
      <w:r>
        <w:rPr>
          <w:b/>
        </w:rPr>
        <w:t xml:space="preserve">摘要（ZH）: </w:t>
      </w:r>
      <w:r>
        <w:t>水系锌离子电池（AZIB）因其本质安全性、成本效益和锌的天然丰富性而被广泛认为是一种引人注目的电网规模储能技术。然而，它们的实际部署在很大程度上受到水诱导的析氢和锌阳极上的枝晶生长的阻碍。为了应对这些挑战，开发了一种基于同源约束策略的机器学习辅助设计范式，采用线性核支持向量回归模型结合留一交叉验证来筛选和鉴定两种具有出色水结构调节能力的氨基酸衍生添加剂，即dl-谷氨酸和dl-组氨酸。实验研究表明，这些添加剂重新配置了电解质的局部氢键网络，有效抑制了高活性水的析氢反应，并显着降低了Zn2+的界面脱溶剂能垒。因此，锌沉积从无序的枝晶生长演变为均匀的二维成核过程。受益于热力学和动力学因素的耦合优化，Zn||Zn对称电池在改性电解质中实现了超过4900小时的稳定运行。这项研究不仅建立了一种新颖的数据驱动策略来设计 AZIB 电解质添加剂，而且还为复杂电池系统的合理分子工程提供了广泛适用的框架。</w:t>
      </w:r>
    </w:p>
    <w:p>
      <w:pPr>
        <w:spacing w:before="0" w:after="200" w:lineRule="auto" w:line="276"/>
      </w:pPr>
      <w:r>
        <w:rPr>
          <w:b/>
        </w:rPr>
        <w:t xml:space="preserve">Abstract (EN): </w:t>
      </w:r>
      <w:r>
        <w:t>Aqueous zinc-ion batteries (AZIBs) are widely regarded as a compelling technology for grid-scale energy storage owing to their intrinsic safety, cost-effectiveness, and the natural abundance of Zn. Nevertheless, their practical deployment is largely impeded by water-induced hydrogen evolution and dendritic growth on the Zn anode. To address these challenges, a machine-learning-assisted design paradigm based on a homologous-constraint strategy was developed, in which a linear-kernel support vector regression model combined with leave-one-out cross-validation was employed to screen and identify two amino acid-derived additives with outstanding water-structure-regulating capability, namely, dl-glutamic acid and dl-histidine. Experimental investigations reveal that these additives reconfigure the local hydrogen-bonding network of the electrolyte, effectively suppressing the hydrogen evolution reaction originating from highly reactive water and markedly lowering the interfacial desolvation energy barrier of Zn2+. As a consequence, Zn deposition evolves from disordered dendritic growth to a uniform two-dimensional nucleation process. Benefiting from the coupled optimization of thermodynamic and kinetic factors, the Zn||Zn symmetric cell achieves stable operation for over 4900 h in the modified electrolyte. This study not only establishes a novel data-driven strategy for designing electrolyte additives in AZIBs but also provides a broadly applicable framework for the rational molecular engineering of complex battery systems.</w:t>
      </w:r>
    </w:p>
    <w:p>
      <w:pPr>
        <w:spacing w:before="120" w:after="120"/>
      </w:pPr>
      <w:r>
        <w:rPr>
          <w:sz w:val="18"/>
        </w:rPr>
        <w:t>——————————————————————————————————————————————————————————————————————</w:t>
      </w:r>
    </w:p>
    <w:p>
      <w:pPr>
        <w:spacing w:before="160" w:after="40" w:line="240" w:lineRule="auto"/>
      </w:pPr>
      <w:r>
        <w:rPr>
          <w:b/>
        </w:rPr>
        <w:t xml:space="preserve">[4] </w:t>
      </w:r>
      <w:hyperlink r:id="rId91">
        <w:r>
          <w:rPr>
            <w:color w:val="1155CC"/>
            <w:u w:val="single"/>
          </w:rPr>
          <w:t>协同界面机械粘合剂设计，用于实际软包电池中的高面积容量和长寿命硅基负极</w:t>
        </w:r>
      </w:hyperlink>
    </w:p>
    <w:p>
      <w:pPr>
        <w:spacing w:before="0" w:after="80"/>
      </w:pPr>
      <w:r>
        <w:rPr>
          <w:i/>
          <w:sz w:val="20"/>
        </w:rPr>
        <w:t>EN: Synergistic interfacial-mechanical binder design for high-areal-capacity and long-lifespan Si-based negative electrodes in practical pouch cells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高能量密度锂离子电池需要高硅硅石墨复合负极，但其商业化仍然受到界面不相容性和机械不稳定性的阻碍。虽然理想的粘合剂必须同时实现对硅和石墨的牢固粘合，适应硅体积的显着变化，并保持粘合剂的高体积稳定性，但现有系统无法协调这些要求。在这里，我们提出了一种分子工程粘合剂，通过界面机械协同作用解决了这个难题。通过集成疏水性软共聚物和亲水性硬共聚物，我们的设计实现了两亲界面粘附，并提供专门定制的机械性能以适应硅体积的变化。超分子交联剂进一步增强链间内聚力，确保长循环寿命期间粘合剂的整体稳定性。该设计使 2 Ah 级软包电池能够在 0.3 C 下维持 500 个循环，平均库仑效率为 99.83%。在商业粘合剂负载量为 5 wt% 时，1 Ah 电池在 1 C 下可进行 2000 多次循环，平均库仑效率为 99.93%。我们的工作不仅有可能解决硅基负极中界面稳定性和机械稳定性之间长期存在的权衡问题，而且还为设计针对能量密集、耐用电池的下一代粘合剂提供了实用的框架。</w:t>
      </w:r>
    </w:p>
    <w:p>
      <w:pPr>
        <w:spacing w:before="0" w:after="200" w:lineRule="auto" w:line="276"/>
      </w:pPr>
      <w:r>
        <w:rPr>
          <w:b/>
        </w:rPr>
        <w:t xml:space="preserve">Abstract (EN): </w:t>
      </w:r>
      <w:r>
        <w:t>The pursuit of high-energy-density lithium-ion batteries demands high-silicon silicon-graphite composite negative electrodes, yet their commercialization remains hindered by interfacial incompatibility and mechanical instability. While an ideal binder must simultaneously achieve robust adhesion to both silicon and graphite, accommodate substantial silicon volume changes, and maintain high binder bulk stability, existing systems fail to harmonize these requirements. Here, we present a molecularly engineered binder that resolves this trilemma through interfacial-mechanical synergy. By integrating a hydrophobic-soft copolymer and hydrophilic-hard copolymer, our design enables amphiphilic interfacial adhesion and provides mechanical properties specifically tailored to accommodate silicon volume changes. A supramolecular crosslinker further reinforces interchain cohesion, ensuring binder bulk stability during long cycling life. This design enables a 2 Ah-level pouch cell to sustain 500 cycles at 0.3 C with 99.83% average Coulombic efficiency. At a commercial binder loading of 5 wt%, 1 Ah cells deliver over 2000 cycles at 1 C with an average Coulombic efficiency of 99.93%. Our work has the potential to not only resolve the long-standing trade-off between interfacial and mechanical stability in silicon-based negative electrodes but also provide a practical framework for designing next-generation binders targeting energy-dense, durable batteries.</w:t>
      </w:r>
    </w:p>
    <w:p>
      <w:pPr>
        <w:spacing w:before="120" w:after="120"/>
      </w:pPr>
      <w:r>
        <w:rPr>
          <w:sz w:val="18"/>
        </w:rPr>
        <w:t>——————————————————————————————————————————————————————————————————————</w:t>
      </w:r>
    </w:p>
    <w:p>
      <w:pPr>
        <w:spacing w:before="160" w:after="40" w:line="240" w:lineRule="auto"/>
      </w:pPr>
      <w:r>
        <w:rPr>
          <w:b/>
        </w:rPr>
        <w:t xml:space="preserve">[5] </w:t>
      </w:r>
      <w:hyperlink r:id="rId92">
        <w:r>
          <w:rPr>
            <w:color w:val="1155CC"/>
            <w:u w:val="single"/>
          </w:rPr>
          <w:t>具有负电亚 1 nm 通道的固有微孔人工 SEI 聚合物，用于坚固的锂金属阳极</w:t>
        </w:r>
      </w:hyperlink>
    </w:p>
    <w:p>
      <w:pPr>
        <w:spacing w:before="0" w:after="80"/>
      </w:pPr>
      <w:r>
        <w:rPr>
          <w:i/>
          <w:sz w:val="20"/>
        </w:rPr>
        <w:t>EN: Polymer of Intrinsic Microporosity‐Derived Artificial SEI With Electronegative Sub‐1‐nm Channels for Robust Li‐Metal Anodes</w:t>
      </w:r>
    </w:p>
    <w:p>
      <w:pPr>
        <w:spacing w:before="0" w:after="120"/>
      </w:pPr>
      <w:r>
        <w:rPr>
          <w:b/>
        </w:rPr>
        <w:t xml:space="preserve">Source: </w:t>
      </w:r>
      <w:r>
        <w:t>Wiley: Angewandte Chemie International Edition: Table of Contents</w:t>
      </w:r>
      <w:r>
        <w:t xml:space="preserve">    </w:t>
      </w:r>
      <w:r>
        <w:rPr>
          <w:b/>
        </w:rPr>
        <w:t xml:space="preserve">Pub date: </w:t>
      </w:r>
      <w:r>
        <w:t>2026-07-15 11:43:30+00:00</w:t>
      </w:r>
      <w:r>
        <w:t xml:space="preserve">    </w:t>
      </w:r>
      <w:r>
        <w:rPr>
          <w:b/>
        </w:rPr>
        <w:t xml:space="preserve">DOI: </w:t>
      </w:r>
      <w:hyperlink r:id="rId93">
        <w:r>
          <w:rPr>
            <w:color w:val="1155CC"/>
            <w:u w:val="single"/>
          </w:rPr>
          <w:t>10.1002/anie.8884248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不稳定的锂电解质界面仍然是在高电流密度（≥ 3 mA cm）下实际运行的下一代锂金属电池的主要瓶颈</w:t>
      </w:r>
      <w:r>
        <w:t xml:space="preserve"> </w:t>
      </w:r>
      <w:r>
        <w:t>−2</w:t>
      </w:r>
      <w:r>
        <w:t xml:space="preserve"> </w:t>
      </w:r>
      <w:r>
        <w:t>）和大面积容量（≥ 3 mAh cm</w:t>
      </w:r>
      <w:r>
        <w:t xml:space="preserve"> </w:t>
      </w:r>
      <w:r>
        <w:t>−2</w:t>
      </w:r>
      <w:r>
        <w:t xml:space="preserve"> </w:t>
      </w:r>
      <w:r>
        <w:t>）。在这里，我们提出了一种几何-电子-化学三重工程策略，开发一种基于精心设计的负电性亚纳米通道固有微孔聚合物（SCFPIM）的新型多功能人造固体电解质界面（ASEI），以获得超稳定、超高倍率和超大容量的锂金属负极。 SCFPIM 具有固有的 ~0.57 nm 孔，并包含冠醚和 –CF</w:t>
      </w:r>
      <w:r>
        <w:rPr>
          <w:vertAlign w:val="subscript"/>
        </w:rPr>
        <w:t>3</w:t>
      </w:r>
      <w:r>
        <w:t>通过 Tröger 的基本单元连接的功能，实现独特的多重调节效果，实现 Li 之间的平衡</w:t>
      </w:r>
      <w:r>
        <w:t xml:space="preserve"> </w:t>
      </w:r>
      <w:r>
        <w:t>+</w:t>
      </w:r>
      <w:r>
        <w:t xml:space="preserve"> </w:t>
      </w:r>
      <w:r>
        <w:t>电导率、选择性和界面稳定性。具体来说，亚纳米通道施加几何限制效应，选择性地筛选电解质物质以增加Li</w:t>
      </w:r>
      <w:r>
        <w:t xml:space="preserve"> </w:t>
      </w:r>
      <w:r>
        <w:t>+</w:t>
      </w:r>
      <w:r>
        <w:t xml:space="preserve"> </w:t>
      </w:r>
      <w:r>
        <w:t>转移数（0.85）和降低的Li</w:t>
      </w:r>
      <w:r>
        <w:t xml:space="preserve"> </w:t>
      </w:r>
      <w:r>
        <w:t>+</w:t>
      </w:r>
      <w:r>
        <w:t xml:space="preserve"> </w:t>
      </w:r>
      <w:r>
        <w:t>去溶剂化势垒，而负电通道环境抑制阴离子积累并促进连续的低能垒Li</w:t>
      </w:r>
      <w:r>
        <w:t xml:space="preserve"> </w:t>
      </w:r>
      <w:r>
        <w:t>+</w:t>
      </w:r>
      <w:r>
        <w:t xml:space="preserve"> </w:t>
      </w:r>
      <w:r>
        <w:t>运输。同时，-CF的优先分解</w:t>
      </w:r>
      <w:r>
        <w:rPr>
          <w:vertAlign w:val="subscript"/>
        </w:rPr>
        <w:t>3</w:t>
      </w:r>
      <w:r>
        <w:t>部分有利我</w:t>
      </w:r>
    </w:p>
    <w:p>
      <w:pPr>
        <w:spacing w:before="0" w:after="200" w:lineRule="auto" w:line="276"/>
      </w:pPr>
      <w:r>
        <w:rPr>
          <w:b/>
        </w:rPr>
        <w:t xml:space="preserve">Abstract (EN): </w:t>
      </w:r>
      <w:r>
        <w:t>An unstable Li–electrolyte interface remains a major bottleneck for next‐generation Li‐metal batteries practically operated at high current densities (≥ 3 mA cm</w:t>
      </w:r>
      <w:r>
        <w:t xml:space="preserve"> </w:t>
      </w:r>
      <w:r>
        <w:t>−2</w:t>
      </w:r>
      <w:r>
        <w:t xml:space="preserve"> </w:t>
      </w:r>
      <w:r>
        <w:t>) and large areal capacities (≥ 3 mAh cm</w:t>
      </w:r>
      <w:r>
        <w:t xml:space="preserve"> </w:t>
      </w:r>
      <w:r>
        <w:t>−2</w:t>
      </w:r>
      <w:r>
        <w:t xml:space="preserve"> </w:t>
      </w:r>
      <w:r>
        <w:t>). Here, we propose a geometric‐electronic‐chemical triple‐engineering strategy to develop a new multifunctional artificial solid‐electrolyte interphase (ASEI) based on well‐designed electronegative subnanometer‐channeled polymer of intrinsic microporosity (SCFPIM) for attaining ultrastable, ultrahigh‐rate, and ultralarge‐capacity Li‐metal anodes. The SCFPIM features intrinsic ∼0.57 nm pores and incorporates crown‐ether and –CF</w:t>
      </w:r>
      <w:r>
        <w:rPr>
          <w:vertAlign w:val="subscript"/>
        </w:rPr>
        <w:t>3</w:t>
      </w:r>
      <w:r>
        <w:t>functionalities connected via Tröger's base units, enabling unique multi‐regulation effects that achieve a balance among Li</w:t>
      </w:r>
      <w:r>
        <w:t xml:space="preserve"> </w:t>
      </w:r>
      <w:r>
        <w:t>+</w:t>
      </w:r>
      <w:r>
        <w:t xml:space="preserve"> </w:t>
      </w:r>
      <w:r>
        <w:t>conductivity, selectivity, and interfacial stability. Specifically, the sub‐nanometer channels impose a geometric confinement effect that selectively sieves electrolyte species for increased Li</w:t>
      </w:r>
      <w:r>
        <w:t xml:space="preserve"> </w:t>
      </w:r>
      <w:r>
        <w:t>+</w:t>
      </w:r>
      <w:r>
        <w:t xml:space="preserve"> </w:t>
      </w:r>
      <w:r>
        <w:t>transference number (0.85) and lowered Li</w:t>
      </w:r>
      <w:r>
        <w:t xml:space="preserve"> </w:t>
      </w:r>
      <w:r>
        <w:t>+</w:t>
      </w:r>
      <w:r>
        <w:t xml:space="preserve"> </w:t>
      </w:r>
      <w:r>
        <w:t>desolvation barrier, while electronegative channel environments suppress anion accumulation and promote continuous low‐energy‐barrier Li</w:t>
      </w:r>
      <w:r>
        <w:t xml:space="preserve"> </w:t>
      </w:r>
      <w:r>
        <w:t>+</w:t>
      </w:r>
      <w:r>
        <w:t xml:space="preserve"> </w:t>
      </w:r>
      <w:r>
        <w:t>transport. Concurrently, the preferential decomposition of –CF</w:t>
      </w:r>
      <w:r>
        <w:rPr>
          <w:vertAlign w:val="subscript"/>
        </w:rPr>
        <w:t>3</w:t>
      </w:r>
      <w:r>
        <w:t>moieties favorably induces a robust bilayer SEI with a LiF‐rich inner layer, reinforcing interfacial stability under high Li</w:t>
      </w:r>
      <w:r>
        <w:t xml:space="preserve"> </w:t>
      </w:r>
      <w:r>
        <w:t>+</w:t>
      </w:r>
      <w:r>
        <w:t xml:space="preserve"> </w:t>
      </w:r>
      <w:r>
        <w:t>flux. Thus, SCFPIM‐modified Li anodes achieve ultrastable Li plating/stripping over 6000 h at extreme conditions of 40 mA cm</w:t>
      </w:r>
      <w:r>
        <w:t xml:space="preserve"> </w:t>
      </w:r>
      <w:r>
        <w:t>−2</w:t>
      </w:r>
      <w:r>
        <w:t xml:space="preserve"> </w:t>
      </w:r>
      <w:r>
        <w:t>/40 mAh cm</w:t>
      </w:r>
      <w:r>
        <w:t xml:space="preserve"> </w:t>
      </w:r>
      <w:r>
        <w:t>−2</w:t>
      </w:r>
      <w:r>
        <w:t xml:space="preserve"> </w:t>
      </w:r>
      <w:r>
        <w:t>, superior to reported Li anodes, endowing SCFPIM@Li||LiFePO</w:t>
      </w:r>
      <w:r>
        <w:rPr>
          <w:vertAlign w:val="subscript"/>
        </w:rPr>
        <w:t>4</w:t>
      </w:r>
      <w:r>
        <w:t>full cells with remarkably‐enhanced rate and cycling performance over 3500 cycles at 10 C.</w:t>
      </w:r>
    </w:p>
    <w:p>
      <w:pPr>
        <w:spacing w:before="120" w:after="120"/>
      </w:pPr>
      <w:r>
        <w:rPr>
          <w:sz w:val="18"/>
        </w:rPr>
        <w:t>——————————————————————————————————————————————————————————————————————</w:t>
      </w:r>
    </w:p>
    <w:p>
      <w:pPr>
        <w:spacing w:before="160" w:after="40" w:line="240" w:lineRule="auto"/>
      </w:pPr>
      <w:r>
        <w:rPr>
          <w:b/>
        </w:rPr>
        <w:t xml:space="preserve">[6] </w:t>
      </w:r>
      <w:hyperlink r:id="rId94">
        <w:r>
          <w:rPr>
            <w:color w:val="1155CC"/>
            <w:u w:val="single"/>
          </w:rPr>
          <w:t>钠离子电池二甘醇二甲醚和碳酸盐电解质中微米和纳米锡的电化学性能研究（Adv. Energy Mater. 27/2026）</w:t>
        </w:r>
      </w:hyperlink>
    </w:p>
    <w:p>
      <w:pPr>
        <w:spacing w:before="0" w:after="80"/>
      </w:pPr>
      <w:r>
        <w:rPr>
          <w:i/>
          <w:sz w:val="20"/>
        </w:rPr>
        <w:t>EN: Investigation Into the Electrochemical Performance of Micron‐ and Nanosized Tin in Diglyme and Carbonate Electrolytes in Sodium Ion Batteries (Adv. Energy Mater. 27/2026)</w:t>
      </w:r>
    </w:p>
    <w:p>
      <w:pPr>
        <w:spacing w:before="0" w:after="120"/>
      </w:pPr>
      <w:r>
        <w:rPr>
          <w:b/>
        </w:rPr>
        <w:t xml:space="preserve">Source: </w:t>
      </w:r>
      <w:r>
        <w:t>Wiley: Advanced Energy Materials: Table of Contents</w:t>
      </w:r>
      <w:r>
        <w:t xml:space="preserve">    </w:t>
      </w:r>
      <w:r>
        <w:rPr>
          <w:b/>
        </w:rPr>
        <w:t xml:space="preserve">Pub date: </w:t>
      </w:r>
      <w:r>
        <w:t>2026-07-15 22:52:31+00:00</w:t>
      </w:r>
      <w:r>
        <w:t xml:space="preserve">    </w:t>
      </w:r>
      <w:r>
        <w:rPr>
          <w:b/>
        </w:rPr>
        <w:t xml:space="preserve">DOI: </w:t>
      </w:r>
      <w:hyperlink r:id="rId95">
        <w:r>
          <w:rPr>
            <w:color w:val="1155CC"/>
            <w:u w:val="single"/>
          </w:rPr>
          <w:t>10.1002/aenm.71149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96">
        <w:r>
          <w:rPr>
            <w:color w:val="1155CC"/>
            <w:u w:val="single"/>
          </w:rPr>
          <w:t>由亲锂单层组装的纳米皱缩微凹结构实现的高性能弹性锂金属阳极（Adv. Energy Mater. 27/2026）</w:t>
        </w:r>
      </w:hyperlink>
    </w:p>
    <w:p>
      <w:pPr>
        <w:spacing w:before="0" w:after="80"/>
      </w:pPr>
      <w:r>
        <w:rPr>
          <w:i/>
          <w:sz w:val="20"/>
        </w:rPr>
        <w:t>EN: High‐Performance Elastomeric Lithium Metal Anodes Enabled by a Lithiophilic Monolayer‐Assembled Nano‐Crumpled Micro‐Concave Architecture (Adv. Energy Mater. 27/2026)</w:t>
      </w:r>
    </w:p>
    <w:p>
      <w:pPr>
        <w:spacing w:before="0" w:after="120"/>
      </w:pPr>
      <w:r>
        <w:rPr>
          <w:b/>
        </w:rPr>
        <w:t xml:space="preserve">Source: </w:t>
      </w:r>
      <w:r>
        <w:t>Wiley: Advanced Energy Materials: Table of Contents</w:t>
      </w:r>
      <w:r>
        <w:t xml:space="preserve">    </w:t>
      </w:r>
      <w:r>
        <w:rPr>
          <w:b/>
        </w:rPr>
        <w:t xml:space="preserve">Pub date: </w:t>
      </w:r>
      <w:r>
        <w:t>2026-07-15 22:52:31+00:00</w:t>
      </w:r>
      <w:r>
        <w:t xml:space="preserve">    </w:t>
      </w:r>
      <w:r>
        <w:rPr>
          <w:b/>
        </w:rPr>
        <w:t xml:space="preserve">DOI: </w:t>
      </w:r>
      <w:hyperlink r:id="rId97">
        <w:r>
          <w:rPr>
            <w:color w:val="1155CC"/>
            <w:u w:val="single"/>
          </w:rPr>
          <w:t>10.1002/aenm.71188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83">
        <w:r>
          <w:rPr>
            <w:color w:val="1155CC"/>
            <w:u w:val="single"/>
          </w:rPr>
          <w:t>通过辊转印预锂化和软金属导电添加剂减轻全固态锂离子电池中的无阳极液硅阳极故障</w:t>
        </w:r>
      </w:hyperlink>
    </w:p>
    <w:p>
      <w:pPr>
        <w:spacing w:before="0" w:after="80"/>
      </w:pPr>
      <w:r>
        <w:rPr>
          <w:i/>
          <w:sz w:val="20"/>
        </w:rPr>
        <w:t>EN: Mitigating Anolyte-Free Si Anode Failure in All-Solid-State Lithium-Ion Batteries via Roll-Transfer Printing Prelithiation and Soft Metal Conductive Additives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84">
        <w:r>
          <w:rPr>
            <w:color w:val="1155CC"/>
            <w:u w:val="single"/>
          </w:rPr>
          <w:t>10.1021/acsami.6c06848</w:t>
        </w:r>
      </w:hyperlink>
    </w:p>
    <w:p>
      <w:pPr>
        <w:spacing w:before="0" w:after="120"/>
      </w:pPr>
      <w:r>
        <w:rPr>
          <w:b/>
        </w:rPr>
        <w:t xml:space="preserve">Notes: </w:t>
      </w:r>
      <w:r>
        <w:t>abstract_source=pubmed</w:t>
      </w:r>
    </w:p>
    <w:p>
      <w:pPr>
        <w:spacing w:before="0" w:after="80" w:lineRule="auto" w:line="276"/>
      </w:pPr>
      <w:r>
        <w:rPr>
          <w:b/>
        </w:rPr>
        <w:t xml:space="preserve">摘要（ZH）: </w:t>
      </w:r>
      <w:r>
        <w:t>含有 ≥95 wt% 微硅材料的无阳极液硅阳极在硫化物基全固态锂离子电池（ASSLIB）中的应用代表了实现高能量密度的非常有前途的途径。然而，它们的实际应用受到初始库仑效率低和循环稳定性差的阻碍，这源于硅的快速界面化学机械降解。为了克服这些限制，我们将锂活性软金属（例如 In、Sn 和 Al）融入无阳极电解液的 Si 电极中，并通过无溶剂、可扩展的辊转印技术进一步对复合材料进行预锂化。研究发现，锂化软金属充当坚固的混合离子电子导体，充当自适应导电相，缓冲应力并有助于在硅体积变化期间保持界面接触。这种效应有助于缓解循环过程中的应力集中并保留离子/电子渗透路径。因此，含有 40 wt% In (PLi-6Si4In) 的优化阳极可提供稳定的长期循环。当与高面积负载 LiNi0.7Co0.2Mn0.1O2 阴极 (26.5 mg cm-2) 结合使用时，全电池在室温下 0.5C 循环 700 次后表现出 72.7% 的容量保持率。为了满足实际需求，我们还制造了超高正极负载量（39.7 mg cm-2）和正负极容量比（1.32）的全电池，接近工业规格，100次循环后容量保持率保持在81.8%。这些发现强调，结合卷筒转移印刷预刻</w:t>
      </w:r>
    </w:p>
    <w:p>
      <w:pPr>
        <w:spacing w:before="0" w:after="200" w:lineRule="auto" w:line="276"/>
      </w:pPr>
      <w:r>
        <w:rPr>
          <w:b/>
        </w:rPr>
        <w:t xml:space="preserve">Abstract (EN): </w:t>
      </w:r>
      <w:r>
        <w:t>The application of anolyte-free Si anodes containing ≥95 wt % micro-Si material in sulfide-based all-solid-state lithium-ion batteries (ASSLIBs) represents a highly promising route toward achieving high energy density. Nevertheless, their practical implementation is hindered by low initial Coulombic efficiency and poor cycling stability, which originate from the rapid interfacial chemomechanical degradation of Si. To overcome these limitations, we incorporate lithium-active soft metals (e.g., In, Sn, and Al) into anolyte-free Si electrodes and further prelithiate the composite by a solvent-free, scalable roll-transfer printing technique. It is found that the lithiated soft metals function as robust mixed ionic-electronic conductors, serving as a self-adaptive conductive phase that buffers stress and helps preserve interfacial contact during Si volume changes. This effect helps alleviate stress concentration and preserve ionic/electronic percolation pathways during cycling. Accordingly, the optimized anode with 40 wt % In (PLi-6Si4In) delivers stable long-term cycling. When coupled with a high-areal-loading LiNi0.7Co0.2Mn0.1O2 cathode (26.5 mg cm-2), the full cell exhibits 72.7% capacity retention after 700 cycles at 0.5C at room temperature. To meet practical requirements, we also fabricate full cells with ultra-high cathode loading (39.7 mg cm-2) and a negative-to-positive electrode capacity ratio (1.32), approaching industrial specifications, which maintain 81.8% capacity retention after 100 cycles. These findings highlight that combining roll-transfer printing prelithiation with lithium-active soft metal buffering effectively addresses the persistent challenge of chemomechanical degradation in Si anodes, advancing the development of all-solid-state batteries toward commercial viability.</w:t>
      </w:r>
    </w:p>
    <w:p>
      <w:pPr>
        <w:spacing w:before="120" w:after="120"/>
      </w:pPr>
      <w:r>
        <w:rPr>
          <w:sz w:val="18"/>
        </w:rPr>
        <w:t>——————————————————————————————————————————————————————————————————————</w:t>
      </w:r>
    </w:p>
    <w:p>
      <w:pPr>
        <w:spacing w:before="160" w:after="40" w:line="240" w:lineRule="auto"/>
      </w:pPr>
      <w:r>
        <w:rPr>
          <w:b/>
        </w:rPr>
        <w:t xml:space="preserve">[9] </w:t>
      </w:r>
      <w:hyperlink r:id="rId98">
        <w:r>
          <w:rPr>
            <w:color w:val="1155CC"/>
            <w:u w:val="single"/>
          </w:rPr>
          <w:t>锰辅助石墨域和孔隙结构的微观结构重建和氮掺杂工程，以实现硬碳中优异的钠存储</w:t>
        </w:r>
      </w:hyperlink>
    </w:p>
    <w:p>
      <w:pPr>
        <w:spacing w:before="0" w:after="80"/>
      </w:pPr>
      <w:r>
        <w:rPr>
          <w:i/>
          <w:sz w:val="20"/>
        </w:rPr>
        <w:t>EN: Mn-Assisted Microstructural Reconstruction and Nitrogen Doping Engineering of Graphitic Domains and Pore Architecture for Superior Sodium Storage in Hard Carbon</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99">
        <w:r>
          <w:rPr>
            <w:color w:val="1155CC"/>
            <w:u w:val="single"/>
          </w:rPr>
          <w:t>10.1021/acsami.6c06252</w:t>
        </w:r>
      </w:hyperlink>
    </w:p>
    <w:p>
      <w:pPr>
        <w:spacing w:before="0" w:after="120"/>
      </w:pPr>
      <w:r>
        <w:rPr>
          <w:b/>
        </w:rPr>
        <w:t xml:space="preserve">Notes: </w:t>
      </w:r>
      <w:r>
        <w:t>abstract_source=pubmed</w:t>
      </w:r>
    </w:p>
    <w:p>
      <w:pPr>
        <w:spacing w:before="0" w:after="80" w:lineRule="auto" w:line="276"/>
      </w:pPr>
      <w:r>
        <w:rPr>
          <w:b/>
        </w:rPr>
        <w:t xml:space="preserve">摘要（ZH）: </w:t>
      </w:r>
      <w:r>
        <w:t>钠离子电池（SIB）在大规模储能方面前景广阔，但其性能受到硬碳（HC）阳极在容量、倍率性能、循环稳定性和初始库仑效率（ICE）之间固有权衡的限制。由于不受控制的缺陷产生和副反应，传统策略通常会以牺牲 ICE 为代价来提高层间距或缺陷密度。在此，我们提出了一种新颖的瞬态锰辅助微观结构重建策略，以打破HC中关键结构参数之间的内在耦合。使用合理设计的锰基和铵基前驱体，我们在热解过程中协调同时发生的锰物质挥发和原位气体释放，以独立定制碳氢化合物结构。含锰物质的短暂存在促进石墨域重建，优化石墨微晶，并调节孔隙演化。空位产生和气体蚀刻共同构建了分层孔隙网络，可防止孔隙堵塞并提供畅通无阻的离子通道。同时，该过程丰富了活性吡啶氮，以加速反应动力学。 Mn辅助微观结构重建和氮掺杂的协同组合赋予所得到的HC负极在0.1 C时具有337.46 mAh g-1的高放电比容量、出色的倍率性能（5 C时为209.17 mAh g-1）、90.91%的高初始库伦效率以及2000次循环后的82.24%的容量保持率。此外，全电池演示证实了该策略的实际可行性。这个工作关了</w:t>
      </w:r>
    </w:p>
    <w:p>
      <w:pPr>
        <w:spacing w:before="0" w:after="200" w:lineRule="auto" w:line="276"/>
      </w:pPr>
      <w:r>
        <w:rPr>
          <w:b/>
        </w:rPr>
        <w:t xml:space="preserve">Abstract (EN): </w:t>
      </w:r>
      <w:r>
        <w:t>Sodium-ion batteries (SIBs) are promising for large-scale energy storage, yet their performance is limited by intrinsic trade-offs in hard carbon (HC) anodes among capacity, rate capability, cycling stability, and initial coulombic efficiency (ICE). Conventional strategies often enhance interlayer spacing or defect density at the expense of ICE due to uncontrolled defect generation and side reactions. Herein, we propose a novel transient Mn-assisted microstructural reconstruction strategy to break the intrinsic coupling between key structural parameters in HC. Using a rationally designed Mn- and ammonium-based precursor, we orchestrate concurrent Mn species volatilization and in situ gas release during pyrolysis to independently tailor the HC architecture. The transient presence of Mn-containing species promotes graphitic-domain reconstruction, optimizes graphitic microcrystallites, and regulates pore evolution. The vacancy creation and gas etching cobuild a hierarchical pore network that prevents pore blockage and offers unobstructed ion pathways. Simultaneously, this process enriches active pyridinic nitrogen for accelerated reaction kinetics. The synergistic combination of Mn-assisted microstructural reconstruction and nitrogen doping endow the resulting HC anode with a high discharge specific capacity of 337.46 mAh g-1 at 0.1 C, outstanding rate capability (209.17 mAh g-1 at 5 C), a high initial coulombic efficiency of 90.91%, and 82.24% capacity retention over 2000 cycles. Further, the full-cell demonstrations confirm practical viability of this strategy. This work offers a generalizable route to decouple and independently tune critical structural parameters of high-performance HC anodes.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00">
        <w:r>
          <w:rPr>
            <w:color w:val="1155CC"/>
            <w:u w:val="single"/>
          </w:rPr>
          <w:t>深入了解醚基电解质中浓度交叉驱动的溶剂化转变</w:t>
        </w:r>
      </w:hyperlink>
    </w:p>
    <w:p>
      <w:pPr>
        <w:spacing w:before="0" w:after="80"/>
      </w:pPr>
      <w:r>
        <w:rPr>
          <w:i/>
          <w:sz w:val="20"/>
        </w:rPr>
        <w:t>EN: Insights into Solvation Transition Driven by Concentration Crossover in Ether-Based Electrolytes</w:t>
      </w:r>
    </w:p>
    <w:p>
      <w:pPr>
        <w:spacing w:before="0" w:after="120"/>
      </w:pPr>
      <w:r>
        <w:rPr>
          <w:b/>
        </w:rPr>
        <w:t xml:space="preserve">Source: </w:t>
      </w:r>
      <w:r>
        <w:t>ACS Energy Letters: Latest Articles (ACS Publications)</w:t>
      </w:r>
      <w:r>
        <w:t xml:space="preserve">    </w:t>
      </w:r>
      <w:r>
        <w:rPr>
          <w:b/>
        </w:rPr>
        <w:t xml:space="preserve">Pub date: </w:t>
      </w:r>
      <w:r>
        <w:t>2026-07-11 00:00:00+00:00</w:t>
      </w:r>
      <w:r>
        <w:t xml:space="preserve">    </w:t>
      </w:r>
      <w:r>
        <w:rPr>
          <w:b/>
        </w:rPr>
        <w:t xml:space="preserve">DOI: </w:t>
      </w:r>
      <w:hyperlink r:id="rId101">
        <w:r>
          <w:rPr>
            <w:color w:val="1155CC"/>
            <w:u w:val="single"/>
          </w:rPr>
          <w:t>10.1021/acsenergylett.6c01009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2">
        <w:r>
          <w:rPr>
            <w:color w:val="1155CC"/>
            <w:u w:val="single"/>
          </w:rPr>
          <w:t>动态溶剂化结构调节可实现长寿命锂有机电池</w:t>
        </w:r>
      </w:hyperlink>
    </w:p>
    <w:p>
      <w:pPr>
        <w:spacing w:before="0" w:after="80"/>
      </w:pPr>
      <w:r>
        <w:rPr>
          <w:i/>
          <w:sz w:val="20"/>
        </w:rPr>
        <w:t>EN: Dynamic Solvation Structure Regulation Enables Long-Life Li–Organic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103">
        <w:r>
          <w:rPr>
            <w:color w:val="1155CC"/>
            <w:u w:val="single"/>
          </w:rPr>
          <w:t>10.1021/jacs.6c01785</w:t>
        </w:r>
      </w:hyperlink>
    </w:p>
    <w:p>
      <w:pPr>
        <w:spacing w:before="0" w:after="120"/>
      </w:pPr>
      <w:r>
        <w:rPr>
          <w:b/>
        </w:rPr>
        <w:t xml:space="preserve">Notes: </w:t>
      </w:r>
      <w:r>
        <w:t>abstract_source=pubmed</w:t>
      </w:r>
    </w:p>
    <w:p>
      <w:pPr>
        <w:spacing w:before="0" w:after="80" w:lineRule="auto" w:line="276"/>
      </w:pPr>
      <w:r>
        <w:rPr>
          <w:b/>
        </w:rPr>
        <w:t xml:space="preserve">摘要（ZH）: </w:t>
      </w:r>
      <w:r>
        <w:t>具有有机羰基电极材料（OCEM）的锂有机电池被认为是一种可持续的储能技术，但面临着OCEM在电解质中高度溶解的严峻挑战。为了解决这个问题，传统策略主要关注调节静态溶剂-OCEM 相互作用，但往往忽视动态溶剂化结构在控制 OCEM 溶解行为中的作用。在这里，我们提出了一种动态溶剂化结构调节策略，以解决动态电化学过程中 OCEM 的降解问题，从而实现长寿命的锂有机电池。在传统电解质中，OCEM 在动态电化学过程中可以取代阴离子参与溶剂化，从而加剧 OCEM 的持续溶解。因此筛选了一系列溶剂化结构稳定剂来解决动态溶剂化结构破坏问题。其中，2H,3H-十氟戊烷（DFP）与OCEM的相互作用最弱，同时与关键电解质成分保持适度的相互作用，从而增强了溶剂化结构的稳定性，并在动态电化学过程中有效地将OCEM与溶剂化网络隔离。最佳的溶剂化隔离电解质 (SIE) 使锂芘-4,5,9,10-四酮 (Li-PTO) 电池能够提供卓越的循环稳定性，在 2C 下循环 1400 次后仍保留 67% 的容量，并在 5C 下具有 236.7mAh g-1 的高倍率容量。</w:t>
      </w:r>
    </w:p>
    <w:p>
      <w:pPr>
        <w:spacing w:before="0" w:after="200" w:lineRule="auto" w:line="276"/>
      </w:pPr>
      <w:r>
        <w:rPr>
          <w:b/>
        </w:rPr>
        <w:t xml:space="preserve">Abstract (EN): </w:t>
      </w:r>
      <w:r>
        <w:t>Li-organic batteries with organic carbonyl electrode materials (OCEMs) have been considered as a sustainable energy storage technology, while suffering from a critical challenge regarding the high dissolution of OCEMs in electrolytes. To address this problem, conventional strategies primarily focus on modulating static solvent-OCEM interactions but often overlook the role of dynamic solvation structure in governing the dissolution behavior of OCEMs. Here, we propose a dynamic solvation structure regulation strategy to address the degradation of OCEMs during dynamic electrochemical processes and thus achieve long-life Li-organic batteries. In traditional electrolytes, the OCEMs could displace anions to participate in solvation during dynamic electrochemical processes, thereby exacerbating the continuous dissolution of OCEMs. A series of solvation structure stabilizers were thus screened to address the dynamic solvation structure disruption issue. Among them, 2H,3H-decafluoropentane (DFP) exhibits the weakest interaction with OCEMs while maintaining moderate interactions with key electrolyte components, thereby reinforcing the stability of the solvation structure and effectively isolating OCEMs from the solvation network during dynamic electrochemical processes. The optimal solvation-isolating electrolyte (SIE) enables Li-pyrene-4,5,9,10-tetraone (Li-PTO) batteries to deliver exceptional cycling stability, retaining 67% of its capacity after 1400 cycles at 2 C, along with a high-rate capacity of 236.7 mAh g-1 at 5 C. This study shifts the design paradigm from static dissolution suppression to dynamic solvation-structure stabilization, providing a generalizable electrolyte-engineering principle for achieving long-life Li-organic batteries.</w:t>
      </w:r>
    </w:p>
    <w:p>
      <w:pPr>
        <w:spacing w:before="120" w:after="120"/>
      </w:pPr>
      <w:r>
        <w:rPr>
          <w:sz w:val="18"/>
        </w:rPr>
        <w:t>——————————————————————————————————————————————————————————————————————</w:t>
      </w:r>
    </w:p>
    <w:p>
      <w:pPr>
        <w:spacing w:before="160" w:after="40" w:line="240" w:lineRule="auto"/>
      </w:pPr>
      <w:r>
        <w:rPr>
          <w:b/>
        </w:rPr>
        <w:t xml:space="preserve">[3] </w:t>
      </w:r>
      <w:hyperlink r:id="rId104">
        <w:r>
          <w:rPr>
            <w:color w:val="1155CC"/>
            <w:u w:val="single"/>
          </w:rPr>
          <w:t>对高维钠电池电解质中离子电导率的数据驱动见解</w:t>
        </w:r>
      </w:hyperlink>
    </w:p>
    <w:p>
      <w:pPr>
        <w:spacing w:before="0" w:after="80"/>
      </w:pPr>
      <w:r>
        <w:rPr>
          <w:i/>
          <w:sz w:val="20"/>
        </w:rPr>
        <w:t>EN: Data-Driven Insights into Ionic Conductivity in High-Dimensional Sodium Battery Electrolytes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105">
        <w:r>
          <w:rPr>
            <w:color w:val="1155CC"/>
            <w:u w:val="single"/>
          </w:rPr>
          <w:t>10.1021/acsenergylett.6c01023</w:t>
        </w:r>
      </w:hyperlink>
    </w:p>
    <w:p>
      <w:pPr>
        <w:spacing w:before="0" w:after="120"/>
      </w:pPr>
      <w:r>
        <w:rPr>
          <w:b/>
        </w:rPr>
        <w:t xml:space="preserve">Notes: </w:t>
      </w:r>
      <w:r>
        <w:t>abstract_source=openalex</w:t>
      </w:r>
    </w:p>
    <w:p>
      <w:pPr>
        <w:spacing w:before="0" w:after="80" w:lineRule="auto" w:line="276"/>
      </w:pPr>
      <w:r>
        <w:rPr>
          <w:b/>
        </w:rPr>
        <w:t xml:space="preserve">摘要（ZH）: </w:t>
      </w:r>
      <w:r>
        <w:t>先进电池电解质的发现面临着多组分液体配方的巨大成分空间的挑战。在这里，我们介绍了电解质综合实验实验室 (ELLIE)，这是一个自动化平台，结合了电解质配方和阻抗谱，可绘制包含多达 5 种盐和 15 种溶剂的高维钠电解质的离子电导率，生成电导率跨越近两个数量级的实验数据集。 23 Na NMR、拉曼光谱和固定盐浓度下电解质子集的粘度测量表明，电导率受到 Na + 溶剂化强度、离子缔合和溶剂动力学的共同影响，并且与反粘度呈正相关。基于能斯特-爱因斯坦关系的电导率估计捕获了广泛的浓度和粘度关系，但不能很好地推断成分不同的电解质。随机森林模型将较低的溶剂分子量确定为高电导率的主要描述符。总之，这些结果将溶剂分子大小确立为离子传输的物理可解释描述符，并证明自动化实验如何能够加速复杂成分空间中数据驱动的电解质优化。</w:t>
      </w:r>
    </w:p>
    <w:p>
      <w:pPr>
        <w:spacing w:before="0" w:after="200" w:lineRule="auto" w:line="276"/>
      </w:pPr>
      <w:r>
        <w:rPr>
          <w:b/>
        </w:rPr>
        <w:t xml:space="preserve">Abstract (EN): </w:t>
      </w:r>
      <w:r>
        <w:t>The discovery of advanced battery electrolytes is challenged by the vast compositional space of multi-component liquid formulations. Here, we introduce the ELectrolyte Laboratory for Integrated Experimentation (ELLIE), an automated platform that combines electrolyte formulation and impedance spectroscopy to map ionic conductivity across high-dimensional sodium electrolytes containing up to five salts and 15 solvents, generating an experimental dataset spanning nearly two orders of magnitude in conductivity. 23 Na NMR, Raman spectroscopy, and viscosity measurements on a subset of electrolytes at a fixed salt concentration reveal that conductivity is jointly influenced by Na + solvation strength, ion association, and solvent dynamics and positively correlates with inverse viscosity. Conductivity estimates based on the Nernst–Einstein relation captures broad concentration and viscosity relationships but do not extrapolate well across compositionally diverse electrolytes. Random forest modeling identifies lower solvent molecular weight as the dominant descriptor of high conductivity. Together, these results establish solvent molecular size as a physically interpretable descriptor of ion transport and demonstrate how automated experimentation can accelerate data-driven electrolyte optimization across complex compositional spaces.</w:t>
      </w:r>
    </w:p>
    <w:p>
      <w:pPr>
        <w:spacing w:before="120" w:after="120"/>
      </w:pPr>
      <w:r>
        <w:rPr>
          <w:sz w:val="18"/>
        </w:rPr>
        <w:t>——————————————————————————————————————————————————————————————————————</w:t>
      </w:r>
    </w:p>
    <w:p>
      <w:pPr>
        <w:spacing w:before="160" w:after="40" w:line="240" w:lineRule="auto"/>
      </w:pPr>
      <w:r>
        <w:rPr>
          <w:b/>
        </w:rPr>
        <w:t xml:space="preserve">[4] </w:t>
      </w:r>
      <w:hyperlink r:id="rId106">
        <w:r>
          <w:rPr>
            <w:color w:val="1155CC"/>
            <w:u w:val="single"/>
          </w:rPr>
          <w:t>双（氟磺酰基）亚胺锂和氟代碳酸乙烯酯电解质中浓度依赖性固体电解质界面</w:t>
        </w:r>
      </w:hyperlink>
    </w:p>
    <w:p>
      <w:pPr>
        <w:spacing w:before="0" w:after="80"/>
      </w:pPr>
      <w:r>
        <w:rPr>
          <w:i/>
          <w:sz w:val="20"/>
        </w:rPr>
        <w:t>EN: Concentration-Dependent Solid Electrolyte Interphase in Lithium Bis(fluorosulfonyl)imide and Fluoroethylene Carbonate Electrolytes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107">
        <w:r>
          <w:rPr>
            <w:color w:val="1155CC"/>
            <w:u w:val="single"/>
          </w:rPr>
          <w:t>10.1021/acsenergylett.6c01286</w:t>
        </w:r>
      </w:hyperlink>
    </w:p>
    <w:p>
      <w:pPr>
        <w:spacing w:before="0" w:after="120"/>
      </w:pPr>
      <w:r>
        <w:rPr>
          <w:b/>
        </w:rPr>
        <w:t xml:space="preserve">Notes: </w:t>
      </w:r>
      <w:r>
        <w:t>abstract_source=openalex</w:t>
      </w:r>
    </w:p>
    <w:p>
      <w:pPr>
        <w:spacing w:before="0" w:after="80" w:lineRule="auto" w:line="276"/>
      </w:pPr>
      <w:r>
        <w:rPr>
          <w:b/>
        </w:rPr>
        <w:t xml:space="preserve">摘要（ZH）: </w:t>
      </w:r>
      <w:r>
        <w:t>了解氟化电解质中锂金属上固体电解质界面（SEI）的形成对于提高库仑效率（CE）至关重要。我们结合原位傅里叶变换红外光谱 (FTIR)、原位拉曼、异位 X 射线光电子能谱 (XPS) 和电化学质谱 (ECMS)，研究双(氟磺酰)亚胺锂 (LiFSI) 和氟代碳酸亚乙酯 (FEC) 电解质的浓度依赖性 SEI。原位拉曼和 FTIR 显示富含 FEC 的电解质 (50 mM) 中存在 VC 和聚 (VC)，表明非开环聚合，聚 (VC) 在较高 LiFSI 浓度下减少。与此同时，FEC 经历了多个开环途径：如 ECMS 观察到的，在 50 mM 时，FEC 形成 Li 2 CO 3 同时主要演化出 H 2 。增加LiFSI浓度有利于生成CO 2 同时抑制Li 2 CO 3 。这种浓度依赖性机制得到了深度分辨（~40 nm）XPS的进一步支持，其中Li 2 CO 3 主要存在于外部SEI中，并随着溅射深度和较高LiFSI浓度而减少。至关重要的是，LiF 是主要的盐衍生物质，随着 LiFSI 浓度的增加而急剧增加。这些结果阐明了FEC和LiFSI如何塑造SEI，并将SEI氟化和Li 2 CO 3 抑制确定为指导未来电解质设计的关键CE描述符。</w:t>
      </w:r>
    </w:p>
    <w:p>
      <w:pPr>
        <w:spacing w:before="0" w:after="200" w:lineRule="auto" w:line="276"/>
      </w:pPr>
      <w:r>
        <w:rPr>
          <w:b/>
        </w:rPr>
        <w:t xml:space="preserve">Abstract (EN): </w:t>
      </w:r>
      <w:r>
        <w:t>Understanding solid electrolyte interphase (SEI) formation on Li metal in fluorinated electrolytes is critical for improving Coulombic efficiency (CE). We combined in situ Fourier transform infrared spectroscopy (FTIR), in situ Raman, ex situ X-ray photoelectron spectroscopy (XPS), and electrochemical mass spectrometry (ECMS) to investigate concentration-dependent SEI with lithium bis(fluorosulfonyl)imide (LiFSI) and fluoroethylene carbonate (FEC) electrolytes. In situ Raman and FTIR revealed VC and poly(VC) in FEC-rich electrolyte (50 mM), indicating non-ring-opening polymerization, with poly(VC) decreasing at higher LiFSI concentration. In parallel, FEC underwent multiple ring-opening pathways: at 50 mM, FEC formed Li 2 CO 3 while evolving predominantly H 2, as observed by ECMS. Increasing LiFSI concentration favored making CO 2 while suppressing Li 2 CO 3 . This concentration-dependent mechanism was further supported by depth-resolved (∼40 nm) XPS, where Li 2 CO 3 resided predominately in the outer SEI and decreased with sputter depth and at higher LiFSI concentration. Critically, LiF was the dominant salt-derived species, which increased sharply with LiFSI concentration. These results elucidate how FEC and LiFSI shape the SEI, and identify both SEI fluorination and Li 2 CO 3 suppression as key CE descriptors to guide future electrolyte design.</w:t>
      </w:r>
    </w:p>
    <w:p>
      <w:pPr>
        <w:spacing w:before="120" w:after="120"/>
      </w:pPr>
      <w:r>
        <w:rPr>
          <w:sz w:val="18"/>
        </w:rPr>
        <w:t>——————————————————————————————————————————————————————————————————————</w:t>
      </w:r>
    </w:p>
    <w:p>
      <w:pPr>
        <w:spacing w:before="160" w:after="40" w:line="240" w:lineRule="auto"/>
      </w:pPr>
      <w:r>
        <w:rPr>
          <w:b/>
        </w:rPr>
        <w:t xml:space="preserve">[5] </w:t>
      </w:r>
      <w:hyperlink r:id="rId108">
        <w:r>
          <w:rPr>
            <w:color w:val="1155CC"/>
            <w:u w:val="single"/>
          </w:rPr>
          <w:t>纳米工程掺杂克服了石榴石电解质全固态锂电池的烧结和晶界限制</w:t>
        </w:r>
      </w:hyperlink>
    </w:p>
    <w:p>
      <w:pPr>
        <w:spacing w:before="0" w:after="80"/>
      </w:pPr>
      <w:r>
        <w:rPr>
          <w:i/>
          <w:sz w:val="20"/>
        </w:rPr>
        <w:t>EN: Nanoengineered doping overcomes sintering and grain-boundary limitations in all-solid-state lithium batteries with garnet electrolytes</w:t>
      </w:r>
    </w:p>
    <w:p>
      <w:pPr>
        <w:spacing w:before="0" w:after="120"/>
      </w:pPr>
      <w:r>
        <w:rPr>
          <w:b/>
        </w:rPr>
        <w:t xml:space="preserve">Source: </w:t>
      </w:r>
      <w:r>
        <w:t>Nature Nanotechnology</w:t>
      </w:r>
      <w:r>
        <w:t xml:space="preserve">    </w:t>
      </w:r>
      <w:r>
        <w:rPr>
          <w:b/>
        </w:rPr>
        <w:t xml:space="preserve">Pub date: </w:t>
      </w:r>
      <w:r>
        <w:t>2026-07-13 00:00:00+00:00</w:t>
      </w:r>
      <w:r>
        <w:t xml:space="preserve">    </w:t>
      </w:r>
      <w:r>
        <w:rPr>
          <w:b/>
        </w:rPr>
        <w:t xml:space="preserve">DOI: </w:t>
      </w:r>
      <w:hyperlink r:id="rId109">
        <w:r>
          <w:rPr>
            <w:color w:val="1155CC"/>
            <w:u w:val="single"/>
          </w:rPr>
          <w:t>10.1038/s41565-026-02226-w</w:t>
        </w:r>
      </w:hyperlink>
    </w:p>
    <w:p>
      <w:pPr>
        <w:spacing w:before="0" w:after="120"/>
      </w:pPr>
      <w:r>
        <w:rPr>
          <w:b/>
        </w:rPr>
        <w:t xml:space="preserve">Notes: </w:t>
      </w:r>
      <w:r>
        <w:t>abstract_source=nature_html</w:t>
      </w:r>
    </w:p>
    <w:p>
      <w:pPr>
        <w:spacing w:before="0" w:after="80" w:lineRule="auto" w:line="276"/>
      </w:pPr>
      <w:r>
        <w:rPr>
          <w:b/>
        </w:rPr>
        <w:t xml:space="preserve">摘要（ZH）: </w:t>
      </w:r>
      <w:r>
        <w:t>Li6.5La3Zr1.5Ta0.5O12（LLZTO）石榴石材料由于其安全性、广泛的电化学稳定性和低空气敏感性，是一种有前途的全固态锂金属电池无机电解质。然而，LLZTO 面临着与烧结和晶界相关的严峻挑战，这对其机械和电化学性能产生了不利影响。在这里，我们建议使用 1.0 wt% 的 (Y2O3)0.08(ZrO2)0.92 (YSZ) 将钇过饱和掺杂到 Li6.72La3.00Y0.22Zr1.28Ta0.50O12 (LLYZTO) 中。在退火过程中，La-Y-O (LYO) 纳米级界面在晶界处形成。这种材料纳米工程方法提高了压痕断裂韧性，增加了临界电流密度并增强了体离子电导率，同时保持了低电子电导率。含有 1.0 wt% YSZ (LLYZTO–1.0 wt% YSZ) 的 LLYZTO 比未掺杂的对应物具有更强的疏锂性，并且可以适应电池运行期间 LiCoO2 的体积变化，从而使 2.2 mAh cm−2 全固态 Li||LiCoO2 纽扣电池能够在 0.66 mA cm−2 下提供 2.0 mAh cm−2 电流，并在 100 多个循环中循环。 30 °C 和 1 MPa 烟囱压力。 LLYZTO–1.0 wt% YSZ 的断裂韧性还允许烧结制造方形 5.29 cm2 和 150 µm 厚的电解质膜，可有效用于实验室规模的 Li||LiCoO2 软包电池。我们还展示了 LYO 界面方法扩展到其他锂基无机固体电解质。</w:t>
      </w:r>
    </w:p>
    <w:p>
      <w:pPr>
        <w:spacing w:before="0" w:after="200" w:lineRule="auto" w:line="276"/>
      </w:pPr>
      <w:r>
        <w:rPr>
          <w:b/>
        </w:rPr>
        <w:t xml:space="preserve">Abstract (EN): </w:t>
      </w:r>
      <w:r>
        <w:t>Li6.5La3Zr1.5Ta0.5O12 (LLZTO) garnet material is a promising inorganic electrolyte for all-solid-state lithium metal batteries because of its safety, broad electrochemical stability and low air sensitivity. However, LLZTO faces critical challenges related to sintering and grain boundaries that adversely affect its mechanical and electrochemical properties. Here we propose oversaturation doping of yttrium into Li6.72La3.00Y0.22Zr1.28Ta0.50O12 (LLYZTO) using 1.0 wt% of (Y2O3)0.08(ZrO2)0.92 (YSZ). During annealing, a La–Y–O (LYO) nanoscale interphase forms at the grain boundaries. This material nanoengineering approach improves indentation fracture toughness, increases the critical current density and enhances bulk ionic conductivity while maintaining low electronic conductivity. The LLYZTO with 1.0 wt% of YSZ (LLYZTO–1.0 wt% YSZ) is more lithiophobic than its undoped counterpart, and accommodates the volume changes of LiCoO2 during battery operation, enabling a 2.2 mAh cm−2 all-solid-state Li||LiCoO2 coin cell to deliver 2.0 mAh cm−2 at 0.66 mA cm−2 for over 100 cycles at 30 °C and 1 MPa of stack pressure. The fracture toughness of LLYZTO–1.0 wt% YSZ also allows the sintering fabrication of a square 5.29-cm2 and 150 µm-thick electrolyte membrane, which can be effectively used in lab-scale Li||LiCoO2 pouch cells. We also demonstrate the extension of the LYO interphase approach to other Li-based inorganic solid electrolytes.</w:t>
      </w:r>
    </w:p>
    <w:p>
      <w:pPr>
        <w:spacing w:before="120" w:after="120"/>
      </w:pPr>
      <w:r>
        <w:rPr>
          <w:sz w:val="18"/>
        </w:rPr>
        <w:t>——————————————————————————————————————————————————————————————————————</w:t>
      </w:r>
    </w:p>
    <w:p>
      <w:pPr>
        <w:spacing w:before="160" w:after="40" w:line="240" w:lineRule="auto"/>
      </w:pPr>
      <w:r>
        <w:rPr>
          <w:b/>
        </w:rPr>
        <w:t xml:space="preserve">[6] </w:t>
      </w:r>
      <w:hyperlink r:id="rId66">
        <w:r>
          <w:rPr>
            <w:color w:val="1155CC"/>
            <w:u w:val="single"/>
          </w:rPr>
          <w:t>通过原位同步加速器 X 射线吸收光谱实时监测全固态锂硫电池的多相演化</w:t>
        </w:r>
      </w:hyperlink>
    </w:p>
    <w:p>
      <w:pPr>
        <w:spacing w:before="0" w:after="80"/>
      </w:pPr>
      <w:r>
        <w:rPr>
          <w:i/>
          <w:sz w:val="20"/>
        </w:rPr>
        <w:t>EN: Real-Time Monitoring of Multiphase Evolution in All-Solid-State Li–S Batteries via In-Situ Synchrotron X-ray Absorption Spectroscopy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67">
        <w:r>
          <w:rPr>
            <w:color w:val="1155CC"/>
            <w:u w:val="single"/>
          </w:rPr>
          <w:t>10.1021/acsami.6c10664</w:t>
        </w:r>
      </w:hyperlink>
    </w:p>
    <w:p>
      <w:pPr>
        <w:spacing w:before="0" w:after="120"/>
      </w:pPr>
      <w:r>
        <w:rPr>
          <w:b/>
        </w:rPr>
        <w:t xml:space="preserve">Notes: </w:t>
      </w:r>
      <w:r>
        <w:t>abstract_source=pubmed</w:t>
      </w:r>
    </w:p>
    <w:p>
      <w:pPr>
        <w:spacing w:before="0" w:after="80" w:lineRule="auto" w:line="276"/>
      </w:pPr>
      <w:r>
        <w:rPr>
          <w:b/>
        </w:rPr>
        <w:t xml:space="preserve">摘要（ZH）: </w:t>
      </w:r>
      <w:r>
        <w:t>全固态锂硫电池（ASSLSB）可以克服多硫化物穿梭问题，为下一代储能提供经济、高能量密度的解决方案。然而，由于复杂的多相演化，其固相反应机理仍不清楚，很难使用现有的操作方法进行分析。在这里，我们设计了一种原位电池，可在实际条件下实现实时硫 K 边 X 射线吸收光谱。同时，为了解决光谱分析的复杂性，我们引入了一种结合主成分分析和约束优化的混合方法，尽管峰重叠严重，但仍允许稳健的定量光谱反卷积。我们的结果揭示了一个两步放电途径：硫直接还原为 Li2S2，然后还原为 Li2S。此外，我们发现P2S5添加剂可以与Li2S原位反应形成固体电解质Li3PS4，增强离子传导并促进更完全的放电。这项工作建立了电化学过程中多相演化实时分析的通用框架，并阐明了 ASSLSB 中的硫氧化还原机制。</w:t>
      </w:r>
    </w:p>
    <w:p>
      <w:pPr>
        <w:spacing w:before="0" w:after="200" w:lineRule="auto" w:line="276"/>
      </w:pPr>
      <w:r>
        <w:rPr>
          <w:b/>
        </w:rPr>
        <w:t xml:space="preserve">Abstract (EN): </w:t>
      </w:r>
      <w:r>
        <w:t>All-solid-state lithium-sulfur batteries (ASSLSBs) can overcome polysulfide shuttle problem and offer an economic, high-energy-density solution for next-generation energy storage. However, its solid-phase reaction mechanism remains unclear due to complex multiphase evolution, which is difficult to analyze using existing operando methods. Here, we design an in-situ cell enabling real-time sulfur K-edge X-ray absorption spectroscopy under practical conditions. Meanwhile, to address the complexity in spectra analysis, we introduce a hybrid method combining principal component analysis and constrained optimization, allowing robust quantitative spectral deconvolution despite severe peak overlap. Our results reveal a two-step discharge pathway: sulfur directly reduces to Li2S2 and then to Li2S. Additionally, we found that a P2S5 additive can react in-situ with Li2S to form the solid electrolyte Li3PS4, enhancing ionic conduction and promoting more complete discharge. This work establishes a general framework for real-time analysis of multiphase evolution during an electrochemical process and elucidates sulfur redox mechanisms in ASSLSBs.</w:t>
      </w:r>
    </w:p>
    <w:p>
      <w:pPr>
        <w:spacing w:before="120" w:after="120"/>
      </w:pPr>
      <w:r>
        <w:rPr>
          <w:sz w:val="18"/>
        </w:rPr>
        <w:t>——————————————————————————————————————————————————————————————————————</w:t>
      </w:r>
    </w:p>
    <w:p>
      <w:pPr>
        <w:spacing w:before="160" w:after="40" w:line="240" w:lineRule="auto"/>
      </w:pPr>
      <w:r>
        <w:rPr>
          <w:b/>
        </w:rPr>
        <w:t xml:space="preserve">[7] </w:t>
      </w:r>
      <w:hyperlink r:id="rId89">
        <w:r>
          <w:rPr>
            <w:color w:val="1155CC"/>
            <w:u w:val="single"/>
          </w:rPr>
          <w:t>同源约束机器学习可实现水结构调节水性锌离子电池的氨基酸添加剂筛选</w:t>
        </w:r>
      </w:hyperlink>
    </w:p>
    <w:p>
      <w:pPr>
        <w:spacing w:before="0" w:after="80"/>
      </w:pPr>
      <w:r>
        <w:rPr>
          <w:i/>
          <w:sz w:val="20"/>
        </w:rPr>
        <w:t>EN: Homologous-Constrained Machine Learning Enables Amino Acid Additive Screening for Water-Structure-Regulated Aqueous Zinc-Ion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90">
        <w:r>
          <w:rPr>
            <w:color w:val="1155CC"/>
            <w:u w:val="single"/>
          </w:rPr>
          <w:t>10.1021/acsami.6c09254</w:t>
        </w:r>
      </w:hyperlink>
    </w:p>
    <w:p>
      <w:pPr>
        <w:spacing w:before="0" w:after="120"/>
      </w:pPr>
      <w:r>
        <w:rPr>
          <w:b/>
        </w:rPr>
        <w:t xml:space="preserve">Notes: </w:t>
      </w:r>
      <w:r>
        <w:t>abstract_source=pubmed</w:t>
      </w:r>
    </w:p>
    <w:p>
      <w:pPr>
        <w:spacing w:before="0" w:after="80" w:lineRule="auto" w:line="276"/>
      </w:pPr>
      <w:r>
        <w:rPr>
          <w:b/>
        </w:rPr>
        <w:t xml:space="preserve">摘要（ZH）: </w:t>
      </w:r>
      <w:r>
        <w:t>水系锌离子电池（AZIB）因其本质安全性、成本效益和锌的天然丰富性而被广泛认为是一种引人注目的电网规模储能技术。然而，它们的实际部署在很大程度上受到水诱导的析氢和锌阳极上的枝晶生长的阻碍。为了应对这些挑战，开发了一种基于同源约束策略的机器学习辅助设计范式，采用线性核支持向量回归模型结合留一交叉验证来筛选和鉴定两种具有出色水结构调节能力的氨基酸衍生添加剂，即dl-谷氨酸和dl-组氨酸。实验研究表明，这些添加剂重新配置了电解质的局部氢键网络，有效抑制了高活性水的析氢反应，并显着降低了Zn2+的界面脱溶剂能垒。因此，锌沉积从无序的枝晶生长演变为均匀的二维成核过程。受益于热力学和动力学因素的耦合优化，Zn||Zn对称电池在改性电解质中实现了超过4900小时的稳定运行。这项研究不仅建立了一种新颖的数据驱动策略来设计 AZIB 电解质添加剂，而且还为复杂电池系统的合理分子工程提供了广泛适用的框架。</w:t>
      </w:r>
    </w:p>
    <w:p>
      <w:pPr>
        <w:spacing w:before="0" w:after="200" w:lineRule="auto" w:line="276"/>
      </w:pPr>
      <w:r>
        <w:rPr>
          <w:b/>
        </w:rPr>
        <w:t xml:space="preserve">Abstract (EN): </w:t>
      </w:r>
      <w:r>
        <w:t>Aqueous zinc-ion batteries (AZIBs) are widely regarded as a compelling technology for grid-scale energy storage owing to their intrinsic safety, cost-effectiveness, and the natural abundance of Zn. Nevertheless, their practical deployment is largely impeded by water-induced hydrogen evolution and dendritic growth on the Zn anode. To address these challenges, a machine-learning-assisted design paradigm based on a homologous-constraint strategy was developed, in which a linear-kernel support vector regression model combined with leave-one-out cross-validation was employed to screen and identify two amino acid-derived additives with outstanding water-structure-regulating capability, namely, dl-glutamic acid and dl-histidine. Experimental investigations reveal that these additives reconfigure the local hydrogen-bonding network of the electrolyte, effectively suppressing the hydrogen evolution reaction originating from highly reactive water and markedly lowering the interfacial desolvation energy barrier of Zn2+. As a consequence, Zn deposition evolves from disordered dendritic growth to a uniform two-dimensional nucleation process. Benefiting from the coupled optimization of thermodynamic and kinetic factors, the Zn||Zn symmetric cell achieves stable operation for over 4900 h in the modified electrolyte. This study not only establishes a novel data-driven strategy for designing electrolyte additives in AZIBs but also provides a broadly applicable framework for the rational molecular engineering of complex battery systems.</w:t>
      </w:r>
    </w:p>
    <w:p>
      <w:pPr>
        <w:spacing w:before="120" w:after="120"/>
      </w:pPr>
      <w:r>
        <w:rPr>
          <w:sz w:val="18"/>
        </w:rPr>
        <w:t>——————————————————————————————————————————————————————————————————————</w:t>
      </w:r>
    </w:p>
    <w:p>
      <w:pPr>
        <w:spacing w:before="160" w:after="40" w:line="240" w:lineRule="auto"/>
      </w:pPr>
      <w:r>
        <w:rPr>
          <w:b/>
        </w:rPr>
        <w:t xml:space="preserve">[8] </w:t>
      </w:r>
      <w:hyperlink r:id="rId110">
        <w:r>
          <w:rPr>
            <w:color w:val="1155CC"/>
            <w:u w:val="single"/>
          </w:rPr>
          <w:t>具有刚性聚阴离子的聚合物电解质中的快速锂离子传输</w:t>
        </w:r>
      </w:hyperlink>
    </w:p>
    <w:p>
      <w:pPr>
        <w:spacing w:before="0" w:after="80"/>
      </w:pPr>
      <w:r>
        <w:rPr>
          <w:i/>
          <w:sz w:val="20"/>
        </w:rPr>
        <w:t>EN: Fast lithium-ion transport in polymer electrolytes with rigid polyanions</w:t>
      </w:r>
    </w:p>
    <w:p>
      <w:pPr>
        <w:spacing w:before="0" w:after="120"/>
      </w:pPr>
      <w:r>
        <w:rPr>
          <w:b/>
        </w:rPr>
        <w:t xml:space="preserve">Source: </w:t>
      </w:r>
      <w:r>
        <w:t>Nature Nanotechnology</w:t>
      </w:r>
      <w:r>
        <w:t xml:space="preserve">    </w:t>
      </w:r>
      <w:r>
        <w:rPr>
          <w:b/>
        </w:rPr>
        <w:t xml:space="preserve">Pub date: </w:t>
      </w:r>
      <w:r>
        <w:t>2026-07-15 00:00:00+00:00</w:t>
      </w:r>
      <w:r>
        <w:t xml:space="preserve">    </w:t>
      </w:r>
      <w:r>
        <w:rPr>
          <w:b/>
        </w:rPr>
        <w:t xml:space="preserve">DOI: </w:t>
      </w:r>
      <w:hyperlink r:id="rId111">
        <w:r>
          <w:rPr>
            <w:color w:val="1155CC"/>
            <w:u w:val="single"/>
          </w:rPr>
          <w:t>10.1038/s41565-026-02229-7</w:t>
        </w:r>
      </w:hyperlink>
    </w:p>
    <w:p>
      <w:pPr>
        <w:spacing w:before="0" w:after="120"/>
      </w:pPr>
      <w:r>
        <w:rPr>
          <w:b/>
        </w:rPr>
        <w:t xml:space="preserve">Notes: </w:t>
      </w:r>
      <w:r>
        <w:t>abstract_source=nature_html</w:t>
      </w:r>
    </w:p>
    <w:p>
      <w:pPr>
        <w:spacing w:before="0" w:after="80" w:lineRule="auto" w:line="276"/>
      </w:pPr>
      <w:r>
        <w:rPr>
          <w:b/>
        </w:rPr>
        <w:t xml:space="preserve">摘要（ZH）: </w:t>
      </w:r>
      <w:r>
        <w:t>聚合物电解质中的离子传输需要多尺度和量化的分析。结合固态交换核磁共振（NMR）和马尔可夫链分析的综合方法能够对基于刚性聚阴离子的复合聚合物电解质中不同的锂离子路径进行贡献分析，揭示快速且协同的离子传输机制。</w:t>
      </w:r>
    </w:p>
    <w:p>
      <w:pPr>
        <w:spacing w:before="0" w:after="200" w:lineRule="auto" w:line="276"/>
      </w:pPr>
      <w:r>
        <w:rPr>
          <w:b/>
        </w:rPr>
        <w:t xml:space="preserve">Abstract (EN): </w:t>
      </w:r>
      <w:r>
        <w:t>The ion transport in polymer electrolytes requires a multi-scale and quantified analysis. An integrated methodology combining solid-state exchange nuclear magnetic resonance (NMR) and Markov chain analysis enables contribution analysis of distinct lithium-ion pathways in composite polymer electrolytes based on rigid polyanions, revealing fast and synergistic ion transport mechanisms.</w:t>
      </w:r>
    </w:p>
    <w:p>
      <w:pPr>
        <w:spacing w:before="120" w:after="120"/>
      </w:pPr>
      <w:r>
        <w:rPr>
          <w:sz w:val="18"/>
        </w:rPr>
        <w:t>——————————————————————————————————————————————————————————————————————</w:t>
      </w:r>
    </w:p>
    <w:p>
      <w:pPr>
        <w:spacing w:before="160" w:after="40" w:line="240" w:lineRule="auto"/>
      </w:pPr>
      <w:r>
        <w:rPr>
          <w:b/>
        </w:rPr>
        <w:t xml:space="preserve">[9] </w:t>
      </w:r>
      <w:hyperlink r:id="rId112">
        <w:r>
          <w:rPr>
            <w:color w:val="1155CC"/>
            <w:u w:val="single"/>
          </w:rPr>
          <w:t>离子 COF 中的孔静电重建以实现 Li + 传输和界面稳定性</w:t>
        </w:r>
      </w:hyperlink>
    </w:p>
    <w:p>
      <w:pPr>
        <w:spacing w:before="0" w:after="80"/>
      </w:pPr>
      <w:r>
        <w:rPr>
          <w:i/>
          <w:sz w:val="20"/>
        </w:rPr>
        <w:t>EN: Pore Electrostatic Reconstruction in Ionic COF for Li + Transport and Interface Stability</w:t>
      </w:r>
    </w:p>
    <w:p>
      <w:pPr>
        <w:spacing w:before="0" w:after="120"/>
      </w:pPr>
      <w:r>
        <w:rPr>
          <w:b/>
        </w:rPr>
        <w:t xml:space="preserve">Source: </w:t>
      </w:r>
      <w:r>
        <w:t>ACS Energy Letters: Latest Articles (ACS Publications)</w:t>
      </w:r>
      <w:r>
        <w:t xml:space="preserve">    </w:t>
      </w:r>
      <w:r>
        <w:rPr>
          <w:b/>
        </w:rPr>
        <w:t xml:space="preserve">Pub date: </w:t>
      </w:r>
      <w:r>
        <w:t>2026-07-15 00:00:00+00:00</w:t>
      </w:r>
      <w:r>
        <w:t xml:space="preserve">    </w:t>
      </w:r>
      <w:r>
        <w:rPr>
          <w:b/>
        </w:rPr>
        <w:t xml:space="preserve">DOI: </w:t>
      </w:r>
      <w:hyperlink r:id="rId113">
        <w:r>
          <w:rPr>
            <w:color w:val="1155CC"/>
            <w:u w:val="single"/>
          </w:rPr>
          <w:t>10.1021/acsenergylett.6c01622</w:t>
        </w:r>
      </w:hyperlink>
    </w:p>
    <w:p>
      <w:pPr>
        <w:spacing w:before="0" w:after="120"/>
      </w:pPr>
      <w:r>
        <w:rPr>
          <w:b/>
        </w:rPr>
        <w:t xml:space="preserve">Notes: </w:t>
      </w:r>
      <w:r>
        <w:t>abstract_source=openalex</w:t>
      </w:r>
    </w:p>
    <w:p>
      <w:pPr>
        <w:spacing w:before="0" w:after="80" w:lineRule="auto" w:line="276"/>
      </w:pPr>
      <w:r>
        <w:rPr>
          <w:b/>
        </w:rPr>
        <w:t xml:space="preserve">摘要（ZH）: </w:t>
      </w:r>
      <w:r>
        <w:t>离子COF固态电解质提供有序的带电通道，但Li + -阴离子缔合、不稳定的Li界面和阴极侧极化仍然是挑战。在这里，我们开发了一种孔隙静电重建策略来协调调节本体Li + 传输和界面电化学。 TFSI - 通过离子交换（ION-TFSI-COF）定向引入阳离子COF通道，产生具有多级极化的局部静电环境。通过阳离子-阴离子静电耦合和局部电荷重新分布，Li + -TFSI - 配位被削弱，而TFSI - 极化被促进，从而实现Li + 的选择性传输。极化的 TFSI - 有利于锂金属上富含 LiF 的界面形成，并保持连续的 Li + 通量，以减少阴极侧电荷积累和空间电荷层极化，从而将通道内传输与双界面兼容性耦合。优化的电解质具有 8.5 × 10 -4 S cm -1 电导率、0.83 的 t Li+、2C 下 1300 次循环后 Li||LFP 电池中的保留率为 91%，以及持久的 Li||NCM811/NCM90 循环，凸显了孔静电重构作为 COF 固态电解质的设计策略。</w:t>
      </w:r>
    </w:p>
    <w:p>
      <w:pPr>
        <w:spacing w:before="0" w:after="200" w:lineRule="auto" w:line="276"/>
      </w:pPr>
      <w:r>
        <w:rPr>
          <w:b/>
        </w:rPr>
        <w:t xml:space="preserve">Abstract (EN): </w:t>
      </w:r>
      <w:r>
        <w:t>Ionic COF solid-state electrolytes offer ordered charged channels, but Li + −anion association, unstable Li interphases, and cathode-side polarization remain challenges. Here, we develop a pore electrostatic reconstruction strategy to coordinately regulate bulk Li + transport and interfacial electrochemistry. TFSI − is directionally introduced into cationic COF channels via ion exchange (ION-TFSI-COF), giving rise to a localized electrostatic environment with multilevel polarization. Through cation−anion electrostatic coupling and local charge redistribution, Li + −TFSI − coordination is weakened, while TFSI − polarization is promoted, enabling Li + -selective transport. The polarized TFSI − favors LiF-rich interphase formation on Li metal and maintains continuous Li + flux to reduce cathode-side charge accumulation and space charge layer polarization, thereby coupling intrachannel transport with dual-interface compatibility. The optimized electrolyte delivers 8.5 × 10 −4 S cm −1 conductivity, a t Li+ of 0.83, 91% retention in Li||LFP cells over 1300 cycles at 2C, and durable Li||NCM811/NCM90 cycling, highlighting pore electrostatic reconstruction as a design strategy for COF solid-state electrolytes.</w:t>
      </w:r>
    </w:p>
    <w:p>
      <w:pPr>
        <w:spacing w:before="120" w:after="120"/>
      </w:pPr>
      <w:r>
        <w:rPr>
          <w:sz w:val="18"/>
        </w:rPr>
        <w:t>——————————————————————————————————————————————————————————————————————</w:t>
      </w:r>
    </w:p>
    <w:p>
      <w:pPr>
        <w:spacing w:before="160" w:after="40" w:line="240" w:lineRule="auto"/>
      </w:pPr>
      <w:r>
        <w:rPr>
          <w:b/>
        </w:rPr>
        <w:t xml:space="preserve">[10] </w:t>
      </w:r>
      <w:hyperlink r:id="rId114">
        <w:r>
          <w:rPr>
            <w:color w:val="1155CC"/>
            <w:u w:val="single"/>
          </w:rPr>
          <w:t>用于4.6V级锂金属电池的具有梯度共价-非共价动态键的界面自修复聚合物电解质</w:t>
        </w:r>
      </w:hyperlink>
    </w:p>
    <w:p>
      <w:pPr>
        <w:spacing w:before="0" w:after="80"/>
      </w:pPr>
      <w:r>
        <w:rPr>
          <w:i/>
          <w:sz w:val="20"/>
        </w:rPr>
        <w:t>EN: Interfacial Self‐Healing Polymer Electrolytes With Gradient Covalent–Noncovalent Dynamic Bonds for 4.6 V‐Class Lithium Metal Batteries</w:t>
      </w:r>
    </w:p>
    <w:p>
      <w:pPr>
        <w:spacing w:before="0" w:after="120"/>
      </w:pPr>
      <w:r>
        <w:rPr>
          <w:b/>
        </w:rPr>
        <w:t xml:space="preserve">Source: </w:t>
      </w:r>
      <w:r>
        <w:t>Wiley: Advanced Materials: Table of Contents</w:t>
      </w:r>
      <w:r>
        <w:t xml:space="preserve">    </w:t>
      </w:r>
      <w:r>
        <w:rPr>
          <w:b/>
        </w:rPr>
        <w:t xml:space="preserve">Pub date: </w:t>
      </w:r>
      <w:r>
        <w:t>2026-07-15 06:10:59+00:00</w:t>
      </w:r>
      <w:r>
        <w:t xml:space="preserve">    </w:t>
      </w:r>
      <w:r>
        <w:rPr>
          <w:b/>
        </w:rPr>
        <w:t xml:space="preserve">DOI: </w:t>
      </w:r>
      <w:hyperlink r:id="rId115">
        <w:r>
          <w:rPr>
            <w:color w:val="1155CC"/>
            <w:u w:val="single"/>
          </w:rPr>
          <w:t>10.1002/adma.74116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电池（SSLB）由于其高能量密度和安全性而引起了广泛关注。然而，电极的体积膨胀/收缩以及持续的界面副反应会导致机械应力损伤和界面离子传输失败。在此，我们报告了一种基于梯度共价-非共价动态键的界面自修复聚合物电解质（SHPE），可在 SSLB 的整个生命周期中实现多界面动态自修复。通过分子工程，高强度硼酸酯键与超快动态响应氢键相结合，实现 SSLB 中界面缺陷的高效室温自修复。聚合物链之间的快速动态交换进一步促进了锂离子的快速传导，实现了1.6×10的离子电导率</w:t>
      </w:r>
      <w:r>
        <w:t xml:space="preserve"> </w:t>
      </w:r>
      <w:r>
        <w:t>−3</w:t>
      </w:r>
      <w:r>
        <w:t xml:space="preserve"> </w:t>
      </w:r>
      <w:r>
        <w:t>厘米</w:t>
      </w:r>
      <w:r>
        <w:t xml:space="preserve"> </w:t>
      </w:r>
      <w:r>
        <w:t>−1</w:t>
      </w:r>
      <w:r>
        <w:t xml:space="preserve"> </w:t>
      </w:r>
      <w:r>
        <w:t>（25°C）。 Li|SHPE|Li 电池表现出稳定的循环 &gt;3000 小时。抗氧化含硼和含氟官能团的加入将电化学窗口扩展至 5.2 V。 LiFePO</w:t>
      </w:r>
      <w:r>
        <w:rPr>
          <w:vertAlign w:val="subscript"/>
        </w:rPr>
        <w:t>4</w:t>
      </w:r>
      <w:r>
        <w:t>|SHPE|Li 和 LiCoO</w:t>
      </w:r>
      <w:r>
        <w:rPr>
          <w:vertAlign w:val="subscript"/>
        </w:rPr>
        <w:t>2</w:t>
      </w:r>
      <w:r>
        <w:t>(LCO)|SHPE|Li 电池分别循环 &gt;1000 次和 700 次，同时在高电压 (4.6 V) 和负载 (14 mg cm</w:t>
      </w:r>
      <w:r>
        <w:t xml:space="preserve"> </w:t>
      </w:r>
      <w:r>
        <w:t>−2</w:t>
      </w:r>
      <w:r>
        <w:t xml:space="preserve"> </w:t>
      </w:r>
      <w:r>
        <w:t>）。此外，LCO|SHPE|Li (1.2 Ah) 和 LCO|SHPE|Si-C (2.5 Ah) 软包电池表现出</w:t>
      </w:r>
    </w:p>
    <w:p>
      <w:pPr>
        <w:spacing w:before="0" w:after="200" w:lineRule="auto" w:line="276"/>
      </w:pPr>
      <w:r>
        <w:rPr>
          <w:b/>
        </w:rPr>
        <w:t xml:space="preserve">Abstract (EN): </w:t>
      </w:r>
      <w:r>
        <w:t>Solid‐state lithium batteries (SSLBs) have attracted significant attention due to their high energy density and safety. However, the volumetric expansion/contraction of electrodes, along with persistent interfacial side reactions, leads to mechanical stress damage and failure of interfacial ion transport. Herein, we report an interfacial self‐healing polymer electrolyte (SHPE) based on gradient covalent–noncovalent dynamic bonds, enabling multi‐interfacial dynamic self‐healing throughout the lifecycle of SSLBs. Via molecular engineering, high‐strength boronic ester bonds are combined with ultrafast dynamic responsive hydrogen bonds to enable efficient room‐temperature self‐repair of interfacial defects in SSLBs. The rapid dynamic exchange between polymer chains further promoted fast lithium‐ion conduction, achieving an ionic conductivity of 1.6 × 10</w:t>
      </w:r>
      <w:r>
        <w:t xml:space="preserve"> </w:t>
      </w:r>
      <w:r>
        <w:t>−3</w:t>
      </w:r>
      <w:r>
        <w:t xml:space="preserve"> </w:t>
      </w:r>
      <w:r>
        <w:t>S cm</w:t>
      </w:r>
      <w:r>
        <w:t xml:space="preserve"> </w:t>
      </w:r>
      <w:r>
        <w:t>−1</w:t>
      </w:r>
      <w:r>
        <w:t xml:space="preserve"> </w:t>
      </w:r>
      <w:r>
        <w:t>(25°C). The Li|SHPE|Li cells demonstrated stable cycling for &amp;gt;3000 h. The incorporation of oxidation‐resistant boron‐ and fluorine‐containing functional groups extended the electrochemical window to 5.2 V. LiFePO</w:t>
      </w:r>
      <w:r>
        <w:rPr>
          <w:vertAlign w:val="subscript"/>
        </w:rPr>
        <w:t>4</w:t>
      </w:r>
      <w:r>
        <w:t>|SHPE|Li and LiCoO</w:t>
      </w:r>
      <w:r>
        <w:rPr>
          <w:vertAlign w:val="subscript"/>
        </w:rPr>
        <w:t>2</w:t>
      </w:r>
      <w:r>
        <w:t>(LCO)|SHPE|Li cells delivered &amp;gt;1000 and 700 cycles, respectively, while being compatible with LCO under high voltage (4.6 V) and loading (14 mg cm</w:t>
      </w:r>
      <w:r>
        <w:t xml:space="preserve"> </w:t>
      </w:r>
      <w:r>
        <w:t>−2</w:t>
      </w:r>
      <w:r>
        <w:t xml:space="preserve"> </w:t>
      </w:r>
      <w:r>
        <w:t>). Furthermore, the LCO|SHPE|Li (1.2 Ah) and LCO|SHPE|Si‐C (2.5 Ah) pouch cells exhibited 200 and 400 cycles, respectively, and passed nail penetration safety tests. This study provides an interfacial self‐healing strategy for developing high‐energy‐density and high‐safety SSLBs.</w:t>
      </w:r>
    </w:p>
    <w:p>
      <w:pPr>
        <w:spacing w:before="120" w:after="120"/>
      </w:pPr>
      <w:r>
        <w:rPr>
          <w:sz w:val="18"/>
        </w:rPr>
        <w:t>——————————————————————————————————————————————————————————————————————</w:t>
      </w:r>
    </w:p>
    <w:p>
      <w:pPr>
        <w:spacing w:before="160" w:after="40" w:line="240" w:lineRule="auto"/>
      </w:pPr>
      <w:r>
        <w:rPr>
          <w:b/>
        </w:rPr>
        <w:t xml:space="preserve">[11] </w:t>
      </w:r>
      <w:hyperlink r:id="rId116">
        <w:r>
          <w:rPr>
            <w:color w:val="1155CC"/>
            <w:u w:val="single"/>
          </w:rPr>
          <w:t>低温锂金属电池相分离聚合物电解质的空间界面双重限制</w:t>
        </w:r>
      </w:hyperlink>
    </w:p>
    <w:p>
      <w:pPr>
        <w:spacing w:before="0" w:after="80"/>
      </w:pPr>
      <w:r>
        <w:rPr>
          <w:i/>
          <w:sz w:val="20"/>
        </w:rPr>
        <w:t>EN: Spatial‐Interfacial Dual Confinement in Phase‐Separated Polymer Electrolytes for Cryogenic Lithium Metal Batteries</w:t>
      </w:r>
    </w:p>
    <w:p>
      <w:pPr>
        <w:spacing w:before="0" w:after="120"/>
      </w:pPr>
      <w:r>
        <w:rPr>
          <w:b/>
        </w:rPr>
        <w:t xml:space="preserve">Source: </w:t>
      </w:r>
      <w:r>
        <w:t>Wiley: Advanced Energy Materials: Table of Contents</w:t>
      </w:r>
      <w:r>
        <w:t xml:space="preserve">    </w:t>
      </w:r>
      <w:r>
        <w:rPr>
          <w:b/>
        </w:rPr>
        <w:t xml:space="preserve">Pub date: </w:t>
      </w:r>
      <w:r>
        <w:t>2026-07-15 08:48:36+00:00</w:t>
      </w:r>
      <w:r>
        <w:t xml:space="preserve">    </w:t>
      </w:r>
      <w:r>
        <w:rPr>
          <w:b/>
        </w:rPr>
        <w:t xml:space="preserve">DOI: </w:t>
      </w:r>
      <w:hyperlink r:id="rId117">
        <w:r>
          <w:rPr>
            <w:color w:val="1155CC"/>
            <w:u w:val="single"/>
          </w:rPr>
          <w:t>10.1002/aenm.71306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准固态聚合物电解质（QSPE）对于本质安全的锂金属电池具有巨大的前景。然而，在零度以下的环境中运行 QSPE 暴露了一个关键的材料设计冲突：实现快速低温体离子传输通常需要高极性溶剂（例如 DMSO），这反过来会引发锂阳极的寄生反应和枝晶生长。在此，我们通过聚合诱导相分离（PIPS）策略提出了一种分层异质 QSPE。由此产生的双相结构集成了高导电性 DMSO-LiTFSI/LiBF</w:t>
      </w:r>
      <w:r>
        <w:rPr>
          <w:vertAlign w:val="subscript"/>
        </w:rPr>
        <w:t>4</w:t>
      </w:r>
      <w:r>
        <w:t>采用协同“双限制”机制，在交联氟化聚合物框架内形成液体微域。在空间上，聚合物支架内的几何限制破坏了DMSO的长程有序，从而抑制结晶并将相分离的QSPE的玻璃化转变温度降低至-100.6°C和-53.8°C。在界面上，双盐配方会产生有机-无机双层 SEI，完全屏蔽锂表面的反应性 DMSO。因此，组装好的 LiFePO</w:t>
      </w:r>
      <w:r>
        <w:rPr>
          <w:vertAlign w:val="subscript"/>
        </w:rPr>
        <w:t>4</w:t>
      </w:r>
      <w:r>
        <w:t>||锂全电池在严格的零度以下条件下表现出出色的倍率性能和长期循环稳定性，为极端环境储能提供了高度可行的结构设计范例。</w:t>
      </w:r>
    </w:p>
    <w:p>
      <w:pPr>
        <w:spacing w:before="0" w:after="200" w:lineRule="auto" w:line="276"/>
      </w:pPr>
      <w:r>
        <w:rPr>
          <w:b/>
        </w:rPr>
        <w:t xml:space="preserve">Abstract (EN): </w:t>
      </w:r>
      <w:r>
        <w:t>Quasi‐solid‐state polymer electrolytes (QSPEs) hold immense promise for intrinsically safe lithium metal batteries. However, operating QSPEs in sub‐zero environments exposes a critical material design conflict: achieving rapid low‐temperature bulk ion transport typically necessitates highly polar solvents (e.g., DMSO), which conversely trigger parasitic reactions and dendrite growth at the lithium anode. Herein, we propose a hierarchical heterogeneous QSPE via a polymerization‐induced phase separation (PIPS) strategy. The resulting biphasic structure integrates a highly conductive DMSO‐LiTFSI/LiBF</w:t>
      </w:r>
      <w:r>
        <w:rPr>
          <w:vertAlign w:val="subscript"/>
        </w:rPr>
        <w:t>4</w:t>
      </w:r>
      <w:r>
        <w:t>liquid microdomain within a crosslinked fluorinated polymer framework, employing a synergistic “dual‐confinement” mechanism. Spatially, geometric confinement within the polymer scaffold disrupts the long‐range ordering of DMSO, thereby suppressing crystallization and lowering the glass transition temperature of the phase‐separated QSPEs to −100.6°C and −53.8°C. Interfacially, the dual‐salt formulation induces an organic‐inorganic bilayer SEI, completely shielding reactive DMSO from the lithium surface. Consequently, the assembled LiFePO</w:t>
      </w:r>
      <w:r>
        <w:rPr>
          <w:vertAlign w:val="subscript"/>
        </w:rPr>
        <w:t>4</w:t>
      </w:r>
      <w:r>
        <w:t>||Li full cells demonstrate outstanding rate capability and long‐term cycling stability under rigorous sub‐zero conditions, offering a highly viable structural design paradigm for extreme‐environmental energy storage.</w:t>
      </w:r>
    </w:p>
    <w:p>
      <w:pPr>
        <w:spacing w:before="120" w:after="120"/>
      </w:pPr>
      <w:r>
        <w:rPr>
          <w:sz w:val="18"/>
        </w:rPr>
        <w:t>——————————————————————————————————————————————————————————————————————</w:t>
      </w:r>
    </w:p>
    <w:p>
      <w:pPr>
        <w:spacing w:before="160" w:after="40" w:line="240" w:lineRule="auto"/>
      </w:pPr>
      <w:r>
        <w:rPr>
          <w:b/>
        </w:rPr>
        <w:t xml:space="preserve">[12] </w:t>
      </w:r>
      <w:hyperlink r:id="rId94">
        <w:r>
          <w:rPr>
            <w:color w:val="1155CC"/>
            <w:u w:val="single"/>
          </w:rPr>
          <w:t>钠离子电池二甘醇二甲醚和碳酸盐电解质中微米和纳米锡的电化学性能研究（Adv. Energy Mater. 27/2026）</w:t>
        </w:r>
      </w:hyperlink>
    </w:p>
    <w:p>
      <w:pPr>
        <w:spacing w:before="0" w:after="80"/>
      </w:pPr>
      <w:r>
        <w:rPr>
          <w:i/>
          <w:sz w:val="20"/>
        </w:rPr>
        <w:t>EN: Investigation Into the Electrochemical Performance of Micron‐ and Nanosized Tin in Diglyme and Carbonate Electrolytes in Sodium Ion Batteries (Adv. Energy Mater. 27/2026)</w:t>
      </w:r>
    </w:p>
    <w:p>
      <w:pPr>
        <w:spacing w:before="0" w:after="120"/>
      </w:pPr>
      <w:r>
        <w:rPr>
          <w:b/>
        </w:rPr>
        <w:t xml:space="preserve">Source: </w:t>
      </w:r>
      <w:r>
        <w:t>Wiley: Advanced Energy Materials: Table of Contents</w:t>
      </w:r>
      <w:r>
        <w:t xml:space="preserve">    </w:t>
      </w:r>
      <w:r>
        <w:rPr>
          <w:b/>
        </w:rPr>
        <w:t xml:space="preserve">Pub date: </w:t>
      </w:r>
      <w:r>
        <w:t>2026-07-15 22:52:31+00:00</w:t>
      </w:r>
      <w:r>
        <w:t xml:space="preserve">    </w:t>
      </w:r>
      <w:r>
        <w:rPr>
          <w:b/>
        </w:rPr>
        <w:t xml:space="preserve">DOI: </w:t>
      </w:r>
      <w:hyperlink r:id="rId95">
        <w:r>
          <w:rPr>
            <w:color w:val="1155CC"/>
            <w:u w:val="single"/>
          </w:rPr>
          <w:t>10.1002/aenm.71149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18">
        <w:r>
          <w:rPr>
            <w:color w:val="1155CC"/>
            <w:u w:val="single"/>
          </w:rPr>
          <w:t>卤化物取代对 Cu 6 PS 5 X 银辉石局部和平均结构、晶格动力学和输运性质的影响</w:t>
        </w:r>
      </w:hyperlink>
    </w:p>
    <w:p>
      <w:pPr>
        <w:spacing w:before="0" w:after="80"/>
      </w:pPr>
      <w:r>
        <w:rPr>
          <w:i/>
          <w:sz w:val="20"/>
        </w:rPr>
        <w:t>EN: Influence of Halide Substitution on Local and Average Structure, Lattice Dynamics, and Transport Properties in Cu 6 PS 5 X Argyrodites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19">
        <w:r>
          <w:rPr>
            <w:color w:val="1155CC"/>
            <w:u w:val="single"/>
          </w:rPr>
          <w:t>10.1021/jacs.6c09122</w:t>
        </w:r>
      </w:hyperlink>
    </w:p>
    <w:p>
      <w:pPr>
        <w:spacing w:before="0" w:after="120"/>
      </w:pPr>
      <w:r>
        <w:rPr>
          <w:b/>
        </w:rPr>
        <w:t xml:space="preserve">Notes: </w:t>
      </w:r>
      <w:r>
        <w:t>abstract_source=pubmed</w:t>
      </w:r>
    </w:p>
    <w:p>
      <w:pPr>
        <w:spacing w:before="0" w:after="80" w:lineRule="auto" w:line="276"/>
      </w:pPr>
      <w:r>
        <w:rPr>
          <w:b/>
        </w:rPr>
        <w:t xml:space="preserve">摘要（ZH）: </w:t>
      </w:r>
      <w:r>
        <w:t>卤化物取代的银汞矿材料在能源应用中引起了越来越多的关注，因为成分调节提供了调节其结构和传输特性的有效策略。虽然Li+基卤化物银锭石已被广泛研究，但对Cu+基卤化物银锭石的统一组成解析理解（整合相演化、局域结构、晶格动力学以及电子和离子输运）仍然有限。在这项工作中，我们在实验和计算相结合的框架内研究了 Cu6PS5X（X = Cl、Br、I、Cl0.5Br0.5、Cl0.5I0.5 和 Br0.5I0.5）。所有成分在室温下均采用平均立方 F4̅3m 结构，而局部结构分析揭示了与涉及 PS43-四面体倾斜的单斜 Cc 模型一致的立方对称性偏差。 31P MAS NMR 光谱证实了这种局部对称性突破了多个不同的磷环境，这些磷环境是由相对四面体取向而不是 S2-/X-位点无序引起的。卤化物取代通过改变活化能和阿伦尼乌斯指前因子来改变 Cu+ 电导率，遵循 Meyer-Neldel 行为，并且跳跃距离和迁移路径的变化也有额外贡献。方向投影声子态密度分析可识别沿晶体迁移路径的低频 Cu+ 振动分量。 Meyer-Neldel 斜率的分析进一步表明声子辅助离子跳跃涉及低频 Cu+ 振动的多声子激发</w:t>
      </w:r>
    </w:p>
    <w:p>
      <w:pPr>
        <w:spacing w:before="0" w:after="200" w:lineRule="auto" w:line="276"/>
      </w:pPr>
      <w:r>
        <w:rPr>
          <w:b/>
        </w:rPr>
        <w:t xml:space="preserve">Abstract (EN): </w:t>
      </w:r>
      <w:r>
        <w:t>Halide-substituted argyrodite materials have attracted increasing attention for energy applications since compositional tuning provides an effective strategy to modulate their structure and transport characteristics. While Li+-based halide argyrodites have been extensively studied, a unified composition-resolved understanding of Cu+-based halide argyrodites that integrates phase evolution, local structure, lattice dynamics, and electronic and ionic transport remain limited. In this work, we investigate Cu6PS5X (X = Cl, Br, I, Cl0.5Br0.5, Cl0.5I0.5, and Br0.5I0.5) within a combined experimental and computational framework. All compositions adopt an average cubic F4̅3m structure at room temperature, while local structural analysis reveals deviations from cubic symmetry consistent with a monoclinic Cc model involving PS43- tetrahedral tilting. 31P MAS NMR spectroscopy corroborates this local symmetry breaking through multiple distinct phosphorus environments arising from relative tetrahedral orientation rather than S2-/X- site disorder. Halide substitution modifies the Cu+ conductivity through changes in the activation energy and the Arrhenius pre-exponential factor, following the Meyer-Neldel behavior, with additional contributions from variations in jump distances and migration pathways. Direction-projected phonon density of states analysis identifies low-frequency Cu+ vibrational components along the crystallographic migration pathways. Analysis of the Meyer-Neldel slope further suggests phonon assisted ion hopping involving multiphonon excitation of low-frequency Cu+ vibrational modes. Together, these findings offer insight into structure-property relationships in Cu6PS5X and suggest that, alongside the migration energy landscape, the vibrational energy scale, thermal population, and directionality of mobile ion modes should be considered when interpreting ion transport, thereby providing a vibrational perspective for the design of solid-state ion conductors.</w:t>
      </w:r>
    </w:p>
    <w:p>
      <w:pPr>
        <w:spacing w:before="120" w:after="120"/>
      </w:pPr>
      <w:r>
        <w:rPr>
          <w:sz w:val="18"/>
        </w:rPr>
        <w:t>——————————————————————————————————————————————————————————————————————</w:t>
      </w:r>
    </w:p>
    <w:p>
      <w:pPr>
        <w:spacing w:before="160" w:after="40" w:line="240" w:lineRule="auto"/>
      </w:pPr>
      <w:r>
        <w:rPr>
          <w:b/>
        </w:rPr>
        <w:t xml:space="preserve">[14] </w:t>
      </w:r>
      <w:hyperlink r:id="rId120">
        <w:r>
          <w:rPr>
            <w:color w:val="1155CC"/>
            <w:u w:val="single"/>
          </w:rPr>
          <w:t>设计本质上快速非晶化且加工成本低的固体电解质</w:t>
        </w:r>
      </w:hyperlink>
    </w:p>
    <w:p>
      <w:pPr>
        <w:spacing w:before="0" w:after="80"/>
      </w:pPr>
      <w:r>
        <w:rPr>
          <w:i/>
          <w:sz w:val="20"/>
        </w:rPr>
        <w:t>EN: Designing Intrinsically Fast-Amorphizing Solid Electrolytes with Low Processing Cost</w:t>
      </w:r>
    </w:p>
    <w:p>
      <w:pPr>
        <w:spacing w:before="0" w:after="120"/>
      </w:pPr>
      <w:r>
        <w:rPr>
          <w:b/>
        </w:rPr>
        <w:t xml:space="preserve">Source: </w:t>
      </w:r>
      <w:r>
        <w:t>ACS Energy Letters: Latest Articles (ACS Publications)</w:t>
      </w:r>
      <w:r>
        <w:t xml:space="preserve">    </w:t>
      </w:r>
      <w:r>
        <w:rPr>
          <w:b/>
        </w:rPr>
        <w:t xml:space="preserve">Pub date: </w:t>
      </w:r>
      <w:r>
        <w:t>2026-07-16 00:00:00+00:00</w:t>
      </w:r>
      <w:r>
        <w:t xml:space="preserve">    </w:t>
      </w:r>
      <w:r>
        <w:rPr>
          <w:b/>
        </w:rPr>
        <w:t xml:space="preserve">DOI: </w:t>
      </w:r>
      <w:hyperlink r:id="rId121">
        <w:r>
          <w:rPr>
            <w:color w:val="1155CC"/>
            <w:u w:val="single"/>
          </w:rPr>
          <w:t>10.1021/acsenergylett.6c01077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22">
        <w:r>
          <w:rPr>
            <w:color w:val="1155CC"/>
            <w:u w:val="single"/>
          </w:rPr>
          <w:t>通过空间位阻调节溶剂化结构：具有鲁棒无机界面相的低温钠金属电池的稀释策略</w:t>
        </w:r>
      </w:hyperlink>
    </w:p>
    <w:p>
      <w:pPr>
        <w:spacing w:before="0" w:after="80"/>
      </w:pPr>
      <w:r>
        <w:rPr>
          <w:i/>
          <w:sz w:val="20"/>
        </w:rPr>
        <w:t>EN: Modulating Solvation Structure through Steric Hindrance: A Diluent Strategy for Low-Temperature Sodium Metal Batteries with Robust Inorganic Interphase</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23">
        <w:r>
          <w:rPr>
            <w:color w:val="1155CC"/>
            <w:u w:val="single"/>
          </w:rPr>
          <w:t>10.1021/acsami.6c09577</w:t>
        </w:r>
      </w:hyperlink>
    </w:p>
    <w:p>
      <w:pPr>
        <w:spacing w:before="0" w:after="120"/>
      </w:pPr>
      <w:r>
        <w:rPr>
          <w:b/>
        </w:rPr>
        <w:t xml:space="preserve">Notes: </w:t>
      </w:r>
      <w:r>
        <w:t>abstract_source=pubmed</w:t>
      </w:r>
    </w:p>
    <w:p>
      <w:pPr>
        <w:spacing w:before="0" w:after="80" w:lineRule="auto" w:line="276"/>
      </w:pPr>
      <w:r>
        <w:rPr>
          <w:b/>
        </w:rPr>
        <w:t xml:space="preserve">摘要（ZH）: </w:t>
      </w:r>
      <w:r>
        <w:t>钠金属电池（SMB）在低温下运行的能力是非常理想的；然而，由于阳离子-溶剂相互作用的限制和缓慢的去溶剂化动力学，实现稳定的性能仍然具有挑战性。盐沉淀或电解质凝固严重阻碍离子传输，导致钠沉积/剥离的库仑效率低、枝晶生长猖獗、脆弱的固体电解质界面（SEI）形成以及严重的容量衰减。局部高浓度电解质（LHCE）提供了一种有前景的解决方案，但通常依赖于昂贵且挥发性的氟化醚稀释剂。在此，我们引入环戊基甲基醚（CPME）作为一种经济有效的稀释剂来配制NaPF6-二甘醇二甲醚（G2）/CPME LHCE。结合理论和实验分析，我们证明了 CPME 中庞大的环戊基引入了空间位阻，这在动力学上将 CPME 从初级 Na+ 溶剂化鞘中排除，同时削弱了 Na+-G2 配位。这有利于 PF6- 进入内部溶剂化鞘，形成阴离子富集结构，促进梯度富 NaF SEI。因此，Na‖Na 对称电池在 25 °C 下稳定运行超过 3600 小时，而 Na‖Na3V2(PO4)3 全电池在 1 C 下 1000 次循环后仍保留了 90.1% 的初始容量。在 -30 °C 下，它们在 1 C 下 500 次循环后容量保留率为 90.9%，而 NaPF6-G2 电解质的容量保留率为 72.7%。这项工作使 CPME 成为一种经济高效的稀释剂，可实现耐低温的中小企业。</w:t>
      </w:r>
    </w:p>
    <w:p>
      <w:pPr>
        <w:spacing w:before="0" w:after="200" w:lineRule="auto" w:line="276"/>
      </w:pPr>
      <w:r>
        <w:rPr>
          <w:b/>
        </w:rPr>
        <w:t xml:space="preserve">Abstract (EN): </w:t>
      </w:r>
      <w:r>
        <w:t>The ability of sodium metal batteries (SMBs) to operate under low temperatures is highly desirable; however, achieving stable performance remains challenging due to limitations in cation-solvent interactions and sluggish desolvation kinetics. Salt precipitation or electrolyte solidification severely impedes ion transport, leading to low Coulombic efficiency for Na plating/stripping, rampant dendrite growth, fragile solid electrolyte interphase (SEI) formation, and severe capacity decay. Localized high-concentration electrolytes (LHCEs) offer a promising solution but often rely on costly and volatile fluorinated ether diluents. Herein, we introduce cyclopentyl methyl ether (CPME) as a cost-effective diluent to formulate a NaPF6-diethylene glycol dimethyl ether (G2)/CPME LHCE. Combining theoretical and experimental analyses, we demonstrate that the bulky cyclopentyl group in CPME introduces steric hindrance, which kinetically excludes CPME from the primary Na+ solvation sheath while weakening Na+-G2 coordination. This facilitates PF6- entry into the inner solvation sheath, forming an anion-enriched structure that promotes a gradient NaF-rich SEI. As a result, Na‖Na symmetric cells operate stably for over 3600 h at 25 °C, and Na‖Na3V2(PO4)3 full cells retain 90.1% of their initial capacity after 1000 cycles at 1 C. At -30 °C, they deliver 90.9% capacity retention after 500 cycles at 1 C, compared to 72.7% for the NaPF6-G2 electrolyte. This work establishes CPME as a cost-effective diluent for enabling low-temperature-tolerant SMBs.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24">
        <w:r>
          <w:rPr>
            <w:color w:val="1155CC"/>
            <w:u w:val="single"/>
          </w:rPr>
          <w:t>第一次生命的历史留下了持久的印记：解码控制第二次生命电池退化和安全的路径依赖指纹</w:t>
        </w:r>
      </w:hyperlink>
    </w:p>
    <w:p>
      <w:pPr>
        <w:spacing w:before="0" w:after="80"/>
      </w:pPr>
      <w:r>
        <w:rPr>
          <w:i/>
          <w:sz w:val="20"/>
        </w:rPr>
        <w:t>EN: First-life histories leave lasting imprints: decoding path-dependent fingerprints governing second-life battery degradation and safety</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5">
        <w:r>
          <w:rPr>
            <w:color w:val="1155CC"/>
            <w:u w:val="single"/>
          </w:rPr>
          <w:t>采用机械互锁聚合物制成的高能量密度、可快速充电的锂离子电池</w:t>
        </w:r>
      </w:hyperlink>
    </w:p>
    <w:p>
      <w:pPr>
        <w:spacing w:before="0" w:after="80"/>
      </w:pPr>
      <w:r>
        <w:rPr>
          <w:i/>
          <w:sz w:val="20"/>
        </w:rPr>
        <w:t>EN: High energy-density, fast-chargeable lithium-ion batteries by mechanically interlocked polymers</w:t>
      </w:r>
    </w:p>
    <w:p>
      <w:pPr>
        <w:spacing w:before="0" w:after="120"/>
      </w:pPr>
      <w:r>
        <w:rPr>
          <w:b/>
        </w:rPr>
        <w:t xml:space="preserve">Source: </w:t>
      </w:r>
      <w:r>
        <w:t>Joule</w:t>
      </w:r>
      <w:r>
        <w:t xml:space="preserve">    </w:t>
      </w:r>
      <w:r>
        <w:rPr>
          <w:b/>
        </w:rPr>
        <w:t xml:space="preserve">Pub date: </w:t>
      </w:r>
      <w:r>
        <w:t>2026-07-13 00:00:00+00:00</w:t>
      </w:r>
      <w:r>
        <w:t xml:space="preserve">    </w:t>
      </w:r>
      <w:r>
        <w:rPr>
          <w:b/>
        </w:rPr>
        <w:t xml:space="preserve">DOI: </w:t>
      </w:r>
      <w:hyperlink r:id="rId126">
        <w:r>
          <w:rPr>
            <w:color w:val="1155CC"/>
            <w:u w:val="single"/>
          </w:rPr>
          <w:t>10.1016/j.joule.2026.102573</w:t>
        </w:r>
      </w:hyperlink>
    </w:p>
    <w:p>
      <w:pPr>
        <w:spacing w:before="0" w:after="120"/>
      </w:pPr>
      <w:r>
        <w:rPr>
          <w:b/>
        </w:rPr>
        <w:t xml:space="preserve">Notes: </w:t>
      </w:r>
      <w:r>
        <w:t>abstract_source=rss_cell</w:t>
      </w:r>
    </w:p>
    <w:p>
      <w:pPr>
        <w:spacing w:before="0" w:after="80" w:lineRule="auto" w:line="276"/>
      </w:pPr>
      <w:r>
        <w:rPr>
          <w:b/>
        </w:rPr>
        <w:t xml:space="preserve">摘要（ZH）: </w:t>
      </w:r>
      <w:r>
        <w:t>硅阳极有望用于高能和快速充电的锂离子电池，但其不受控制的体积膨胀会导致严重的机械损坏。这项工作引入了一种具有机械互锁交联的聚丙烯酸粘合剂，可通过拓扑驱动的分子运动均匀地消散电极上的应力。这种设计在压延和循环过程中保留了表面孔隙率和电极完整性，从而实现电池的稳定运行，并在高电极密度下提高了快速充电能力。</w:t>
      </w:r>
    </w:p>
    <w:p>
      <w:pPr>
        <w:spacing w:before="0" w:after="200" w:lineRule="auto" w:line="276"/>
      </w:pPr>
      <w:r>
        <w:rPr>
          <w:b/>
        </w:rPr>
        <w:t xml:space="preserve">Abstract (EN): </w:t>
      </w:r>
      <w:r>
        <w:t>Silicon anodes are promising for high-energy and fast-charging lithium-ion batteries, but their uncontrolled volume expansion causes severe mechanical damage. This work introduces a poly(acrylic acid) binder with mechanically interlocked crosslinks that homogeneously dissipates stress across the electrode through topology-driven molecular motions. This design preserves surface porosity and electrode integrity during calendering and cycling, enabling stable cell operation with improved fast-charging capability at high electrode density.</w:t>
      </w:r>
    </w:p>
    <w:p>
      <w:pPr>
        <w:spacing w:before="120" w:after="120"/>
      </w:pPr>
      <w:r>
        <w:rPr>
          <w:sz w:val="18"/>
        </w:rPr>
        <w:t>——————————————————————————————————————————————————————————————————————</w:t>
      </w:r>
    </w:p>
    <w:p>
      <w:pPr>
        <w:spacing w:before="160" w:after="40" w:line="240" w:lineRule="auto"/>
      </w:pPr>
      <w:r>
        <w:rPr>
          <w:b/>
        </w:rPr>
        <w:t xml:space="preserve">[3] </w:t>
      </w:r>
      <w:hyperlink r:id="rId64">
        <w:r>
          <w:rPr>
            <w:color w:val="1155CC"/>
            <w:u w:val="single"/>
          </w:rPr>
          <w:t>通过机器学习模型对高镍氧化物阴极热失控指标进行定量分析和预测</w:t>
        </w:r>
      </w:hyperlink>
    </w:p>
    <w:p>
      <w:pPr>
        <w:spacing w:before="0" w:after="80"/>
      </w:pPr>
      <w:r>
        <w:rPr>
          <w:i/>
          <w:sz w:val="20"/>
        </w:rPr>
        <w:t>EN: Quantitative Analysis and Prediction of Thermal Runaway Metrics of High-Nickel Oxide Cathodes by Machine Learning Models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65">
        <w:r>
          <w:rPr>
            <w:color w:val="1155CC"/>
            <w:u w:val="single"/>
          </w:rPr>
          <w:t>10.1021/acsenergylett.6c01671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7">
        <w:r>
          <w:rPr>
            <w:color w:val="1155CC"/>
            <w:u w:val="single"/>
          </w:rPr>
          <w:t>通过电场辅助有机酸控制实现无结垢电膜结晶</w:t>
        </w:r>
      </w:hyperlink>
    </w:p>
    <w:p>
      <w:pPr>
        <w:spacing w:before="0" w:after="80"/>
      </w:pPr>
      <w:r>
        <w:rPr>
          <w:i/>
          <w:sz w:val="20"/>
        </w:rPr>
        <w:t>EN: Scaling‑free electro‑membrane crystallization enabled by electric field-assisted organic acid control</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由浓差极化驱动的矿物结垢是从锂离子电池 (LIB) 渗滤液中回收有价值金属的电膜技术中不可避免的挑战。在这里，我们阐明了协同结垢机制，并提出了电场辅助有机酸控制（eF-OAC）原理，以防止膜矿物结垢，同时实现金属回收。 eF-OAC 利用电场将有机酸引导到膜基质中，其中配体-金属配位溶解富含氢氧化物的水垢并动员金属物质进行选择性传输和结晶。动态实验分析表明，浓差极化使金属氢氧化物富集在膜界面和孔隙处。静态密度泛函理论计算进一步表明，在热力学上，有机配体比磺酸盐基团更有利于配位金属氢氧化物，从而能够从膜中定向溶解。利用这种分子水平的选择性，eF-OAC 将水垢转化为可回收的结晶产品。在优化的电膜结晶中，该 eF-OAC 的 Li+ 回收率高达 97.6%，Ni2+ 回收率高达 95.3%，Co2+ 回收率高达 94.2%，Mn2+ 回收率高达 97.8%。它还可产生高纯度 Li2SO4 (99.4%)、Ni(OH)2 (99.2%)、Co(OH)2 (99.0%) 和 Mn3O4 (99.3%)。这项研究阐明了矿物结垢的机制，并展示了一种无结垢方法，可将污垢责任转化为废锂离子电池的宝贵资源回收。</w:t>
      </w:r>
    </w:p>
    <w:p>
      <w:pPr>
        <w:spacing w:before="0" w:after="200" w:lineRule="auto" w:line="276"/>
      </w:pPr>
      <w:r>
        <w:rPr>
          <w:b/>
        </w:rPr>
        <w:t xml:space="preserve">Abstract (EN): </w:t>
      </w:r>
      <w:r>
        <w:t>Mineral scaling, driven by concentration polarization, is an inevitable challenge in electro-membrane technologies for recovering valuable metals from lithium-ion battery (LIB) leachates. Here, we elucidate the synergistic scaling mechanism and propose an electric field-assisted organic acid control (eF-OAC) principle to prevent membrane mineral scaling while enabling metal recovery. The eF-OAC utilizes an electric field to direct organic acids into the membrane matrix, where ligand-metal coordination dissolves hydroxide-rich scale and mobilizes metal species for selective transport and crystallization. Dynamic experimental analysis reveals that concentration polarization enriches metal hydroxides at the membrane interfaces and pores. Static density functional theory calculations further demonstrate that organic ligands are thermodynamically favored over sulfonate groups for coordinating metal hydroxides, enabling targeted dissolution from the membrane. Leveraging this molecular-level selectivity, the eF-OAC converts scale into recoverable crystalline products. In optimized electro-membrane crystallization, this eF-OAC achieves high recovery rates of 97.6% for Li+, 95.3% for Ni2+, 94.2% for Co2+, and 97.8% for Mn2+. It further yields high-purity Li2SO4 (99.4%), Ni(OH)2 (99.2%), Co(OH)2 (99.0%), and Mn3O4 (99.3%). This study clarifies the mechanisms of mineral scaling and demonstrates a scaling-free approach that transforms fouling liabilities into valuable resource recovery for spent LIBs.</w:t>
      </w:r>
    </w:p>
    <w:p>
      <w:pPr>
        <w:spacing w:before="120" w:after="120"/>
      </w:pPr>
      <w:r>
        <w:rPr>
          <w:sz w:val="18"/>
        </w:rPr>
        <w:t>——————————————————————————————————————————————————————————————————————</w:t>
      </w:r>
    </w:p>
    <w:p>
      <w:pPr>
        <w:spacing w:before="160" w:after="40" w:line="240" w:lineRule="auto"/>
      </w:pPr>
      <w:r>
        <w:rPr>
          <w:b/>
        </w:rPr>
        <w:t xml:space="preserve">[5] </w:t>
      </w:r>
      <w:hyperlink r:id="rId91">
        <w:r>
          <w:rPr>
            <w:color w:val="1155CC"/>
            <w:u w:val="single"/>
          </w:rPr>
          <w:t>协同界面机械粘合剂设计，用于实际软包电池中的高面积容量和长寿命硅基负极</w:t>
        </w:r>
      </w:hyperlink>
    </w:p>
    <w:p>
      <w:pPr>
        <w:spacing w:before="0" w:after="80"/>
      </w:pPr>
      <w:r>
        <w:rPr>
          <w:i/>
          <w:sz w:val="20"/>
        </w:rPr>
        <w:t>EN: Synergistic interfacial-mechanical binder design for high-areal-capacity and long-lifespan Si-based negative electrodes in practical pouch cells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高能量密度锂离子电池需要高硅硅石墨复合负极，但其商业化仍然受到界面不相容性和机械不稳定性的阻碍。虽然理想的粘合剂必须同时实现对硅和石墨的牢固粘合，适应硅体积的显着变化，并保持粘合剂的高体积稳定性，但现有系统无法协调这些要求。在这里，我们提出了一种分子工程粘合剂，通过界面机械协同作用解决了这个难题。通过集成疏水性软共聚物和亲水性硬共聚物，我们的设计实现了两亲界面粘附，并提供专门定制的机械性能以适应硅体积的变化。超分子交联剂进一步增强链间内聚力，确保长循环寿命期间粘合剂的整体稳定性。该设计使 2 Ah 级软包电池能够在 0.3 C 下维持 500 个循环，平均库仑效率为 99.83%。在商业粘合剂负载量为 5 wt% 时，1 Ah 电池在 1 C 下可进行 2000 多次循环，平均库仑效率为 99.93%。我们的工作不仅有可能解决硅基负极中界面稳定性和机械稳定性之间长期存在的权衡问题，而且还为设计针对能量密集、耐用电池的下一代粘合剂提供了实用的框架。</w:t>
      </w:r>
    </w:p>
    <w:p>
      <w:pPr>
        <w:spacing w:before="0" w:after="200" w:lineRule="auto" w:line="276"/>
      </w:pPr>
      <w:r>
        <w:rPr>
          <w:b/>
        </w:rPr>
        <w:t xml:space="preserve">Abstract (EN): </w:t>
      </w:r>
      <w:r>
        <w:t>The pursuit of high-energy-density lithium-ion batteries demands high-silicon silicon-graphite composite negative electrodes, yet their commercialization remains hindered by interfacial incompatibility and mechanical instability. While an ideal binder must simultaneously achieve robust adhesion to both silicon and graphite, accommodate substantial silicon volume changes, and maintain high binder bulk stability, existing systems fail to harmonize these requirements. Here, we present a molecularly engineered binder that resolves this trilemma through interfacial-mechanical synergy. By integrating a hydrophobic-soft copolymer and hydrophilic-hard copolymer, our design enables amphiphilic interfacial adhesion and provides mechanical properties specifically tailored to accommodate silicon volume changes. A supramolecular crosslinker further reinforces interchain cohesion, ensuring binder bulk stability during long cycling life. This design enables a 2 Ah-level pouch cell to sustain 500 cycles at 0.3 C with 99.83% average Coulombic efficiency. At a commercial binder loading of 5 wt%, 1 Ah cells deliver over 2000 cycles at 1 C with an average Coulombic efficiency of 99.93%. Our work has the potential to not only resolve the long-standing trade-off between interfacial and mechanical stability in silicon-based negative electrodes but also provide a practical framework for designing next-generation binders targeting energy-dense, durable batteries.</w:t>
      </w:r>
    </w:p>
    <w:p>
      <w:pPr>
        <w:spacing w:before="120" w:after="120"/>
      </w:pPr>
      <w:r>
        <w:rPr>
          <w:sz w:val="18"/>
        </w:rPr>
        <w:t>——————————————————————————————————————————————————————————————————————</w:t>
      </w:r>
    </w:p>
    <w:p>
      <w:pPr>
        <w:spacing w:before="160" w:after="40" w:line="240" w:lineRule="auto"/>
      </w:pPr>
      <w:r>
        <w:rPr>
          <w:b/>
        </w:rPr>
        <w:t xml:space="preserve">[6] </w:t>
      </w:r>
      <w:hyperlink r:id="rId128">
        <w:r>
          <w:rPr>
            <w:color w:val="1155CC"/>
            <w:u w:val="single"/>
          </w:rPr>
          <w:t>用于锂离子电池硅基阳极的官能团调节聚酰亚胺粘合剂</w:t>
        </w:r>
      </w:hyperlink>
    </w:p>
    <w:p>
      <w:pPr>
        <w:spacing w:before="0" w:after="80"/>
      </w:pPr>
      <w:r>
        <w:rPr>
          <w:i/>
          <w:sz w:val="20"/>
        </w:rPr>
        <w:t>EN: Functional Group Regulated Polyimide Binders for Silicon-Based Anodes in Lithium-Ion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129">
        <w:r>
          <w:rPr>
            <w:color w:val="1155CC"/>
            <w:u w:val="single"/>
          </w:rPr>
          <w:t>10.1021/acsami.6c08017</w:t>
        </w:r>
      </w:hyperlink>
    </w:p>
    <w:p>
      <w:pPr>
        <w:spacing w:before="0" w:after="120"/>
      </w:pPr>
      <w:r>
        <w:rPr>
          <w:b/>
        </w:rPr>
        <w:t xml:space="preserve">Notes: </w:t>
      </w:r>
      <w:r>
        <w:t>abstract_source=pubmed</w:t>
      </w:r>
    </w:p>
    <w:p>
      <w:pPr>
        <w:spacing w:before="0" w:after="80" w:lineRule="auto" w:line="276"/>
      </w:pPr>
      <w:r>
        <w:rPr>
          <w:b/>
        </w:rPr>
        <w:t xml:space="preserve">摘要（ZH）: </w:t>
      </w:r>
      <w:r>
        <w:t>粘合剂在减轻充电/放电过程中硅阳极的严重体积变化和保持电极完整性方面发挥着关键作用。在这项工作中，制备了一系列具有不同官能团的聚酰亚胺（PI）粘合剂，以系统地研究其结构-性能关系。含有酰胺基团的PI-DABA粘合剂可以有效抵抗电解液膨胀，并对硅材料具有很强的界面相互作用。相比之下，含有酯基的PI-APAB粘合剂在电解质膨胀和与Li+配位过强时表现出严重降低的机械性能。 PI-PDA 粘合剂不含额外的极性基团，可抵抗电解质溶胀，但与 Si 颗粒的界面相互作用较弱。结果，基于PI-DABA的硅负极在1 A g-1时表现出最佳性能，在300次循环后保留了70%以上的初始容量，比容量约为2300 mAh g-1。它形成稳定的固体电解质中间相（SEI），具有富含有机物的外层和富含LiF的内层，而基于PI-APAB或PI-PDA的SEI由混合的有机和无机物质组成。这项研究揭示了聚合物粘合剂结构对其电解质膨胀行为和界面相互作用的显着影响，并为锂离子电池硅阳极的高性能聚合物粘合剂提供了实用的设计原则。</w:t>
      </w:r>
    </w:p>
    <w:p>
      <w:pPr>
        <w:spacing w:before="0" w:after="200" w:lineRule="auto" w:line="276"/>
      </w:pPr>
      <w:r>
        <w:rPr>
          <w:b/>
        </w:rPr>
        <w:t xml:space="preserve">Abstract (EN): </w:t>
      </w:r>
      <w:r>
        <w:t>Binders play a critical role in mitigating the severe volume variation of silicon anodes during charge/discharge and maintaining electrode integrity. In this work, a series of polyimide (PI) binders with different functional groups are prepared to systematically investigate the structure-property relationship. The PI-DABA binder containing amide groups can effectively resist electrolyte swelling and possess strong interfacial interactions toward Si materials. In contrast, the PI-APAB binder, which contains ester groups, shows severely degraded mechanical properties upon electrolyte swelling and excessively strong coordination with Li+. The PI-PDA binder, which contains no additional polar groups, resists electrolyte swelling but shows weak interfacial interaction with Si particles. As a result, the PI-DABA-based silicon anode exhibits the best performance at 1 A g-1, retaining over 70% of its initial capacity after 300 cycles with a specific capacity of about 2300 mAh g-1. It forms a stable solid electrolyte interphase (SEI) featuring an organic-rich outer layer and a LiF-rich inner layer, while PI-APAB or PI-PDA-based SEIs consist of mixed organic and inorganic species. This study uncovers the significant impact of polymer binder structures on their electrolyte swelling behaviors and interfacial interactions and provides practical designing principles toward high-performance polymer binders for silicon anodes in lithium-ion batteries.</w:t>
      </w:r>
    </w:p>
    <w:p>
      <w:pPr>
        <w:spacing w:before="120" w:after="120"/>
      </w:pPr>
      <w:r>
        <w:rPr>
          <w:sz w:val="18"/>
        </w:rPr>
        <w:t>——————————————————————————————————————————————————————————————————————</w:t>
      </w:r>
    </w:p>
    <w:p>
      <w:pPr>
        <w:spacing w:before="160" w:after="40" w:line="240" w:lineRule="auto"/>
      </w:pPr>
      <w:r>
        <w:rPr>
          <w:b/>
        </w:rPr>
        <w:t xml:space="preserve">[7] </w:t>
      </w:r>
      <w:hyperlink r:id="rId130">
        <w:r>
          <w:rPr>
            <w:color w:val="1155CC"/>
            <w:u w:val="single"/>
          </w:rPr>
          <w:t>结合基于模型和数据驱动的方法对现实磷酸铁锂电池组的充电状态进行估计</w:t>
        </w:r>
      </w:hyperlink>
    </w:p>
    <w:p>
      <w:pPr>
        <w:spacing w:before="0" w:after="80"/>
      </w:pPr>
      <w:r>
        <w:rPr>
          <w:i/>
          <w:sz w:val="20"/>
        </w:rPr>
        <w:t>EN: State of charge estimation of real-world lithium iron phosphate battery packs combining model-based and data-driven approaches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31">
        <w:r>
          <w:rPr>
            <w:color w:val="1155CC"/>
            <w:u w:val="single"/>
          </w:rPr>
          <w:t>每日简报：可以改变一切的电池</w:t>
        </w:r>
      </w:hyperlink>
    </w:p>
    <w:p>
      <w:pPr>
        <w:spacing w:before="0" w:after="80"/>
      </w:pPr>
      <w:r>
        <w:rPr>
          <w:i/>
          <w:sz w:val="20"/>
        </w:rPr>
        <w:t>EN: Daily briefing: The battery that could change everything</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32">
        <w:r>
          <w:rPr>
            <w:color w:val="1155CC"/>
            <w:u w:val="single"/>
          </w:rPr>
          <w:t>10.1038/d41586-026-02249-2</w:t>
        </w:r>
      </w:hyperlink>
    </w:p>
    <w:p>
      <w:pPr>
        <w:spacing w:before="0" w:after="120"/>
      </w:pPr>
      <w:r>
        <w:rPr>
          <w:b/>
        </w:rPr>
        <w:t xml:space="preserve">Notes: </w:t>
      </w:r>
      <w:r>
        <w:t>abstract_source=nature_html</w:t>
      </w:r>
    </w:p>
    <w:p>
      <w:pPr>
        <w:spacing w:before="0" w:after="80" w:lineRule="auto" w:line="276"/>
      </w:pPr>
      <w:r>
        <w:rPr>
          <w:b/>
        </w:rPr>
        <w:t xml:space="preserve">摘要（ZH）: </w:t>
      </w:r>
      <w:r>
        <w:t>钠离子电池如何改变世界。另外，还有一种古老蠕虫的惯用手的进化，以及科学家如何揭示深海的奥秘。钠离子电池如何改变世界。另外，还有一种古老蠕虫的惯用手的进化，以及科学家如何揭示深海的奥秘。</w:t>
      </w:r>
    </w:p>
    <w:p>
      <w:pPr>
        <w:spacing w:before="0" w:after="200" w:lineRule="auto" w:line="276"/>
      </w:pPr>
      <w:r>
        <w:rPr>
          <w:b/>
        </w:rPr>
        <w:t xml:space="preserve">Abstract (EN): </w:t>
      </w:r>
      <w:r>
        <w:t>How sodium-ion batteries could change the world. Plus, the evolution of handedness with an ancient worm and how scientists are revealing the mysteries of the deep ocean. How sodium-ion batteries could change the world. Plus, the evolution of handedness with an ancient worm and how scientists are revealing the mysteries of the deep ocean.</w:t>
      </w:r>
    </w:p>
    <w:p>
      <w:pPr>
        <w:spacing w:before="120" w:after="120"/>
      </w:pPr>
      <w:r>
        <w:rPr>
          <w:sz w:val="18"/>
        </w:rPr>
        <w:t>——————————————————————————————————————————————————————————————————————</w:t>
      </w:r>
    </w:p>
    <w:p>
      <w:pPr>
        <w:spacing w:before="160" w:after="40" w:line="240" w:lineRule="auto"/>
      </w:pPr>
      <w:r>
        <w:rPr>
          <w:b/>
        </w:rPr>
        <w:t xml:space="preserve">[9] </w:t>
      </w:r>
      <w:hyperlink r:id="rId133">
        <w:r>
          <w:rPr>
            <w:color w:val="1155CC"/>
            <w:u w:val="single"/>
          </w:rPr>
          <w:t>现实车队中分散充电段的锂离子电池健康状况估计</w:t>
        </w:r>
      </w:hyperlink>
    </w:p>
    <w:p>
      <w:pPr>
        <w:spacing w:before="0" w:after="80"/>
      </w:pPr>
      <w:r>
        <w:rPr>
          <w:i/>
          <w:sz w:val="20"/>
        </w:rPr>
        <w:t>EN: Lithium-ion battery state-of-health estimation for fragmented charging segments in real-world fleets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34">
        <w:r>
          <w:rPr>
            <w:color w:val="1155CC"/>
            <w:u w:val="single"/>
          </w:rPr>
          <w:t>迈向下一代锂离子电池回收：从金属提取到原位电池修复</w:t>
        </w:r>
      </w:hyperlink>
    </w:p>
    <w:p>
      <w:pPr>
        <w:spacing w:before="0" w:after="80"/>
      </w:pPr>
      <w:r>
        <w:rPr>
          <w:i/>
          <w:sz w:val="20"/>
        </w:rPr>
        <w:t>EN: Toward Next Generation Lithium‐Ion Battery Recycling: From Metal Extraction to In Situ Cell Repair</w:t>
      </w:r>
    </w:p>
    <w:p>
      <w:pPr>
        <w:spacing w:before="0" w:after="120"/>
      </w:pPr>
      <w:r>
        <w:rPr>
          <w:b/>
        </w:rPr>
        <w:t xml:space="preserve">Source: </w:t>
      </w:r>
      <w:r>
        <w:t>Wiley: Advanced Energy Materials: Table of Contents</w:t>
      </w:r>
      <w:r>
        <w:t xml:space="preserve">    </w:t>
      </w:r>
      <w:r>
        <w:rPr>
          <w:b/>
        </w:rPr>
        <w:t xml:space="preserve">Pub date: </w:t>
      </w:r>
      <w:r>
        <w:t>2026-07-15 08:47:50+00:00</w:t>
      </w:r>
      <w:r>
        <w:t xml:space="preserve">    </w:t>
      </w:r>
      <w:r>
        <w:rPr>
          <w:b/>
        </w:rPr>
        <w:t xml:space="preserve">DOI: </w:t>
      </w:r>
      <w:hyperlink r:id="rId135">
        <w:r>
          <w:rPr>
            <w:color w:val="1155CC"/>
            <w:u w:val="single"/>
          </w:rPr>
          <w:t>10.1002/aenm.71295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动汽车的快速增长加速了废旧锂离子电池的积累，迫切需要减少能源消耗、最大限度减少二次废物并保留材料价值的回收策略。传统的火法冶金和湿法冶金工艺仍然是重要的工业路线，但它们对金属提取的关注往往无法保留废电池中蕴含的功能价值。相比之下，材料再生通过再锂化和结构重建来恢复退化的电极材料，为恢复材料功能提供了更精确的途径，尽管其应用仍然受到原料异质性和不一致性能的限制。最近，无损表征和智能评估的进步使得原位电池修复成为可能，它可以诊断退化并以最少的拆卸恢复电池功能。这些进展揭示了废旧电池回收的明显演变，从散装金属回收到功能材料修复，最终到电池级修复。因此，本综述提出了一个涵盖传统金属提取、材料再生和无损原位细胞修复的三阶段框架。更重要的是，它将电池回收视为从批量处理到诊断引导修复的不断发展的途径，并建立了连接电池分析、分类、路线选择、再生和原位修复的智能回收框架，以支持下一代电池</w:t>
      </w:r>
    </w:p>
    <w:p>
      <w:pPr>
        <w:spacing w:before="0" w:after="200" w:lineRule="auto" w:line="276"/>
      </w:pPr>
      <w:r>
        <w:rPr>
          <w:b/>
        </w:rPr>
        <w:t xml:space="preserve">Abstract (EN): </w:t>
      </w:r>
      <w:r>
        <w:t>The rapid growth of electric vehicles has accelerated the accumulation of spent lithium‐ion batteries, creating an urgent need for recycling strategies that reduce energy consumption, minimize secondary waste, and retain material value. Conventional pyrometallurgical and hydrometallurgical processes remain important industrial routes, but their focus on metal extraction often fails to preserve the functional value embedded in spent batteries. In contrast, materials regeneration restores degraded electrode materials through relithiation and structural reconstruction, offering a more precise route for recovering material functionality, although its application is still constrained by feedstock heterogeneity and inconsistent performance. More recently, advances in nondestructive characterization and intelligent evaluation have enabled in situ cell repair, which diagnoses degradation and restores battery function with minimal disassembly. These developments reveal a clear evolution of spent battery recycling, from bulk metal recovery to functional materials restoration and ultimately to cell‐level repair. Accordingly, this review proposes a three‐stage framework covering conventional metal extraction, materials regeneration, and nondestructive in situ cell repair. More importantly, it presents battery recycling as an evolving pathway from bulk treatment to diagnosis guided repair and establishes an intelligent recycling framework linking battery analysis, classification, route selection, regeneration, and in situ repair to support next generation battery circularity.</w:t>
      </w:r>
    </w:p>
    <w:p>
      <w:pPr>
        <w:spacing w:before="120" w:after="120"/>
      </w:pPr>
      <w:r>
        <w:rPr>
          <w:sz w:val="18"/>
        </w:rPr>
        <w:t>——————————————————————————————————————————————————————————————————————</w:t>
      </w:r>
    </w:p>
    <w:p>
      <w:pPr>
        <w:spacing w:before="160" w:after="40" w:line="240" w:lineRule="auto"/>
      </w:pPr>
      <w:r>
        <w:rPr>
          <w:b/>
        </w:rPr>
        <w:t xml:space="preserve">[11] </w:t>
      </w:r>
      <w:hyperlink r:id="rId136">
        <w:r>
          <w:rPr>
            <w:color w:val="1155CC"/>
            <w:u w:val="single"/>
          </w:rPr>
          <w:t>阴极相关的电化学-机械耦合控制边缘锂镀层和锂离子电池的界面空隙异质性</w:t>
        </w:r>
      </w:hyperlink>
    </w:p>
    <w:p>
      <w:pPr>
        <w:spacing w:before="0" w:after="80"/>
      </w:pPr>
      <w:r>
        <w:rPr>
          <w:i/>
          <w:sz w:val="20"/>
        </w:rPr>
        <w:t>EN: Cathode‐Dependent Electrochemical–Mechanical Coupling Governing Edge Lithium Plating and Interfacial Void Heterogeneity of Lithium‐Ion Batteries</w:t>
      </w:r>
    </w:p>
    <w:p>
      <w:pPr>
        <w:spacing w:before="0" w:after="120"/>
      </w:pPr>
      <w:r>
        <w:rPr>
          <w:b/>
        </w:rPr>
        <w:t xml:space="preserve">Source: </w:t>
      </w:r>
      <w:r>
        <w:t>Wiley: Advanced Energy Materials: Table of Contents</w:t>
      </w:r>
      <w:r>
        <w:t xml:space="preserve">    </w:t>
      </w:r>
      <w:r>
        <w:rPr>
          <w:b/>
        </w:rPr>
        <w:t xml:space="preserve">Pub date: </w:t>
      </w:r>
      <w:r>
        <w:t>2026-07-15 08:50:14+00:00</w:t>
      </w:r>
      <w:r>
        <w:t xml:space="preserve">    </w:t>
      </w:r>
      <w:r>
        <w:rPr>
          <w:b/>
        </w:rPr>
        <w:t xml:space="preserve">DOI: </w:t>
      </w:r>
      <w:hyperlink r:id="rId137">
        <w:r>
          <w:rPr>
            <w:color w:val="1155CC"/>
            <w:u w:val="single"/>
          </w:rPr>
          <w:t>10.1002/aenm.71300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锂电镀对锂离子电池来说是一种严重的安全隐患，传统上被认为是阳极主导的故障。在这里，我们揭示了边缘镀锂的阴极依赖性起源，解释了 LiFePO 具有更高的敏感性</w:t>
      </w:r>
      <w:r>
        <w:rPr>
          <w:vertAlign w:val="subscript"/>
        </w:rPr>
        <w:t>4</w:t>
      </w:r>
      <w:r>
        <w:t>（LFP）细胞。我们证明了 LFP 和石墨电极之间的异步晶格体积和厚度演化会在循环过程中引起多级膨胀-收缩。再加上软包电池机械约束中固有的中心边缘差异，这种行为逐渐放大了机械异质性，推动了 LFP||石墨软包电池低压边缘区域的优先锂电镀。这种电化学-机械起源得到了空间分辨操作电池厚度测量、锂镀层内高度异质的界面空隙以及基于实验的有限元模拟的支持。此外，机械优化且均匀的外部压力调节策略有效抑制边缘镀锂，在1C下循环3500次后容量保持率超过90%。这项工作确定了阴极依赖的降解途径，并为电化学-机械耦合电池设计提供了实用的框架。</w:t>
      </w:r>
    </w:p>
    <w:p>
      <w:pPr>
        <w:spacing w:before="0" w:after="200" w:lineRule="auto" w:line="276"/>
      </w:pPr>
      <w:r>
        <w:rPr>
          <w:b/>
        </w:rPr>
        <w:t xml:space="preserve">Abstract (EN): </w:t>
      </w:r>
      <w:r>
        <w:t>Lithium plating is a severe safety hazard in lithium‐ion batteries and is traditionally regarded as an anode‐dominated failure. Here, we unveil a cathode‐dependent origin of edge lithium plating, accounting for the higher susceptibility of LiFePO</w:t>
      </w:r>
      <w:r>
        <w:rPr>
          <w:vertAlign w:val="subscript"/>
        </w:rPr>
        <w:t>4</w:t>
      </w:r>
      <w:r>
        <w:t>(LFP) cells. We demonstrate that asynchronous lattice‐volume and thickness evolution between LFP and graphite electrodes induces multistage expansion–contraction during cycling. Coupled with the intrinsic center–edge disparity in mechanical constraints of pouch cells, this behavior progressively amplifies mechanical heterogeneity, driving preferential lithium plating at low‐pressure edge regions in LFP||graphite pouch cells. This electrochemical–mechanical origin is supported by spatially resolved operando cell thickness measurements, highly heterogeneous interfacial voids within the lithium plating layer, and experimentally informed finite‐element simulations. Moreover, a mechanically optimized and uniform external pressure regulation strategy effectively suppresses edge lithium plating, enabling over 90% capacity retention after 3500 cycles at 1C. This work identifies a cathode‐dependent degradation pathway and provides a practical framework for electrochemical–mechanical coupling‐informed battery design.</w:t>
      </w:r>
    </w:p>
    <w:p>
      <w:pPr>
        <w:spacing w:before="120" w:after="120"/>
      </w:pPr>
      <w:r>
        <w:rPr>
          <w:sz w:val="18"/>
        </w:rPr>
        <w:t>——————————————————————————————————————————————————————————————————————</w:t>
      </w:r>
    </w:p>
    <w:p>
      <w:pPr>
        <w:spacing w:before="160" w:after="40" w:line="240" w:lineRule="auto"/>
      </w:pPr>
      <w:r>
        <w:rPr>
          <w:b/>
        </w:rPr>
        <w:t xml:space="preserve">[12] </w:t>
      </w:r>
      <w:hyperlink r:id="rId138">
        <w:r>
          <w:rPr>
            <w:color w:val="1155CC"/>
            <w:u w:val="single"/>
          </w:rPr>
          <w:t>利用稀疏云充电数据和TabNet深度学习网络对共享电动自行车二次寿命锂离子电池进行多故障诊断</w:t>
        </w:r>
      </w:hyperlink>
    </w:p>
    <w:p>
      <w:pPr>
        <w:spacing w:before="0" w:after="80"/>
      </w:pPr>
      <w:r>
        <w:rPr>
          <w:i/>
          <w:sz w:val="20"/>
        </w:rPr>
        <w:t>EN: Multi-fault diagnosis of second-life lithium-ion batteries for shared electric bikes using sparse cloud-based charging data and TabNet deep learning network</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39">
        <w:r>
          <w:rPr>
            <w:color w:val="1155CC"/>
            <w:u w:val="single"/>
          </w:rPr>
          <w:t>结构电池从概念到部署</w:t>
        </w:r>
      </w:hyperlink>
    </w:p>
    <w:p>
      <w:pPr>
        <w:spacing w:before="0" w:after="80"/>
      </w:pPr>
      <w:r>
        <w:rPr>
          <w:i/>
          <w:sz w:val="20"/>
        </w:rPr>
        <w:t>EN: Structural batteries from concept to deployment</w:t>
      </w:r>
    </w:p>
    <w:p>
      <w:pPr>
        <w:spacing w:before="0" w:after="120"/>
      </w:pPr>
      <w:r>
        <w:rPr>
          <w:b/>
        </w:rPr>
        <w:t xml:space="preserve">Source: </w:t>
      </w:r>
      <w:r>
        <w:t>Joule</w:t>
      </w:r>
      <w:r>
        <w:t xml:space="preserve">    </w:t>
      </w:r>
      <w:r>
        <w:rPr>
          <w:b/>
        </w:rPr>
        <w:t xml:space="preserve">Pub date: </w:t>
      </w:r>
      <w:r>
        <w:t>2026-07-13 00:00:00+00:00</w:t>
      </w:r>
      <w:r>
        <w:t xml:space="preserve">    </w:t>
      </w:r>
      <w:r>
        <w:rPr>
          <w:b/>
        </w:rPr>
        <w:t xml:space="preserve">DOI: </w:t>
      </w:r>
      <w:hyperlink r:id="rId140">
        <w:r>
          <w:rPr>
            <w:color w:val="1155CC"/>
            <w:u w:val="single"/>
          </w:rPr>
          <w:t>10.1016/j.joule.2026.102572</w:t>
        </w:r>
      </w:hyperlink>
    </w:p>
    <w:p>
      <w:pPr>
        <w:spacing w:before="0" w:after="120"/>
      </w:pPr>
      <w:r>
        <w:rPr>
          <w:b/>
        </w:rPr>
        <w:t xml:space="preserve">Notes: </w:t>
      </w:r>
      <w:r>
        <w:t>abstract_source=rss_cell</w:t>
      </w:r>
    </w:p>
    <w:p>
      <w:pPr>
        <w:spacing w:before="0" w:after="80" w:lineRule="auto" w:line="276"/>
      </w:pPr>
      <w:r>
        <w:rPr>
          <w:b/>
        </w:rPr>
        <w:t xml:space="preserve">摘要（ZH）: </w:t>
      </w:r>
      <w:r>
        <w:t>结构电池有望将能量存储和承载功能合并到单一材料系统中，为轻量级电气化提供新范例。这一视角定义了将结构电池从实验室可行性转向可部署系统所需的科学和工程路线图。</w:t>
      </w:r>
    </w:p>
    <w:p>
      <w:pPr>
        <w:spacing w:before="0" w:after="200" w:lineRule="auto" w:line="276"/>
      </w:pPr>
      <w:r>
        <w:rPr>
          <w:b/>
        </w:rPr>
        <w:t xml:space="preserve">Abstract (EN): </w:t>
      </w:r>
      <w:r>
        <w:t>Structural batteries promise to merge energy storage and load-bearing functionality into a single material system, offering a new paradigm for lightweight electrification. This perspective defines the scientific and engineering roadmap needed to move structural batteries from laboratory feasibility to deployable systems.</w:t>
      </w:r>
    </w:p>
    <w:p>
      <w:pPr>
        <w:spacing w:before="120" w:after="120"/>
      </w:pPr>
      <w:r>
        <w:rPr>
          <w:sz w:val="18"/>
        </w:rPr>
        <w:t>——————————————————————————————————————————————————————————————————————</w:t>
      </w:r>
    </w:p>
    <w:p>
      <w:pPr>
        <w:spacing w:before="160" w:after="40" w:line="240" w:lineRule="auto"/>
      </w:pPr>
      <w:r>
        <w:rPr>
          <w:b/>
        </w:rPr>
        <w:t xml:space="preserve">[2] </w:t>
      </w:r>
      <w:hyperlink r:id="rId141">
        <w:r>
          <w:rPr>
            <w:color w:val="1155CC"/>
            <w:u w:val="single"/>
          </w:rPr>
          <w:t>In(BF 4 ) 3 添加剂原位构建Zn-In合金层稳定Zn阳极并实现超高可逆锌-空气电池</w:t>
        </w:r>
      </w:hyperlink>
    </w:p>
    <w:p>
      <w:pPr>
        <w:spacing w:before="0" w:after="80"/>
      </w:pPr>
      <w:r>
        <w:rPr>
          <w:i/>
          <w:sz w:val="20"/>
        </w:rPr>
        <w:t>EN: In Situ Construct of Zn–In Alloy Layer by In(BF 4 ) 3 Additive to Stabilize Zn Anode and Realize Ultra-High Reversible Zinc–Air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142">
        <w:r>
          <w:rPr>
            <w:color w:val="1155CC"/>
            <w:u w:val="single"/>
          </w:rPr>
          <w:t>10.1021/jacs.6c01511</w:t>
        </w:r>
      </w:hyperlink>
    </w:p>
    <w:p>
      <w:pPr>
        <w:spacing w:before="0" w:after="120"/>
      </w:pPr>
      <w:r>
        <w:rPr>
          <w:b/>
        </w:rPr>
        <w:t xml:space="preserve">Notes: </w:t>
      </w:r>
      <w:r>
        <w:t>abstract_source=pubmed</w:t>
      </w:r>
    </w:p>
    <w:p>
      <w:pPr>
        <w:spacing w:before="0" w:after="80" w:lineRule="auto" w:line="276"/>
      </w:pPr>
      <w:r>
        <w:rPr>
          <w:b/>
        </w:rPr>
        <w:t xml:space="preserve">摘要（ZH）: </w:t>
      </w:r>
      <w:r>
        <w:t>水系锌空气电池（ZAB）因其成本低、安全性高、理论能量密度高而被认为是一种有前途的长期储能技术。然而，锌（Zn）负极在循环过程中存在枝晶生长、析氢反应（HER）、腐蚀、钝化和体积变形等问题。为了增强锌阳极的界面稳定性和沉积/溶解行为，这项工作将四氟硼酸铟（In(BF4)3）作为功能添加剂引入电解液中。结果表明，铟（In）的掺入有效调节了Zn的成核行为，促进了均匀的Zn沉积，并显着抑制了枝晶的形成。此外，与In形成的动态合金界面参与可逆氧化还原反应，使局部缺陷能够自修复，从而提高界面完整性和沉积结构的致密性。改造后，ZAB在5 mA cm-2电流密度、每循环20 min下实现了超过400 h的超长循环寿命，在高充放电深度下，在2 mA cm-2电流密度、每循环4 h下实现了320 h的超高可逆性。含有 In(BF4)3 添加剂的 ZAB 在各种电流密度下表现出降低的电压极化和优异的倍率性能，显着增强的循环稳定性和电化学性能。这项工作清楚地展示了通过电解质工程原位构建 Zn-In 合金层的策略，可以指导稳定的 Zn 负极的设计和制备。</w:t>
      </w:r>
    </w:p>
    <w:p>
      <w:pPr>
        <w:spacing w:before="0" w:after="200" w:lineRule="auto" w:line="276"/>
      </w:pPr>
      <w:r>
        <w:rPr>
          <w:b/>
        </w:rPr>
        <w:t xml:space="preserve">Abstract (EN): </w:t>
      </w:r>
      <w:r>
        <w:t>Aqueous zinc-air battery (ZAB) is considered as a promising long-term energy storage technology due to its low cost, high safety, and high theoretical energy density. However, the zinc (Zn) anode suffers from issues such as dendrite growth, hydrogen evolution reaction (HER), corrosion, passivation, and volume deformation during cycling. To enhance the interfacial stability and deposition/dissolution behavior of the Zn anode, this work introduces indium tetrafluoroborate (In(BF4)3) into the electrolyte as a functional additive. The results demonstrate that the incorporation of indium (In) effectively regulates Zn nucleation behavior, promotes uniform Zn deposition, and significantly suppresses dendrite formation. Moreover, the dynamic alloy interface formed with In participates in reversible redox reactions that enable local defect self-healing, thus improving interfacial integrity and the compactness of the deposited structure. After modification, the ZAB achieves an ultralong cycle life of over 400 h under a current density of 5 mA cm-2 and 20 min per cycle, and ultrahigh reversibility for 320 h at current density of 2 mA cm-2 and 4 h per cycle under high depth of discharge/charge. The ZABs with In(BF4)3 additive exhibit reduced voltage polarization and excellent rate capability at various current densities, exhibiting enhanced cycling stability and electrochemical performance significantly. This work shows clearly the strategy of in situ constructing a Zn-In alloy layer by electrolyte engineering, which can guide the design and preparation of a stable Zn anode for not only ZABs but also the other Zn-based batteries.</w:t>
      </w:r>
    </w:p>
    <w:p>
      <w:pPr>
        <w:spacing w:before="120" w:after="120"/>
      </w:pPr>
      <w:r>
        <w:rPr>
          <w:sz w:val="18"/>
        </w:rPr>
        <w:t>——————————————————————————————————————————————————————————————————————</w:t>
      </w:r>
    </w:p>
    <w:p>
      <w:pPr>
        <w:spacing w:before="160" w:after="40" w:line="240" w:lineRule="auto"/>
      </w:pPr>
      <w:r>
        <w:rPr>
          <w:b/>
        </w:rPr>
        <w:t xml:space="preserve">[3] </w:t>
      </w:r>
      <w:hyperlink r:id="rId143">
        <w:r>
          <w:rPr>
            <w:color w:val="1155CC"/>
            <w:u w:val="single"/>
          </w:rPr>
          <w:t>配体限制的锌浆可实现持久的基于流动的能量存储</w:t>
        </w:r>
      </w:hyperlink>
    </w:p>
    <w:p>
      <w:pPr>
        <w:spacing w:before="0" w:after="80"/>
      </w:pPr>
      <w:r>
        <w:rPr>
          <w:i/>
          <w:sz w:val="20"/>
        </w:rPr>
        <w:t>EN: Ligand-confined zinc slurries enable durable flow-based energy storage</w:t>
      </w:r>
    </w:p>
    <w:p>
      <w:pPr>
        <w:spacing w:before="0" w:after="120"/>
      </w:pPr>
      <w:r>
        <w:rPr>
          <w:b/>
        </w:rPr>
        <w:t xml:space="preserve">Source: </w:t>
      </w:r>
      <w:r>
        <w:t>Nature Energy</w:t>
      </w:r>
      <w:r>
        <w:t xml:space="preserve">    </w:t>
      </w:r>
      <w:r>
        <w:rPr>
          <w:b/>
        </w:rPr>
        <w:t xml:space="preserve">Pub date: </w:t>
      </w:r>
      <w:r>
        <w:t>2026-07-13 00:00:00+00:00</w:t>
      </w:r>
      <w:r>
        <w:t xml:space="preserve">    </w:t>
      </w:r>
      <w:r>
        <w:rPr>
          <w:b/>
        </w:rPr>
        <w:t xml:space="preserve">DOI: </w:t>
      </w:r>
      <w:hyperlink r:id="rId144">
        <w:r>
          <w:rPr>
            <w:color w:val="1155CC"/>
            <w:u w:val="single"/>
          </w:rPr>
          <w:t>10.1038/s41560-026-02096-5</w:t>
        </w:r>
      </w:hyperlink>
    </w:p>
    <w:p>
      <w:pPr>
        <w:spacing w:before="0" w:after="120"/>
      </w:pPr>
      <w:r>
        <w:rPr>
          <w:b/>
        </w:rPr>
        <w:t xml:space="preserve">Notes: </w:t>
      </w:r>
      <w:r>
        <w:t>abstract_source=nature_html</w:t>
      </w:r>
    </w:p>
    <w:p>
      <w:pPr>
        <w:spacing w:before="0" w:after="80" w:lineRule="auto" w:line="276"/>
      </w:pPr>
      <w:r>
        <w:rPr>
          <w:b/>
        </w:rPr>
        <w:t xml:space="preserve">摘要（ZH）: </w:t>
      </w:r>
      <w:r>
        <w:t>锌基电池可以提供长时间的能量存储，但传统的锌电极在循环过程中会降解。现在，人们开发出了一种流动锌浆料电池，其中含有分散在导电网络中的锌纳米颗粒和稳定浆料的配体。该浆料表现出可逆的 Zn/Zn2+ 转化，并可实现持久的电池运行。</w:t>
      </w:r>
    </w:p>
    <w:p>
      <w:pPr>
        <w:spacing w:before="0" w:after="200" w:lineRule="auto" w:line="276"/>
      </w:pPr>
      <w:r>
        <w:rPr>
          <w:b/>
        </w:rPr>
        <w:t xml:space="preserve">Abstract (EN): </w:t>
      </w:r>
      <w:r>
        <w:t>Zinc-based batteries could offer long-duration energy storage, yet conventional zinc electrodes degrade during cycling. Now, a flowing zinc slurry battery is developed with zinc nanoparticles dispersed in a conductive network and a ligand that stabilizes the slurry. The slurry shows reversible Zn/Zn2+ conversion and enables durable battery operation.</w:t>
      </w:r>
    </w:p>
    <w:p>
      <w:pPr>
        <w:spacing w:before="120" w:after="120"/>
      </w:pPr>
      <w:r>
        <w:rPr>
          <w:sz w:val="18"/>
        </w:rPr>
        <w:t>——————————————————————————————————————————————————————————————————————</w:t>
      </w:r>
    </w:p>
    <w:p>
      <w:pPr>
        <w:spacing w:before="160" w:after="40" w:line="240" w:lineRule="auto"/>
      </w:pPr>
      <w:r>
        <w:rPr>
          <w:b/>
        </w:rPr>
        <w:t xml:space="preserve">[4] </w:t>
      </w:r>
      <w:hyperlink r:id="rId145">
        <w:r>
          <w:rPr>
            <w:color w:val="1155CC"/>
            <w:u w:val="single"/>
          </w:rPr>
          <w:t>用于智能身份识别的摩擦电非接触式传感器距离和速度的协同解耦</w:t>
        </w:r>
      </w:hyperlink>
    </w:p>
    <w:p>
      <w:pPr>
        <w:spacing w:before="0" w:after="80"/>
      </w:pPr>
      <w:r>
        <w:rPr>
          <w:i/>
          <w:sz w:val="20"/>
        </w:rPr>
        <w:t>EN: Synergistic Decoupling of Distance and Velocity in a Triboelectric Touchless Sensor for Intelligent Identity Recognition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146">
        <w:r>
          <w:rPr>
            <w:color w:val="1155CC"/>
            <w:u w:val="single"/>
          </w:rPr>
          <w:t>10.1021/acsami.6c11407</w:t>
        </w:r>
      </w:hyperlink>
    </w:p>
    <w:p>
      <w:pPr>
        <w:spacing w:before="0" w:after="120"/>
      </w:pPr>
      <w:r>
        <w:rPr>
          <w:b/>
        </w:rPr>
        <w:t xml:space="preserve">Notes: </w:t>
      </w:r>
      <w:r>
        <w:t>abstract_source=pubmed</w:t>
      </w:r>
    </w:p>
    <w:p>
      <w:pPr>
        <w:spacing w:before="0" w:after="80" w:lineRule="auto" w:line="276"/>
      </w:pPr>
      <w:r>
        <w:rPr>
          <w:b/>
        </w:rPr>
        <w:t xml:space="preserve">摘要（ZH）: </w:t>
      </w:r>
      <w:r>
        <w:t>非接触式身份识别是未来人机交互的重要方向，具有广泛的应用潜力，特别是在医疗保健、远程安全和增强现实方面。随着用作非接触式监控传感器的非接触式摩擦纳米发电机 (TENG) 技术的进步，非接触式交互将为更自然、无缝的用户体验铺平道路。然而，使用非接触式传感器实现更智能和更复杂的非接触式交互仍然是一个巨大的挑战，这主要是由于协同解耦多维信号（例如交互距离和速度）的困难。在这里，我们提出了一种基于单电极机制的非接触式 TENG，通过对开路电压和短路电流信号的独立分析，能够对物体距离和速度进行协同时空解码。受益于交互距离和速度之间的协同作用，所提出的系统通过将空间和时间参数映射到双通道认证输入中，通过时空信息编码来增强识别安全性。拟议的设计概念和指南将为非接触式传感器开发提供新的见解，为人工智能、网络安全以及计算机和网络访问控制等应用带来好处。</w:t>
      </w:r>
    </w:p>
    <w:p>
      <w:pPr>
        <w:spacing w:before="0" w:after="200" w:lineRule="auto" w:line="276"/>
      </w:pPr>
      <w:r>
        <w:rPr>
          <w:b/>
        </w:rPr>
        <w:t xml:space="preserve">Abstract (EN): </w:t>
      </w:r>
      <w:r>
        <w:t>Touchless identity recognition is a crucial direction for future human-computer interaction, with broad application potential particularly in healthcare, remote security, and augmented reality. With advancements in contactless triboelectric nanogenerator (TENG) technology, employed as touch-free monitoring sensors, touchless interaction will pave the way for more natural and seamless user experiences. However, achieving more intelligent and complex touchless interactions using contactless sensors remains a grand challenge, primarily due to the difficulty in synergistically decoupling multidimensional signals such as interaction distance and velocity. Here, we present a contactless TENG based on a single-electrode mechanism that enables synergistic spatiotemporal decoding of object distance and velocity through the independent analysis of open-circuit voltage and short-circuit current signals. Benefiting from the synergy between interaction distance and velocity, the proposed system enhances identification security via spatiotemporal information encoding by mapping spatial and temporal parameters into dual-channel authentication inputs. The proposed design concept and guidelines would provide new insights into touchless sensor development, promising benefits for applications like artificial intelligence, network security, and access control for computers and networks.</w:t>
      </w:r>
    </w:p>
    <w:p>
      <w:pPr>
        <w:spacing w:before="120" w:after="120"/>
      </w:pPr>
      <w:r>
        <w:rPr>
          <w:sz w:val="18"/>
        </w:rPr>
        <w:t>——————————————————————————————————————————————————————————————————————</w:t>
      </w:r>
    </w:p>
    <w:p>
      <w:pPr>
        <w:spacing w:before="160" w:after="40" w:line="240" w:lineRule="auto"/>
      </w:pPr>
      <w:r>
        <w:rPr>
          <w:b/>
        </w:rPr>
        <w:t xml:space="preserve">[5] </w:t>
      </w:r>
      <w:hyperlink r:id="rId147">
        <w:r>
          <w:rPr>
            <w:color w:val="1155CC"/>
            <w:u w:val="single"/>
          </w:rPr>
          <w:t>重新思考介电材料的能量密度限制</w:t>
        </w:r>
      </w:hyperlink>
    </w:p>
    <w:p>
      <w:pPr>
        <w:spacing w:before="0" w:after="80"/>
      </w:pPr>
      <w:r>
        <w:rPr>
          <w:i/>
          <w:sz w:val="20"/>
        </w:rPr>
        <w:t>EN: Rethinking energy density limits in dielectric materials</w:t>
      </w:r>
    </w:p>
    <w:p>
      <w:pPr>
        <w:spacing w:before="0" w:after="120"/>
      </w:pPr>
      <w:r>
        <w:rPr>
          <w:b/>
        </w:rPr>
        <w:t xml:space="preserve">Source: </w:t>
      </w:r>
      <w:r>
        <w:t>Nature Reviews Materials</w:t>
      </w:r>
      <w:r>
        <w:t xml:space="preserve">    </w:t>
      </w:r>
      <w:r>
        <w:rPr>
          <w:b/>
        </w:rPr>
        <w:t xml:space="preserve">Pub date: </w:t>
      </w:r>
      <w:r>
        <w:t>2026-07-14 00:00:00+00:00</w:t>
      </w:r>
      <w:r>
        <w:t xml:space="preserve">    </w:t>
      </w:r>
      <w:r>
        <w:rPr>
          <w:b/>
        </w:rPr>
        <w:t xml:space="preserve">DOI: </w:t>
      </w:r>
      <w:hyperlink r:id="rId148">
        <w:r>
          <w:rPr>
            <w:color w:val="1155CC"/>
            <w:u w:val="single"/>
          </w:rPr>
          <w:t>10.1038/s41578-026-00946-y</w:t>
        </w:r>
      </w:hyperlink>
    </w:p>
    <w:p>
      <w:pPr>
        <w:spacing w:before="0" w:after="120"/>
      </w:pPr>
      <w:r>
        <w:rPr>
          <w:b/>
        </w:rPr>
        <w:t xml:space="preserve">Notes: </w:t>
      </w:r>
      <w:r>
        <w:t>abstract_source=nature_html</w:t>
      </w:r>
    </w:p>
    <w:p>
      <w:pPr>
        <w:spacing w:before="0" w:after="80" w:lineRule="auto" w:line="276"/>
      </w:pPr>
      <w:r>
        <w:rPr>
          <w:b/>
        </w:rPr>
        <w:t xml:space="preserve">摘要（ZH）: </w:t>
      </w:r>
      <w:r>
        <w:t>具有高能量存储密度的电介质对于设备小型化和系统集成至关重要。随着材料制造技术的进步，介电材料的击穿强度越来越接近其理论极限，应更加重视极化增强，以进一步提高储能性能。</w:t>
      </w:r>
    </w:p>
    <w:p>
      <w:pPr>
        <w:spacing w:before="0" w:after="200" w:lineRule="auto" w:line="276"/>
      </w:pPr>
      <w:r>
        <w:rPr>
          <w:b/>
        </w:rPr>
        <w:t xml:space="preserve">Abstract (EN): </w:t>
      </w:r>
      <w:r>
        <w:t>Dielectrics with high energy storage density are essential for device miniaturization and system integration. As advances in materials fabrication technologies push the breakdown strength of dielectric materials ever closer to their theoretical limits, greater emphasis should be placed on polarization enhancement for further improving the energy storage performance.</w:t>
      </w:r>
    </w:p>
    <w:p>
      <w:pPr>
        <w:spacing w:before="120" w:after="120"/>
      </w:pPr>
      <w:r>
        <w:rPr>
          <w:sz w:val="18"/>
        </w:rPr>
        <w:t>——————————————————————————————————————————————————————————————————————</w:t>
      </w:r>
    </w:p>
    <w:p>
      <w:pPr>
        <w:spacing w:before="160" w:after="40" w:line="240" w:lineRule="auto"/>
      </w:pPr>
      <w:r>
        <w:rPr>
          <w:b/>
        </w:rPr>
        <w:t xml:space="preserve">[6] </w:t>
      </w:r>
      <w:hyperlink r:id="rId149">
        <w:r>
          <w:rPr>
            <w:color w:val="1155CC"/>
            <w:u w:val="single"/>
          </w:rPr>
          <w:t>通过极性态重构调节铁电性能的几何途径</w:t>
        </w:r>
      </w:hyperlink>
    </w:p>
    <w:p>
      <w:pPr>
        <w:spacing w:before="0" w:after="80"/>
      </w:pPr>
      <w:r>
        <w:rPr>
          <w:i/>
          <w:sz w:val="20"/>
        </w:rPr>
        <w:t>EN: Geometric Pathway for Tuning Ferroelectric Properties via Polar State Reconfiguration</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150">
        <w:r>
          <w:rPr>
            <w:color w:val="1155CC"/>
            <w:u w:val="single"/>
          </w:rPr>
          <w:t>10.1103/8m3c-4dkr</w:t>
        </w:r>
      </w:hyperlink>
    </w:p>
    <w:p>
      <w:pPr>
        <w:spacing w:before="0" w:after="120"/>
      </w:pPr>
      <w:r>
        <w:rPr>
          <w:b/>
        </w:rPr>
        <w:t xml:space="preserve">Notes: </w:t>
      </w:r>
      <w:r>
        <w:t>abstract_source=rss_description</w:t>
      </w:r>
    </w:p>
    <w:p>
      <w:pPr>
        <w:spacing w:before="0" w:after="80" w:lineRule="auto" w:line="276"/>
      </w:pPr>
      <w:r>
        <w:rPr>
          <w:b/>
        </w:rPr>
        <w:t xml:space="preserve">摘要（ZH）: </w:t>
      </w:r>
      <w:r>
        <w:t>作者：Hao-Cheng Thong、Bo Wu、Fan Hu、Pedro B. Groszewicz、Chen-Bo-Wen Li、Jun Chen、Mao-Hua Zhang、Dragan Damjanovic、Ben Xu 和 Ke Wang 我们报告了通过锂取代 ${\mathrm{NaNbO}}_{3}$ 中共存极性状态之间的热驱动重新配置来调节铁电性能的几何途径。使用第一原理密度泛函理论计算和 $^{7}\mathrm{Li}$ 固态 nuc…[Phys.莱特牧师。 137, 036801] 2026 年 7 月 14 日星期二发布</w:t>
      </w:r>
    </w:p>
    <w:p>
      <w:pPr>
        <w:spacing w:before="0" w:after="200" w:lineRule="auto" w:line="276"/>
      </w:pPr>
      <w:r>
        <w:rPr>
          <w:b/>
        </w:rPr>
        <w:t xml:space="preserve">Abstract (EN): </w:t>
      </w:r>
      <w:r>
        <w:t>Author(s): Hao-Cheng Thong, Bo Wu, Fan Hu, Pedro B. Groszewicz, Chen-Bo-Wen Li, Jun Chen, Mao-Hua Zhang, Dragan Damjanovic, Ben Xu, and Ke WangWe report the discovery of a geometric pathway for tuning ferroelectric properties through a thermally driven reconfiguration between coexisting polar states in Li-substituted ${\mathrm{NaNbO}}_{3}$. Using a first-principles density functional theory calculation and $^{7}\mathrm{Li}$ solid-state nuc…[Phys. Rev. Lett. 137, 036801] Published Tue Jul 14, 2026</w:t>
      </w:r>
    </w:p>
    <w:p>
      <w:pPr>
        <w:spacing w:before="120" w:after="120"/>
      </w:pPr>
      <w:r>
        <w:rPr>
          <w:sz w:val="18"/>
        </w:rPr>
        <w:t>——————————————————————————————————————————————————————————————————————</w:t>
      </w:r>
    </w:p>
    <w:p>
      <w:pPr>
        <w:spacing w:before="160" w:after="40" w:line="240" w:lineRule="auto"/>
      </w:pPr>
      <w:r>
        <w:rPr>
          <w:b/>
        </w:rPr>
        <w:t xml:space="preserve">[7] </w:t>
      </w:r>
      <w:hyperlink r:id="rId151">
        <w:r>
          <w:rPr>
            <w:color w:val="1155CC"/>
            <w:u w:val="single"/>
          </w:rPr>
          <w:t>用于可逆质子陶瓷电池的氧电极中通过铟诱导的钙钛矿-尖晶石异质界面的自旋配位混合价传输</w:t>
        </w:r>
      </w:hyperlink>
    </w:p>
    <w:p>
      <w:pPr>
        <w:spacing w:before="0" w:after="80"/>
      </w:pPr>
      <w:r>
        <w:rPr>
          <w:i/>
          <w:sz w:val="20"/>
        </w:rPr>
        <w:t>EN: Spin-coordinated mixed-valence transport via indium-induced perovskite-spinel heterointerface in oxygen electrode for reversible protonic ceramic cells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在质子陶瓷电化学电池中实现高效的氧电催化需要的不仅仅是加速表面反应，这需要整个界面连续体上电子和自旋态的精确协调。基于空位工程或催化剂渗透的传统策略增加了活性位点，但它们并没有本质上将体电荷传输与界面氧化还原动力学耦合起来。在这里，我们引入自旋配位异质界面工程作为一般设计原理，以 Pr0.5Ba0.5Co0.7Fe0.3O3-δ (PBCF) 上的 In 诱导自组装 Co3O4 尖晶石层为例，形成 PBCFIn05。铟的掺入会触发选择性 Co 迁移和界面尖晶石重建，进而驱动整体自旋价态重新配置，从主要是高自旋 Co3⁺ 到混合自旋 Co3⁺/Co4⁺。这种演化在Co3O4尖晶石内的钙钛矿块体和小极化子跳跃中建立了互补的双交换传导，创建了连续的混合价态路径，协同降低了氧还原和氧析出的活化势垒。这些结果表明，自组装自旋活性异质界面为克服陶瓷电催化中固有的自旋选择瓶颈提供了强有力的途径，并为先进的固态能量转换系统提供了广泛适用的平台。</w:t>
      </w:r>
    </w:p>
    <w:p>
      <w:pPr>
        <w:spacing w:before="0" w:after="200" w:lineRule="auto" w:line="276"/>
      </w:pPr>
      <w:r>
        <w:rPr>
          <w:b/>
        </w:rPr>
        <w:t xml:space="preserve">Abstract (EN): </w:t>
      </w:r>
      <w:r>
        <w:t>Achieving efficient oxygen electrocatalysis in protonic ceramic electrochemical cells requires more than accelerating surface reactions, which demands precise coordination of electronic and spin states across the bulk-interface continuum. Conventional strategies based on vacancy engineering or catalyst infiltration increase active sites, yet they do not intrinsically couple bulk charge transport with interfacial redox kinetics. Here, we introduce spin-coordinated heterointerface engineering as a general design principle, exemplified by In-induced self-assembly of a Co3O4 spinel layer on Pr0.5Ba0.5Co0.7Fe0.3O3-δ (PBCF), forming PBCFIn05. Indium incorporation triggers selective Co migration and interfacial spinel reconstruction, which in turn drives a bulk spin-valence reconfiguration from predominantly high-spin Co3⁺ to mixed-spin Co3⁺/Co4⁺. This evolution establishes complementary double-exchange conduction in the perovskite bulk and small-polaron hopping within the Co3O4 spinel, creating a continuous mixed-valence pathway that synergistically lowers the activation barriers for both oxygen reduction and oxygen evolution. These results demonstrate that self-assembled spin-active heterointerfaces provide a powerful route to overcome intrinsic spin-selection bottlenecks in ceramic electrocatalysis and offer a broadly applicable platform for advanced solid-state energy conversion systems.</w:t>
      </w:r>
    </w:p>
    <w:p>
      <w:pPr>
        <w:spacing w:before="120" w:after="120"/>
      </w:pPr>
      <w:r>
        <w:rPr>
          <w:sz w:val="18"/>
        </w:rPr>
        <w:t>——————————————————————————————————————————————————————————————————————</w:t>
      </w:r>
    </w:p>
    <w:p>
      <w:pPr>
        <w:spacing w:before="160" w:after="40" w:line="240" w:lineRule="auto"/>
      </w:pPr>
      <w:r>
        <w:rPr>
          <w:b/>
        </w:rPr>
        <w:t xml:space="preserve">[8] </w:t>
      </w:r>
      <w:hyperlink r:id="rId152">
        <w:r>
          <w:rPr>
            <w:color w:val="1155CC"/>
            <w:u w:val="single"/>
          </w:rPr>
          <w:t>全钒液流电池分流管电解液再平衡的建模、实验验证和控制</w:t>
        </w:r>
      </w:hyperlink>
    </w:p>
    <w:p>
      <w:pPr>
        <w:spacing w:before="0" w:after="80"/>
      </w:pPr>
      <w:r>
        <w:rPr>
          <w:i/>
          <w:sz w:val="20"/>
        </w:rPr>
        <w:t>EN: Modelling, experimental validation and control of shunt pipe electrolyte rebalancing for vanadium flow batteries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53">
        <w:r>
          <w:rPr>
            <w:color w:val="1155CC"/>
            <w:u w:val="single"/>
          </w:rPr>
          <w:t>仿生全金属Pd11螺旋烯</w:t>
        </w:r>
      </w:hyperlink>
    </w:p>
    <w:p>
      <w:pPr>
        <w:spacing w:before="0" w:after="80"/>
      </w:pPr>
      <w:r>
        <w:rPr>
          <w:i/>
          <w:sz w:val="20"/>
        </w:rPr>
        <w:t>EN: Biomimetic all-metal Pd11 helicene</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54">
        <w:r>
          <w:rPr>
            <w:color w:val="1155CC"/>
            <w:u w:val="single"/>
          </w:rPr>
          <w:t>10.1126/sciadv.aef7488</w:t>
        </w:r>
      </w:hyperlink>
    </w:p>
    <w:p>
      <w:pPr>
        <w:spacing w:before="0" w:after="120"/>
      </w:pPr>
      <w:r>
        <w:rPr>
          <w:b/>
        </w:rPr>
        <w:t xml:space="preserve">Notes: </w:t>
      </w:r>
      <w:r>
        <w:t>abstract_source=crossref</w:t>
      </w:r>
    </w:p>
    <w:p>
      <w:pPr>
        <w:spacing w:before="0" w:after="80" w:lineRule="auto" w:line="276"/>
      </w:pPr>
      <w:r>
        <w:rPr>
          <w:b/>
        </w:rPr>
        <w:t xml:space="preserve">摘要（ZH）: </w:t>
      </w:r>
      <w:r>
        <w:t>自 20 世纪初被发现以来，螺旋烯已成为一类独特的多环芳香族化合物，具有刚性的螺旋形手性骨架和显着的光电特性。在过去的一个世纪里，这个家族已经扩展到包括多种异螺旋烯和功能衍生物。与此形成鲜明对比的是，由于难以同时控制金属配位几何形状、螺旋传播和构型稳定性，合理构建螺旋主链完全由金属元素组成的全金属螺旋烯仍然是一个艰巨的合成挑战。在此，我们报道了锑/硫醇盐保护的金属螺烯，Pd</w:t>
      </w:r>
      <w:r>
        <w:rPr>
          <w:vertAlign w:val="subscript"/>
        </w:rPr>
        <w:t>11</w:t>
      </w:r>
      <w:r>
        <w:t>(金锑)</w:t>
      </w:r>
      <w:r>
        <w:rPr>
          <w:vertAlign w:val="subscript"/>
        </w:rPr>
        <w:t>2</w:t>
      </w:r>
      <w:r>
        <w:t>（AdmS）</w:t>
      </w:r>
      <w:r>
        <w:rPr>
          <w:vertAlign w:val="subscript"/>
        </w:rPr>
        <w:t>10</w:t>
      </w:r>
      <w:r>
        <w:t>，表示为以锑 (Sb) 为中心的 [3]Pd-螺烯簇。钯</w:t>
      </w:r>
      <w:r>
        <w:rPr>
          <w:vertAlign w:val="subscript"/>
        </w:rPr>
        <w:t>11</w:t>
      </w:r>
      <w:r>
        <w:t>框架具有 Pd</w:t>
      </w:r>
      <w:r>
        <w:rPr>
          <w:vertAlign w:val="subscript"/>
        </w:rPr>
        <w:t>3</w:t>
      </w:r>
      <w:r>
        <w:t>与两个 μ 正交融合的三角形</w:t>
      </w:r>
      <w:r>
        <w:rPr>
          <w:vertAlign w:val="subscript"/>
        </w:rPr>
        <w:t>6</w:t>
      </w:r>
      <w:r>
        <w:t>-Sb–中心Pd</w:t>
      </w:r>
      <w:r>
        <w:rPr>
          <w:vertAlign w:val="subscript"/>
        </w:rPr>
        <w:t>6</w:t>
      </w:r>
      <w:r>
        <w:t>环，产生了前所未有的微张口、扇贝状的全金属螺旋烯结构。两个 7 中心 2 电子 (7c-2e) σ 键位于 Sb 中心的 Pd 上</w:t>
      </w:r>
      <w:r>
        <w:rPr>
          <w:vertAlign w:val="subscript"/>
        </w:rPr>
        <w:t>6</w:t>
      </w:r>
      <w:r>
        <w:t>环，稳定螺旋全金属骨架。这种金属螺旋烯可以通过熔融钯的完全打开来进行结构“展开”</w:t>
      </w:r>
      <w:r>
        <w:rPr>
          <w:vertAlign w:val="subscript"/>
        </w:rPr>
        <w:t>6</w:t>
      </w:r>
      <w:r>
        <w:t>戒指，提供</w:t>
      </w:r>
    </w:p>
    <w:p>
      <w:pPr>
        <w:spacing w:before="0" w:after="200" w:lineRule="auto" w:line="276"/>
      </w:pPr>
      <w:r>
        <w:rPr>
          <w:b/>
        </w:rPr>
        <w:t xml:space="preserve">Abstract (EN): </w:t>
      </w:r>
      <w:r>
        <w:t>Since their discovery in the early 20th century, helicenes have emerged as a distinctive class of polycyclic aromatic compounds with rigid, screw-shaped chiral frameworks and substantial photoelectrical properties. Over the past century, this family has expanded to include diverse heterohelicenes and functional derivatives. In sharp contrast, the rational construction of all-metal helicenes, in which the helical backbone is entirely composed of metal elements, remains a formidable synthetic challenge because of the difficulty of simultaneously controlling metal coordination geometry, helical propagation, and configurational stability. Herein, we report a stibine/thiolate–protected metallic helicene, Pd</w:t>
      </w:r>
      <w:r>
        <w:rPr>
          <w:vertAlign w:val="subscript"/>
        </w:rPr>
        <w:t>11</w:t>
      </w:r>
      <w:r>
        <w:t>(PhSb)</w:t>
      </w:r>
      <w:r>
        <w:rPr>
          <w:vertAlign w:val="subscript"/>
        </w:rPr>
        <w:t>2</w:t>
      </w:r>
      <w:r>
        <w:t>(AdmS)</w:t>
      </w:r>
      <w:r>
        <w:rPr>
          <w:vertAlign w:val="subscript"/>
        </w:rPr>
        <w:t>10</w:t>
      </w:r>
      <w:r>
        <w:t>, denoted as an antimony (Sb)–centered [3]Pd-helicene cluster. The Pd</w:t>
      </w:r>
      <w:r>
        <w:rPr>
          <w:vertAlign w:val="subscript"/>
        </w:rPr>
        <w:t>11</w:t>
      </w:r>
      <w:r>
        <w:t>framework features a Pd</w:t>
      </w:r>
      <w:r>
        <w:rPr>
          <w:vertAlign w:val="subscript"/>
        </w:rPr>
        <w:t>3</w:t>
      </w:r>
      <w:r>
        <w:t>triangle ortho-fused with two μ</w:t>
      </w:r>
      <w:r>
        <w:rPr>
          <w:vertAlign w:val="subscript"/>
        </w:rPr>
        <w:t>6</w:t>
      </w:r>
      <w:r>
        <w:t>-Sb–centered Pd</w:t>
      </w:r>
      <w:r>
        <w:rPr>
          <w:vertAlign w:val="subscript"/>
        </w:rPr>
        <w:t>6</w:t>
      </w:r>
      <w:r>
        <w:t>rings, giving rise to an unprecedented slightly open-mouthed, scallop-like all-metal helicene architecture. Two 7-center-2-electron (7c-2e) σ bonds are localized on the Sb-centered Pd</w:t>
      </w:r>
      <w:r>
        <w:rPr>
          <w:vertAlign w:val="subscript"/>
        </w:rPr>
        <w:t>6</w:t>
      </w:r>
      <w:r>
        <w:t>rings, stabilizing the helical all-metal skeleton. This metallic helicene can undergo structural “unfolding” through complete opening of the fused Pd</w:t>
      </w:r>
      <w:r>
        <w:rPr>
          <w:vertAlign w:val="subscript"/>
        </w:rPr>
        <w:t>6</w:t>
      </w:r>
      <w:r>
        <w:t>rings, affording a chiral homolog, Pd</w:t>
      </w:r>
      <w:r>
        <w:rPr>
          <w:vertAlign w:val="subscript"/>
        </w:rPr>
        <w:t>11</w:t>
      </w:r>
      <w:r>
        <w:t>SCl(PhSb)</w:t>
      </w:r>
      <w:r>
        <w:rPr>
          <w:vertAlign w:val="subscript"/>
        </w:rPr>
        <w:t>2</w:t>
      </w:r>
      <w:r>
        <w:t>(AdmS)</w:t>
      </w:r>
      <w:r>
        <w:rPr>
          <w:vertAlign w:val="subscript"/>
        </w:rPr>
        <w:t>11</w:t>
      </w:r>
      <w:r>
        <w:t>. Notably, the Sb-centered [3]Pd-helicene cluster exhibits an exceptional electrocatalytic activity for two-electron oxygen reduction reaction, the reason for which was disclosed by operando infrared spectroscopy analysis and density functional theory calculations. This work represents an important advance in pursuit of all-metal helicene and opens avenues for their rational synthesis and functional exploitation.</w:t>
      </w:r>
    </w:p>
    <w:p>
      <w:pPr>
        <w:spacing w:before="120" w:after="120"/>
      </w:pPr>
      <w:r>
        <w:rPr>
          <w:sz w:val="18"/>
        </w:rPr>
        <w:t>——————————————————————————————————————————————————————————————————————</w:t>
      </w:r>
    </w:p>
    <w:p>
      <w:pPr>
        <w:spacing w:before="160" w:after="40" w:line="240" w:lineRule="auto"/>
      </w:pPr>
      <w:r>
        <w:rPr>
          <w:b/>
        </w:rPr>
        <w:t xml:space="preserve">[10] </w:t>
      </w:r>
      <w:hyperlink r:id="rId155">
        <w:r>
          <w:rPr>
            <w:color w:val="1155CC"/>
            <w:u w:val="single"/>
          </w:rPr>
          <w:t>可逆非质子 Li-CO2 电池异质阴极催化剂的电子结构调节：机制和策略</w:t>
        </w:r>
      </w:hyperlink>
    </w:p>
    <w:p>
      <w:pPr>
        <w:spacing w:before="0" w:after="80"/>
      </w:pPr>
      <w:r>
        <w:rPr>
          <w:i/>
          <w:sz w:val="20"/>
        </w:rPr>
        <w:t>EN: Electronic Structure Modulation of Heterogeneous Cathode Catalysts for Reversible Aprotic Li‐CO2 Batteries: Mechanisms and Strategies</w:t>
      </w:r>
    </w:p>
    <w:p>
      <w:pPr>
        <w:spacing w:before="0" w:after="120"/>
      </w:pPr>
      <w:r>
        <w:rPr>
          <w:b/>
        </w:rPr>
        <w:t xml:space="preserve">Source: </w:t>
      </w:r>
      <w:r>
        <w:t>Wiley: Advanced Materials: Table of Contents</w:t>
      </w:r>
      <w:r>
        <w:t xml:space="preserve">    </w:t>
      </w:r>
      <w:r>
        <w:rPr>
          <w:b/>
        </w:rPr>
        <w:t xml:space="preserve">Pub date: </w:t>
      </w:r>
      <w:r>
        <w:t>2026-07-15 07:00:26+00:00</w:t>
      </w:r>
      <w:r>
        <w:t xml:space="preserve">    </w:t>
      </w:r>
      <w:r>
        <w:rPr>
          <w:b/>
        </w:rPr>
        <w:t xml:space="preserve">DOI: </w:t>
      </w:r>
      <w:hyperlink r:id="rId156">
        <w:r>
          <w:rPr>
            <w:color w:val="1155CC"/>
            <w:u w:val="single"/>
          </w:rPr>
          <w:t>10.1002/adma.74065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锂二氧化碳电池（Li-CO</w:t>
      </w:r>
      <w:r>
        <w:rPr>
          <w:vertAlign w:val="subscript"/>
        </w:rPr>
        <w:t>2</w:t>
      </w:r>
      <w:r>
        <w:t>），具有高放电电压（∼2.8 V）和高理论能量密度（1876 Wh kg</w:t>
      </w:r>
      <w:r>
        <w:t xml:space="preserve"> </w:t>
      </w:r>
      <w:r>
        <w:t>-</w:t>
      </w:r>
      <w:r>
        <w:rPr>
          <w:vertAlign w:val="subscript"/>
        </w:rPr>
        <w:t>1</w:t>
      </w:r>
      <w:r>
        <w:t>），因其储能和二氧化碳的双重能力而受到广泛关注</w:t>
      </w:r>
      <w:r>
        <w:rPr>
          <w:vertAlign w:val="subscript"/>
        </w:rPr>
        <w:t>2</w:t>
      </w:r>
      <w:r>
        <w:t>固定。然而，跨多相界面的复杂反应途径和缓慢的放电-充电动力学导致可逆性差，严重阻碍了它们的实际应用。解决这些挑战需要开发高效的阴极催化剂，其活性从根本上取决于其电子结构。在这篇综述中，我们系统地阐明了Li-CO阴极催化剂的结构-性能-机制关系</w:t>
      </w:r>
      <w:r>
        <w:rPr>
          <w:vertAlign w:val="subscript"/>
        </w:rPr>
        <w:t>2</w:t>
      </w:r>
      <w:r>
        <w:t>首先检查电极-电解质界面的潜在反应机制。然后，我们详细分析了非均相催化剂的电子结构如何影响放电-充电过程。特别强调特定的电子结构调制方法或其组合，通过针对活性位点、表面形态和界面结构的策略，作为构建高性能催化剂的关键途径。随后，我们还讨论了这些调制效应的原子级起源。最后，我们提出了几个未来的研究方向</w:t>
      </w:r>
    </w:p>
    <w:p>
      <w:pPr>
        <w:spacing w:before="0" w:after="200" w:lineRule="auto" w:line="276"/>
      </w:pPr>
      <w:r>
        <w:rPr>
          <w:b/>
        </w:rPr>
        <w:t xml:space="preserve">Abstract (EN): </w:t>
      </w:r>
      <w:r>
        <w:t>Lithium‐carbon dioxide batteries (Li‐CO</w:t>
      </w:r>
      <w:r>
        <w:rPr>
          <w:vertAlign w:val="subscript"/>
        </w:rPr>
        <w:t>2</w:t>
      </w:r>
      <w:r>
        <w:t>), featuring a high discharge voltage (∼2.8 V) and a high theoretical energy density (1876 Wh kg</w:t>
      </w:r>
      <w:r>
        <w:t xml:space="preserve"> </w:t>
      </w:r>
      <w:r>
        <w:t>−</w:t>
      </w:r>
      <w:r>
        <w:rPr>
          <w:vertAlign w:val="subscript"/>
        </w:rPr>
        <w:t>1</w:t>
      </w:r>
      <w:r>
        <w:t>), have garnered significant attention for their dual capability in energy storage and CO</w:t>
      </w:r>
      <w:r>
        <w:rPr>
          <w:vertAlign w:val="subscript"/>
        </w:rPr>
        <w:t>2</w:t>
      </w:r>
      <w:r>
        <w:t>fixation. However, the complex reaction pathways across multiphase interfaces and sluggish discharge‐charge kinetics result in poor reversibility, which severely hinders their practical application. Addressing these challenges necessitates the development of efficient cathode catalysts, whose activity is fundamentally governed by their electronic structure. In this review, we systematically elucidate the structure‐performance‐mechanism relationships of cathode catalysts in Li‐CO</w:t>
      </w:r>
      <w:r>
        <w:rPr>
          <w:vertAlign w:val="subscript"/>
        </w:rPr>
        <w:t>2</w:t>
      </w:r>
      <w:r>
        <w:t>batteries by first examining the underlying reaction mechanisms at the electrode‐electrolyte interface. We then provide a detailed analysis of how the electronic structures of heterogeneous catalysts influence discharge‐charge processes. Particular emphasis is placed on specific electronic structure modulation methods or their combinations, through strategies targeting active sites, surface morphology, and interface structure, as a pivotal route for constructing high‐performance catalysts. Subsequently, we also discuss the underlying atomic‐level origins of these modulation effects. Finally, we propose several future research directions aimed at advancing the fundamental understanding of Li‐CO</w:t>
      </w:r>
      <w:r>
        <w:rPr>
          <w:vertAlign w:val="subscript"/>
        </w:rPr>
        <w:t>2</w:t>
      </w:r>
      <w:r>
        <w:t>electrochemistry, optimizing electrocatalytic performance, and accelerating the practical implementation of Li‐CO</w:t>
      </w:r>
      <w:r>
        <w:rPr>
          <w:vertAlign w:val="subscript"/>
        </w:rPr>
        <w:t>2</w:t>
      </w:r>
      <w:r>
        <w:t>batteries.</w:t>
      </w:r>
    </w:p>
    <w:p>
      <w:pPr>
        <w:spacing w:before="120" w:after="120"/>
      </w:pPr>
      <w:r>
        <w:rPr>
          <w:sz w:val="18"/>
        </w:rPr>
        <w:t>——————————————————————————————————————————————————————————————————————</w:t>
      </w:r>
    </w:p>
    <w:p>
      <w:pPr>
        <w:spacing w:before="160" w:after="40" w:line="240" w:lineRule="auto"/>
      </w:pPr>
      <w:r>
        <w:rPr>
          <w:b/>
        </w:rPr>
        <w:t xml:space="preserve">[11] </w:t>
      </w:r>
      <w:hyperlink r:id="rId157">
        <w:r>
          <w:rPr>
            <w:color w:val="1155CC"/>
            <w:u w:val="single"/>
          </w:rPr>
          <w:t>包含可接触催化位点的稳健共价有机框架可实现快速充电和长循环铝硫电池</w:t>
        </w:r>
      </w:hyperlink>
    </w:p>
    <w:p>
      <w:pPr>
        <w:spacing w:before="0" w:after="80"/>
      </w:pPr>
      <w:r>
        <w:rPr>
          <w:i/>
          <w:sz w:val="20"/>
        </w:rPr>
        <w:t>EN: Robust Covalent Organic Frameworks Comprising Accessible Catalytic Sites Enable Fast‐Charging and Long‐Cycling Aluminum–Sulfur Batteries</w:t>
      </w:r>
    </w:p>
    <w:p>
      <w:pPr>
        <w:spacing w:before="0" w:after="120"/>
      </w:pPr>
      <w:r>
        <w:rPr>
          <w:b/>
        </w:rPr>
        <w:t xml:space="preserve">Source: </w:t>
      </w:r>
      <w:r>
        <w:t>Wiley: Advanced Materials: Table of Contents</w:t>
      </w:r>
      <w:r>
        <w:t xml:space="preserve">    </w:t>
      </w:r>
      <w:r>
        <w:rPr>
          <w:b/>
        </w:rPr>
        <w:t xml:space="preserve">Pub date: </w:t>
      </w:r>
      <w:r>
        <w:t>2026-07-15 08:41:03+00:00</w:t>
      </w:r>
      <w:r>
        <w:t xml:space="preserve">    </w:t>
      </w:r>
      <w:r>
        <w:rPr>
          <w:b/>
        </w:rPr>
        <w:t xml:space="preserve">DOI: </w:t>
      </w:r>
      <w:hyperlink r:id="rId158">
        <w:r>
          <w:rPr>
            <w:color w:val="1155CC"/>
            <w:u w:val="single"/>
          </w:rPr>
          <w:t>10.1002/adma.74063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高理论能量密度和成本效益，可充电铝硫（Al-S）电池被认为是大规模储能的有前途的选择。然而，硫阴极在循环过程中存在缓慢的反应动力学和严重的穿梭效应。在这里，我们报告了强大的二维共价有机框架（COF）作为硫主体，具有可接近的催化氮位点和有限的微孔通道。通过控制不同COFs不同长度的有机配体，实现不同微孔尺寸的精细调控，最终制备出两种COFs。两种COF之间的灵敏比较表明，COF中较小的微孔通道由于更强的毛细管力而对多硫化物具有更高的限制效应，有利于Al-S电池更高的库仑效率和更好的循环稳定性。同时，实验表征和理论计算表明，COF中可接近的催化氮位点促进了循环过程中硫阴极的多步转化动力学。因此，小尺寸COF约束硫正极表现出1120 mAh g的可逆容量</w:t>
      </w:r>
      <w:r>
        <w:t xml:space="preserve"> </w:t>
      </w:r>
      <w:r>
        <w:t>−1</w:t>
      </w:r>
      <w:r>
        <w:t xml:space="preserve"> </w:t>
      </w:r>
      <w:r>
        <w:t>0.2C 电压下，100 次循环后容量保持率为 93.5%，支持高容量和出色的循环稳定性。这项工作为合理设计 Al-S 电池中新兴 COF 材料提供了一条新途径。</w:t>
      </w:r>
    </w:p>
    <w:p>
      <w:pPr>
        <w:spacing w:before="0" w:after="200" w:lineRule="auto" w:line="276"/>
      </w:pPr>
      <w:r>
        <w:rPr>
          <w:b/>
        </w:rPr>
        <w:t xml:space="preserve">Abstract (EN): </w:t>
      </w:r>
      <w:r>
        <w:t>Rechargeable aluminum–sulfur (Al–S) batteries are recognized as a promising option for large‐scale energy storage due to high theoretical energy density and cost‐effectiveness. However, the sulfur cathodes suffer from sluggish reaction kinetics and severe shuttle effect during cycling. Here we report robust two‐dimensional covalent organic frameworks (COFs) as sulfur hosts that features accessible catalytic nitrogen sites and confined microporous channels. The fine regulation of different microporous sizes was achieved by controlling different‐length organic ligands of various COFs, finally preparing two kinds of COFs. The sensitive comparation between both COFs demonstrates that smaller microporous channels in COFs possess higher confinement effect for polysulfides due to the stronger capillary forces, facilitating higher Coulombic efficiency and better cycling stability in Al–S batteries. Meanwhile, experimental characterizations and theoretical calculations reveal that accessible catalytic nitrogen sites in COFs promote the multistep conversion kinetics of the sulfur cathode during cycling. Consequently, the small‐sized COF confined sulfur cathode exhibits a reversible capacity of 1120 mAh g</w:t>
      </w:r>
      <w:r>
        <w:t xml:space="preserve"> </w:t>
      </w:r>
      <w:r>
        <w:t>−1</w:t>
      </w:r>
      <w:r>
        <w:t xml:space="preserve"> </w:t>
      </w:r>
      <w:r>
        <w:t>at 0.2C and a 93.5% capacity retention after 100 cycles, supporting high capacity and exceptional cycling stability. This work provides a new avenue on rational design of emerging COF materials in Al–S batteries.</w:t>
      </w:r>
    </w:p>
    <w:p>
      <w:pPr>
        <w:spacing w:before="120" w:after="120"/>
      </w:pPr>
      <w:r>
        <w:rPr>
          <w:sz w:val="18"/>
        </w:rPr>
        <w:t>——————————————————————————————————————————————————————————————————————</w:t>
      </w:r>
    </w:p>
    <w:p>
      <w:pPr>
        <w:spacing w:before="160" w:after="40" w:line="240" w:lineRule="auto"/>
      </w:pPr>
      <w:r>
        <w:rPr>
          <w:b/>
        </w:rPr>
        <w:t xml:space="preserve">[12] </w:t>
      </w:r>
      <w:hyperlink r:id="rId159">
        <w:r>
          <w:rPr>
            <w:color w:val="1155CC"/>
            <w:u w:val="single"/>
          </w:rPr>
          <w:t>超高温介电聚合物的偶极限制电荷传输范式</w:t>
        </w:r>
      </w:hyperlink>
    </w:p>
    <w:p>
      <w:pPr>
        <w:spacing w:before="0" w:after="80"/>
      </w:pPr>
      <w:r>
        <w:rPr>
          <w:i/>
          <w:sz w:val="20"/>
        </w:rPr>
        <w:t>EN: A Dipole‐Confined Charge Transport Paradigm for Ultrahigh‐Temperature Dielectric Polymers</w:t>
      </w:r>
    </w:p>
    <w:p>
      <w:pPr>
        <w:spacing w:before="0" w:after="120"/>
      </w:pPr>
      <w:r>
        <w:rPr>
          <w:b/>
        </w:rPr>
        <w:t xml:space="preserve">Source: </w:t>
      </w:r>
      <w:r>
        <w:t>Wiley: Advanced Materials: Table of Contents</w:t>
      </w:r>
      <w:r>
        <w:t xml:space="preserve">    </w:t>
      </w:r>
      <w:r>
        <w:rPr>
          <w:b/>
        </w:rPr>
        <w:t xml:space="preserve">Pub date: </w:t>
      </w:r>
      <w:r>
        <w:t>2026-07-15 10:34:04+00:00</w:t>
      </w:r>
      <w:r>
        <w:t xml:space="preserve">    </w:t>
      </w:r>
      <w:r>
        <w:rPr>
          <w:b/>
        </w:rPr>
        <w:t xml:space="preserve">DOI: </w:t>
      </w:r>
      <w:hyperlink r:id="rId160">
        <w:r>
          <w:rPr>
            <w:color w:val="1155CC"/>
            <w:u w:val="single"/>
          </w:rPr>
          <w:t>10.1002/adma.74073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材料科学中普遍存在的挑战是击穿强度之间不相容的权衡（</w:t>
      </w:r>
      <w:r>
        <w:t xml:space="preserve"> </w:t>
      </w:r>
      <w:r>
        <w:t>乙</w:t>
      </w:r>
      <w:r>
        <w:t xml:space="preserve"> </w:t>
      </w:r>
      <w:r>
        <w:t>乙</w:t>
      </w:r>
      <w:r>
        <w:t xml:space="preserve"> </w:t>
      </w:r>
      <w:r>
        <w:t>）、热稳定性（</w:t>
      </w:r>
      <w:r>
        <w:t xml:space="preserve"> </w:t>
      </w:r>
      <w:r>
        <w:t>时间</w:t>
      </w:r>
      <w:r>
        <w:t xml:space="preserve"> </w:t>
      </w:r>
      <w:r>
        <w:t>克</w:t>
      </w:r>
      <w:r>
        <w:t xml:space="preserve"> </w:t>
      </w:r>
      <w:r>
        <w:t>）和介电常数（</w:t>
      </w:r>
      <w:r>
        <w:t xml:space="preserve"> </w:t>
      </w:r>
      <w:r>
        <w:t>ε</w:t>
      </w:r>
      <w:r>
        <w:t xml:space="preserve"> </w:t>
      </w:r>
      <w:r>
        <w:t>r</w:t>
      </w:r>
      <w:r>
        <w:t xml:space="preserve"> </w:t>
      </w:r>
      <w:r>
        <w:t>），限制了用于极端环境薄膜电容器的聚合物电介质的发展。在这里，这种三难困境通过偶极调节策略得到克服，即使用柔性亚甲基连接体将极性甲基磺酰基限制在刚性半芳香聚酰亚胺框架内。磺酰亚甲基苯的这种偶极限制域结构将偶极响应与电荷传输解耦：柔性连接体实现极化，而刚性的半芳香框架则定位电荷并抑制传导。它产生了稳定的偶极子网络，产生了具有宽带隙 (4.38 eV) 和创纪录的材料 (STPCB-PI)</w:t>
      </w:r>
      <w:r>
        <w:t xml:space="preserve"> </w:t>
      </w:r>
      <w:r>
        <w:t>时间</w:t>
      </w:r>
      <w:r>
        <w:t xml:space="preserve"> </w:t>
      </w:r>
      <w:r>
        <w:t>克</w:t>
      </w:r>
      <w:r>
        <w:t xml:space="preserve"> </w:t>
      </w:r>
      <w:r>
        <w:t>（&gt;400°C）。它达到了很高的</w:t>
      </w:r>
      <w:r>
        <w:t xml:space="preserve"> </w:t>
      </w:r>
      <w:r>
        <w:t>ε</w:t>
      </w:r>
      <w:r>
        <w:t xml:space="preserve"> </w:t>
      </w:r>
      <w:r>
        <w:t>r</w:t>
      </w:r>
      <w:r>
        <w:t xml:space="preserve"> </w:t>
      </w:r>
      <w:r>
        <w:t>5.8、模量 6.7 GPa 和出色的能量存储，可提供 12.00 J cm</w:t>
      </w:r>
      <w:r>
        <w:t xml:space="preserve"> </w:t>
      </w:r>
      <w:r>
        <w:t>−3</w:t>
      </w:r>
      <w:r>
        <w:t xml:space="preserve"> </w:t>
      </w:r>
      <w:r>
        <w:t>25°C、9.98 J cm 时效率为 97%</w:t>
      </w:r>
      <w:r>
        <w:t xml:space="preserve"> </w:t>
      </w:r>
      <w:r>
        <w:t>−3</w:t>
      </w:r>
      <w:r>
        <w:t xml:space="preserve"> </w:t>
      </w:r>
      <w:r>
        <w:t>150°C 时效率为 94%，保留 8.62 J cm</w:t>
      </w:r>
      <w:r>
        <w:t xml:space="preserve"> </w:t>
      </w:r>
      <w:r>
        <w:t>−3</w:t>
      </w:r>
      <w:r>
        <w:t xml:space="preserve"> </w:t>
      </w:r>
      <w:r>
        <w:t>在 200°C 时效率为 90%，比最先进的商用聚醚酰亚胺提高了 293%。</w:t>
      </w:r>
    </w:p>
    <w:p>
      <w:pPr>
        <w:spacing w:before="0" w:after="200" w:lineRule="auto" w:line="276"/>
      </w:pPr>
      <w:r>
        <w:rPr>
          <w:b/>
        </w:rPr>
        <w:t xml:space="preserve">Abstract (EN): </w:t>
      </w:r>
      <w:r>
        <w:t>A pervasive challenge in materials science, the incompatible trade‐off among breakdown strength (</w:t>
      </w:r>
      <w:r>
        <w:t xml:space="preserve"> </w:t>
      </w:r>
      <w:r>
        <w:t>E</w:t>
      </w:r>
      <w:r>
        <w:t xml:space="preserve"> </w:t>
      </w:r>
      <w:r>
        <w:t>b</w:t>
      </w:r>
      <w:r>
        <w:t xml:space="preserve"> </w:t>
      </w:r>
      <w:r>
        <w:t>), thermal stability (</w:t>
      </w:r>
      <w:r>
        <w:t xml:space="preserve"> </w:t>
      </w:r>
      <w:r>
        <w:t>T</w:t>
      </w:r>
      <w:r>
        <w:t xml:space="preserve"> </w:t>
      </w:r>
      <w:r>
        <w:t>g</w:t>
      </w:r>
      <w:r>
        <w:t xml:space="preserve"> </w:t>
      </w:r>
      <w:r>
        <w:t>), and dielectric constant (</w:t>
      </w:r>
      <w:r>
        <w:t xml:space="preserve"> </w:t>
      </w:r>
      <w:r>
        <w:t>ε</w:t>
      </w:r>
      <w:r>
        <w:t xml:space="preserve"> </w:t>
      </w:r>
      <w:r>
        <w:t>r</w:t>
      </w:r>
      <w:r>
        <w:t xml:space="preserve"> </w:t>
      </w:r>
      <w:r>
        <w:t>), has limited the development of polymer dielectrics for extreme‐environment film capacitors. Here, this trilemma is overcome via a dipole‐regulation strategy, confining polar methyl‐sulfonyl groups within a rigid semi‐aromatic polyimide framework using flexible methylene linkers. This dipole confinement domain structure of sulfonyl‐methylene‐benzene decouples dipolar response from charge transport: the flexible linkers enable polarization, while the rigid semi‐aromatic framework localizes charges and suppresses conduction. It results in a stable dipole network, yielding a material (STPCB‐PI) with a wide bandgap (4.38 eV) and a record</w:t>
      </w:r>
      <w:r>
        <w:t xml:space="preserve"> </w:t>
      </w:r>
      <w:r>
        <w:t>T</w:t>
      </w:r>
      <w:r>
        <w:t xml:space="preserve"> </w:t>
      </w:r>
      <w:r>
        <w:t>g</w:t>
      </w:r>
      <w:r>
        <w:t xml:space="preserve"> </w:t>
      </w:r>
      <w:r>
        <w:t>(&amp;gt;400°C). It achieves a high</w:t>
      </w:r>
      <w:r>
        <w:t xml:space="preserve"> </w:t>
      </w:r>
      <w:r>
        <w:t>ε</w:t>
      </w:r>
      <w:r>
        <w:t xml:space="preserve"> </w:t>
      </w:r>
      <w:r>
        <w:t>r</w:t>
      </w:r>
      <w:r>
        <w:t xml:space="preserve"> </w:t>
      </w:r>
      <w:r>
        <w:t>of 5.8, a modulus of 6.7 GPa, and exceptional energy storage, delivering 12.00 J cm</w:t>
      </w:r>
      <w:r>
        <w:t xml:space="preserve"> </w:t>
      </w:r>
      <w:r>
        <w:t>−3</w:t>
      </w:r>
      <w:r>
        <w:t xml:space="preserve"> </w:t>
      </w:r>
      <w:r>
        <w:t>with 97% efficiency at 25°C, 9.98 J cm</w:t>
      </w:r>
      <w:r>
        <w:t xml:space="preserve"> </w:t>
      </w:r>
      <w:r>
        <w:t>−3</w:t>
      </w:r>
      <w:r>
        <w:t xml:space="preserve"> </w:t>
      </w:r>
      <w:r>
        <w:t>with 94% efficiency at 150°C, and retaining 8.62 J cm</w:t>
      </w:r>
      <w:r>
        <w:t xml:space="preserve"> </w:t>
      </w:r>
      <w:r>
        <w:t>−3</w:t>
      </w:r>
      <w:r>
        <w:t xml:space="preserve"> </w:t>
      </w:r>
      <w:r>
        <w:t>with 90% efficiency at 200°C, 293% improvement over the state‐of‐the‐art commercial polyetherimide. Even at 250°C, it maintains 4.24 J cm</w:t>
      </w:r>
      <w:r>
        <w:t xml:space="preserve"> </w:t>
      </w:r>
      <w:r>
        <w:t>−3</w:t>
      </w:r>
      <w:r>
        <w:t xml:space="preserve"> </w:t>
      </w:r>
      <w:r>
        <w:t>with 93% efficiency. It also exhibits excellent self‐healing and cyclic endurance. This work sets a new performance benchmark and establishes a generalizable design paradigm that reconciles the intrinsic conflict between polarization and insulation in high‐temperature dielectric polymers.</w:t>
      </w:r>
    </w:p>
    <w:p>
      <w:pPr>
        <w:spacing w:before="120" w:after="120"/>
      </w:pPr>
      <w:r>
        <w:rPr>
          <w:sz w:val="18"/>
        </w:rPr>
        <w:t>——————————————————————————————————————————————————————————————————————</w:t>
      </w:r>
    </w:p>
    <w:p>
      <w:pPr>
        <w:spacing w:before="160" w:after="40" w:line="240" w:lineRule="auto"/>
      </w:pPr>
      <w:r>
        <w:rPr>
          <w:b/>
        </w:rPr>
        <w:t xml:space="preserve">[13] </w:t>
      </w:r>
      <w:hyperlink r:id="rId161">
        <w:r>
          <w:rPr>
            <w:color w:val="1155CC"/>
            <w:u w:val="single"/>
          </w:rPr>
          <w:t>三受体骨架平衡有机导体中的双极混合离子电子传输</w:t>
        </w:r>
      </w:hyperlink>
    </w:p>
    <w:p>
      <w:pPr>
        <w:spacing w:before="0" w:after="80"/>
      </w:pPr>
      <w:r>
        <w:rPr>
          <w:i/>
          <w:sz w:val="20"/>
        </w:rPr>
        <w:t>EN: Tri‐Acceptor Skeleton Balancing Ambipolar Mixed Ionic‐Electronic Transport in Organic Conductors</w:t>
      </w:r>
    </w:p>
    <w:p>
      <w:pPr>
        <w:spacing w:before="0" w:after="120"/>
      </w:pPr>
      <w:r>
        <w:rPr>
          <w:b/>
        </w:rPr>
        <w:t xml:space="preserve">Source: </w:t>
      </w:r>
      <w:r>
        <w:t>Wiley: Angewandte Chemie International Edition: Table of Contents</w:t>
      </w:r>
      <w:r>
        <w:t xml:space="preserve">    </w:t>
      </w:r>
      <w:r>
        <w:rPr>
          <w:b/>
        </w:rPr>
        <w:t xml:space="preserve">Pub date: </w:t>
      </w:r>
      <w:r>
        <w:t>2026-07-15 12:06:19+00:00</w:t>
      </w:r>
      <w:r>
        <w:t xml:space="preserve">    </w:t>
      </w:r>
      <w:r>
        <w:rPr>
          <w:b/>
        </w:rPr>
        <w:t xml:space="preserve">DOI: </w:t>
      </w:r>
      <w:hyperlink r:id="rId162">
        <w:r>
          <w:rPr>
            <w:color w:val="1155CC"/>
            <w:u w:val="single"/>
          </w:rPr>
          <w:t>10.1002/anie.5284622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有机混合离子电子导体（OMIEC）是用于低功耗、高跨导和生物相容性半导体器件的新兴材料。迄今为止，主要工作集中在 p 型 OMIEC 上，而双极和电子传导对应物仍然不发达。这种差异是由于能够维持电化学还原而不损害电子传输途径的坚固共轭骨架的可用性有限。在这项工作中，我们展示了一个包含二酮吡咯并吡咯-苯并噻二唑-二酮吡咯并吡咯（DBD）单元的三受体骨架，它同时促进电化学氧化和还原过程。此外，我们通过将低聚乙二醇 (OEG) 部分的密度减半来调节侧链化学。这种二维（2D）调谐策略实现了双极性离子和电子传输特性之间的最佳平衡，降低了阳离子的注入势垒。 hDBD-2FT 表现出高表观迁移率和体积电容乘积（</w:t>
      </w:r>
      <w:r>
        <w:t xml:space="preserve"> </w:t>
      </w:r>
      <w:r>
        <w:t>微克</w:t>
      </w:r>
      <w:r>
        <w:t xml:space="preserve"> </w:t>
      </w:r>
      <w:r>
        <w:t>*)，达到 345.54 和 334.57 F cm</w:t>
      </w:r>
      <w:r>
        <w:t xml:space="preserve"> </w:t>
      </w:r>
      <w:r>
        <w:t>−1</w:t>
      </w:r>
      <w:r>
        <w:t xml:space="preserve"> </w:t>
      </w:r>
      <w:r>
        <w:t>V</w:t>
      </w:r>
      <w:r>
        <w:t xml:space="preserve"> </w:t>
      </w:r>
      <w:r>
        <w:t>−1</w:t>
      </w:r>
      <w:r>
        <w:t xml:space="preserve"> </w:t>
      </w:r>
      <w:r>
        <w:t>s</w:t>
      </w:r>
      <w:r>
        <w:t xml:space="preserve"> </w:t>
      </w:r>
      <w:r>
        <w:t>−1</w:t>
      </w:r>
      <w:r>
        <w:t xml:space="preserve"> </w:t>
      </w:r>
      <w:r>
        <w:t>分别用于 p 型和 n 型传导，证明了其双极混合传输的潜力。利用其高效的混合传输，我们成功演示了互补逆变器和心电图监测应用。我们的研究结果验证了</w:t>
      </w:r>
    </w:p>
    <w:p>
      <w:pPr>
        <w:spacing w:before="0" w:after="200" w:lineRule="auto" w:line="276"/>
      </w:pPr>
      <w:r>
        <w:rPr>
          <w:b/>
        </w:rPr>
        <w:t xml:space="preserve">Abstract (EN): </w:t>
      </w:r>
      <w:r>
        <w:t>Organic mixed ionic‐electronic conductors (OMIECs) are emerging materials for low‐power dissipation, high transconductance, and biocompatible semiconductor devices. To date, major efforts have been focused on p‐type OMIECs, while ambipolar and electron‐conducting counterparts remain underdeveloped. This disparity arises from the limited availability of robust conjugated skeletons capable of sustaining electrochemical reduction without compromising the electron transport pathways. In this work, we demonstrate a tri‐acceptor skeleton comprising diketopyrrolopyrrole‐benzothiadiazole‐diketopyrrolopyrrole (DBD) units, which concurrently facilitates electrochemical oxidation and reduction processes. Additionally, we modulate side chain chemistry by halving the density of oligoethylene glycol (OEG) moieties. This two‐dimensional (2D) tuning strategy achieves an optimal balance between ambipolar ionic and electronic transport properties, lowering the injection barrier for cations. hDBD‐2FT exhibits high apparent product of mobility and volumetric capacitance (</w:t>
      </w:r>
      <w:r>
        <w:t xml:space="preserve"> </w:t>
      </w:r>
      <w:r>
        <w:t>µC</w:t>
      </w:r>
      <w:r>
        <w:t xml:space="preserve"> </w:t>
      </w:r>
      <w:r>
        <w:t>*), reaching 345.54 and 334.57 F cm</w:t>
      </w:r>
      <w:r>
        <w:t xml:space="preserve"> </w:t>
      </w:r>
      <w:r>
        <w:t>−1</w:t>
      </w:r>
      <w:r>
        <w:t xml:space="preserve"> </w:t>
      </w:r>
      <w:r>
        <w:t>V</w:t>
      </w:r>
      <w:r>
        <w:t xml:space="preserve"> </w:t>
      </w:r>
      <w:r>
        <w:t>−1</w:t>
      </w:r>
      <w:r>
        <w:t xml:space="preserve"> </w:t>
      </w:r>
      <w:r>
        <w:t>s</w:t>
      </w:r>
      <w:r>
        <w:t xml:space="preserve"> </w:t>
      </w:r>
      <w:r>
        <w:t>−1</w:t>
      </w:r>
      <w:r>
        <w:t xml:space="preserve"> </w:t>
      </w:r>
      <w:r>
        <w:t>for p‐type and n‐type conduction, respectively, demonstrating its potential for ambipolar mixed transport. Leveraging its efficient mixed transport, we successfully demonstrate complementary inverters and electrocardiogram monitoring applications. Our findings validate the efficacy of the 2D tuning strategy in balancing mixed transport properties and are anticipated to stimulate the development of OMIECs exhibiting higher performance metrics and power efficiency.</w:t>
      </w:r>
    </w:p>
    <w:p>
      <w:pPr>
        <w:spacing w:before="120" w:after="120"/>
      </w:pPr>
      <w:r>
        <w:rPr>
          <w:sz w:val="18"/>
        </w:rPr>
        <w:t>——————————————————————————————————————————————————————————————————————</w:t>
      </w:r>
    </w:p>
    <w:p>
      <w:pPr>
        <w:spacing w:before="160" w:after="40" w:line="240" w:lineRule="auto"/>
      </w:pPr>
      <w:r>
        <w:rPr>
          <w:b/>
        </w:rPr>
        <w:t xml:space="preserve">[14] </w:t>
      </w:r>
      <w:hyperlink r:id="rId163">
        <w:r>
          <w:rPr>
            <w:color w:val="1155CC"/>
            <w:u w:val="single"/>
          </w:rPr>
          <w:t>离子液体和电解质中动态相变的压电响应</w:t>
        </w:r>
      </w:hyperlink>
    </w:p>
    <w:p>
      <w:pPr>
        <w:spacing w:before="0" w:after="80"/>
      </w:pPr>
      <w:r>
        <w:rPr>
          <w:i/>
          <w:sz w:val="20"/>
        </w:rPr>
        <w:t>EN: Piezoelectric response in ionic liquids and electrolytes through dynamic phase transitions</w:t>
      </w:r>
    </w:p>
    <w:p>
      <w:pPr>
        <w:spacing w:before="0" w:after="120"/>
      </w:pPr>
      <w:r>
        <w:rPr>
          <w:b/>
        </w:rPr>
        <w:t xml:space="preserve">Source: </w:t>
      </w:r>
      <w:r>
        <w:t>Matter</w:t>
      </w:r>
      <w:r>
        <w:t xml:space="preserve">    </w:t>
      </w:r>
      <w:r>
        <w:rPr>
          <w:b/>
        </w:rPr>
        <w:t xml:space="preserve">Pub date: </w:t>
      </w:r>
      <w:r>
        <w:t>2026-07-16 00:00:00+00:00</w:t>
      </w:r>
      <w:r>
        <w:t xml:space="preserve">    </w:t>
      </w:r>
      <w:r>
        <w:rPr>
          <w:b/>
        </w:rPr>
        <w:t xml:space="preserve">DOI: </w:t>
      </w:r>
      <w:hyperlink r:id="rId164">
        <w:r>
          <w:rPr>
            <w:color w:val="1155CC"/>
            <w:u w:val="single"/>
          </w:rPr>
          <w:t>10.1016/j.matt.2026.102917</w:t>
        </w:r>
      </w:hyperlink>
    </w:p>
    <w:p>
      <w:pPr>
        <w:spacing w:before="0" w:after="120"/>
      </w:pPr>
      <w:r>
        <w:rPr>
          <w:b/>
        </w:rPr>
        <w:t xml:space="preserve">Notes: </w:t>
      </w:r>
      <w:r>
        <w:t>abstract_source=rss_cell</w:t>
      </w:r>
    </w:p>
    <w:p>
      <w:pPr>
        <w:spacing w:before="0" w:after="80" w:lineRule="auto" w:line="276"/>
      </w:pPr>
      <w:r>
        <w:rPr>
          <w:b/>
        </w:rPr>
        <w:t xml:space="preserve">摘要（ZH）: </w:t>
      </w:r>
      <w:r>
        <w:t>最近的发现挑战了长期以来压电性仅存在于固体中的信念。实验表明，室温离子液体、低共熔溶剂以及包含这些液体的固体聚合物电解质可以通过压力诱导的瞬时结晶在机械应力下产生电荷。这种现象导致在液相内形成临时的非中心对称域，这种效应使得柔性传感器、软机器人和无脆性组件的自供电能量收集系统的新应用成为可能。</w:t>
      </w:r>
    </w:p>
    <w:p>
      <w:pPr>
        <w:spacing w:before="0" w:after="200" w:lineRule="auto" w:line="276"/>
      </w:pPr>
      <w:r>
        <w:rPr>
          <w:b/>
        </w:rPr>
        <w:t xml:space="preserve">Abstract (EN): </w:t>
      </w:r>
      <w:r>
        <w:t>Recent discoveries challenge the long-held belief that piezoelectricity exists only in solids. Experiments reveal that room-temperature ionic liquids, deep eutectic solvents, and solid polymer electrolytes that incorporate these liquids can generate electric charge under mechanical stress through pressure-induced transient crystallization. This phenomenon leads to the formation of temporary non-centrosymmetric domains within the liquid phase, an effect that enables new applications in flexible sensors, soft robotics, and self-powered energy-harvesting systems without brittle components.</w:t>
      </w:r>
    </w:p>
    <w:p>
      <w:pPr>
        <w:spacing w:before="120" w:after="120"/>
      </w:pPr>
      <w:r>
        <w:rPr>
          <w:sz w:val="18"/>
        </w:rPr>
        <w:t>——————————————————————————————————————————————————————————————————————</w:t>
      </w:r>
    </w:p>
    <w:p>
      <w:pPr>
        <w:spacing w:before="160" w:after="40" w:line="240" w:lineRule="auto"/>
      </w:pPr>
      <w:r>
        <w:rPr>
          <w:b/>
        </w:rPr>
        <w:t xml:space="preserve">[15] </w:t>
      </w:r>
      <w:hyperlink r:id="rId165">
        <w:r>
          <w:rPr>
            <w:color w:val="1155CC"/>
            <w:u w:val="single"/>
          </w:rPr>
          <w:t>原位揭示锂离子/锂氧混合电池纳米尺度插层转换过程的耦合机制</w:t>
        </w:r>
      </w:hyperlink>
    </w:p>
    <w:p>
      <w:pPr>
        <w:spacing w:before="0" w:after="80"/>
      </w:pPr>
      <w:r>
        <w:rPr>
          <w:i/>
          <w:sz w:val="20"/>
        </w:rPr>
        <w:t>EN: In Situ Unveiling of the Coupling Mechanism of Intercalation-Conversion Processes at the Nanoscale in Lithium–Ion/Lithium–Oxygen Hybrid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66">
        <w:r>
          <w:rPr>
            <w:color w:val="1155CC"/>
            <w:u w:val="single"/>
          </w:rPr>
          <w:t>10.1021/jacs.6c09619</w:t>
        </w:r>
      </w:hyperlink>
    </w:p>
    <w:p>
      <w:pPr>
        <w:spacing w:before="0" w:after="120"/>
      </w:pPr>
      <w:r>
        <w:rPr>
          <w:b/>
        </w:rPr>
        <w:t xml:space="preserve">Notes: </w:t>
      </w:r>
      <w:r>
        <w:t>abstract_source=pubmed</w:t>
      </w:r>
    </w:p>
    <w:p>
      <w:pPr>
        <w:spacing w:before="0" w:after="80" w:lineRule="auto" w:line="276"/>
      </w:pPr>
      <w:r>
        <w:rPr>
          <w:b/>
        </w:rPr>
        <w:t xml:space="preserve">摘要（ZH）: </w:t>
      </w:r>
      <w:r>
        <w:t>随着能源需求的快速增长，设计新型混合电池系统变得越来越重要。揭示插层转换混合阴极的耦合机制并深入了解高能量密度电化学储能器件的结构与性能关系至关重要。在这项研究中，提出了一种将插层型LiNixCoyMn1-x-yO2（NCM）与转化型氧（O2）相结合的混合阴极。使用原位电化学原子力显微镜（EC-AFM），我们阐明了NCM阴极的过度锂化增强了电子电导率并在放电过程中暴露出丰富的活性位点，从而诱导Li2O2的形成。电化学测试表明，插层和转化反应对容量的贡献是速率依赖性的，较低的速率有利于插层主导的电化学过程。进一步的扫描透射电子显微镜表征表明，在长时间循环过程中，NCM插层型正极中的氧空位成为转化型Li-O2中间体的优先位点，显着增强了电池的循环稳定性。最终，通过优化嵌入阴极和转化阴极之间的质量比，实现了增强的循环稳定性。这项研究为通过混合动力电池系统中的多机制反应调节电池性能提供了宝贵的见解。</w:t>
      </w:r>
    </w:p>
    <w:p>
      <w:pPr>
        <w:spacing w:before="0" w:after="200" w:lineRule="auto" w:line="276"/>
      </w:pPr>
      <w:r>
        <w:rPr>
          <w:b/>
        </w:rPr>
        <w:t xml:space="preserve">Abstract (EN): </w:t>
      </w:r>
      <w:r>
        <w:t>With the rapid growth in energy demand, designing a novel hybrid battery system has become increasingly important. It is critical to reveal the coupling mechanisms of intercalation-conversion hybrid cathodes and provide an in-depth understanding of structure-performance relationships for the electrochemical energy storage devices with high energy density. In this study, a hybrid cathode that combines intercalation-type LiNixCoyMn1-x-yO2 (NCM) with conversion-type oxygen (O2) is proposed. Using in situ electrochemical atomic force microscopy (EC-AFM), we elucidate that the overlithiation of the NCM cathode enhances electronic conductivity and exposes abundant active sites during discharge, thereby inducing the formation of Li2O2. Electrochemical tests demonstrate that the contributions of intercalation and conversion reactions to capacity are rate-dependent, with lower rates favoring the intercalation-dominated electrochemical process. Further scanning transmission electron microscopy characterization indicates that, during prolonged cycling, oxygen vacancies in the NCM intercalation-type cathode serve as preferential sites for the conversion-type Li-O2 intermediates, significantly enhancing the cycling stability of the battery. Ultimately, by optimizing the mass ratio between the intercalation and conversion cathodes, an enhanced cycle stability is achieved. This study offers valuable insights into modulating battery performance through multimechanism reactions in hybrid battery systems.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67">
        <w:r>
          <w:rPr>
            <w:color w:val="1155CC"/>
            <w:u w:val="single"/>
          </w:rPr>
          <w:t>一种具有最佳阶数选择的恒温控制负载的自适应建模方法</w:t>
        </w:r>
      </w:hyperlink>
    </w:p>
    <w:p>
      <w:pPr>
        <w:spacing w:before="0" w:after="80"/>
      </w:pPr>
      <w:r>
        <w:rPr>
          <w:i/>
          <w:sz w:val="20"/>
        </w:rPr>
        <w:t>EN: An adaptive modeling method with optimal order selection for thermostatically controlled loads</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8">
        <w:r>
          <w:rPr>
            <w:color w:val="1155CC"/>
            <w:u w:val="single"/>
          </w:rPr>
          <w:t>评估全球辐射冷却以缓解全球变暖</w:t>
        </w:r>
      </w:hyperlink>
    </w:p>
    <w:p>
      <w:pPr>
        <w:spacing w:before="0" w:after="80"/>
      </w:pPr>
      <w:r>
        <w:rPr>
          <w:i/>
          <w:sz w:val="20"/>
        </w:rPr>
        <w:t>EN: Assessing Worldwide Radiative Cooling toward Global Warming Mitigation</w:t>
      </w:r>
    </w:p>
    <w:p>
      <w:pPr>
        <w:spacing w:before="0" w:after="120"/>
      </w:pPr>
      <w:r>
        <w:rPr>
          <w:b/>
        </w:rPr>
        <w:t xml:space="preserve">Source: </w:t>
      </w:r>
      <w:r>
        <w:t>ACS Energy Letters: Latest Articles (ACS Publications)</w:t>
      </w:r>
      <w:r>
        <w:t xml:space="preserve">    </w:t>
      </w:r>
      <w:r>
        <w:rPr>
          <w:b/>
        </w:rPr>
        <w:t xml:space="preserve">Pub date: </w:t>
      </w:r>
      <w:r>
        <w:t>2026-07-11 00:00:00+00:00</w:t>
      </w:r>
      <w:r>
        <w:t xml:space="preserve">    </w:t>
      </w:r>
      <w:r>
        <w:rPr>
          <w:b/>
        </w:rPr>
        <w:t xml:space="preserve">DOI: </w:t>
      </w:r>
      <w:hyperlink r:id="rId169">
        <w:r>
          <w:rPr>
            <w:color w:val="1155CC"/>
            <w:u w:val="single"/>
          </w:rPr>
          <w:t>10.1021/acsenergylett.6c01186</w:t>
        </w:r>
      </w:hyperlink>
    </w:p>
    <w:p>
      <w:pPr>
        <w:spacing w:before="0" w:after="120"/>
      </w:pPr>
      <w:r>
        <w:rPr>
          <w:b/>
        </w:rPr>
        <w:t xml:space="preserve">Notes: </w:t>
      </w:r>
      <w:r>
        <w:t>abstract_source=openalex</w:t>
      </w:r>
    </w:p>
    <w:p>
      <w:pPr>
        <w:spacing w:before="0" w:after="80" w:lineRule="auto" w:line="276"/>
      </w:pPr>
      <w:r>
        <w:rPr>
          <w:b/>
        </w:rPr>
        <w:t xml:space="preserve">摘要（ZH）: </w:t>
      </w:r>
      <w:r>
        <w:t>辐射冷却（RC）通过将热量辐射到外太空来被动冷却地面物体，为解决能源和环境挑战提供了一种无燃料的方法。然而，它在全球范围内缓解全球变暖的潜力仍然无法量化。在这里，我们以年度时间尺度研究全球 RC 功率，这对于实施基于 RC 的技术至关重要。我们提出了一个基于气象数据的模型，并量化了全球约 2000 个城市的 RC 功率。分析了全球 RC 电源的地理差异。温度下降超过 6 °C 的区域和 RC 功率超过 80 W m –2 的区域被突出显示。根据全年制冷功率，我们将全球RC地图分为五个代表性区域。此外，我们还估算了 RC 部署的 CO 2 减排量，并定义了重新平衡地球能源预算所需的理论阈值区域。这些结果为指导全球 RC 部署以缓解全球变暖提供了定量基础。</w:t>
      </w:r>
    </w:p>
    <w:p>
      <w:pPr>
        <w:spacing w:before="0" w:after="200" w:lineRule="auto" w:line="276"/>
      </w:pPr>
      <w:r>
        <w:rPr>
          <w:b/>
        </w:rPr>
        <w:t xml:space="preserve">Abstract (EN): </w:t>
      </w:r>
      <w:r>
        <w:t>Radiative cooling (RC) passively cools terrestrial objects by radiating heat into outer space, providing a fuel-free means for addressing energy and environmental challenges. However, its potential to mitigate global warming at the planetary scale remains unquantified. Herein, we examine global RC power on an annual time scale, which is vital for implementing RC-based technologies. We propose a meteorological data-based model and quantify the RC power across ∼2000 global cities. The geographic disparities of global RC power are analyzed. Regions with temperature reductions exceeding 6 °C and those with RC power over 80 W m –2 are highlighted. Based on the year-round cooling power, we categorize the global RC map into five representative regions. Furthermore, we estimate the CO 2 emission reduction of RC deployment and define a theoretical threshold area required to rebalance Earth's energy budget. These results provide a quantitative basis for guiding worldwide RC deployment toward global warming mitigation.</w:t>
      </w:r>
    </w:p>
    <w:p>
      <w:pPr>
        <w:spacing w:before="120" w:after="120"/>
      </w:pPr>
      <w:r>
        <w:rPr>
          <w:sz w:val="18"/>
        </w:rPr>
        <w:t>——————————————————————————————————————————————————————————————————————</w:t>
      </w:r>
    </w:p>
    <w:p>
      <w:pPr>
        <w:spacing w:before="160" w:after="40" w:line="240" w:lineRule="auto"/>
      </w:pPr>
      <w:r>
        <w:rPr>
          <w:b/>
        </w:rPr>
        <w:t xml:space="preserve">[3] </w:t>
      </w:r>
      <w:hyperlink r:id="rId170">
        <w:r>
          <w:rPr>
            <w:color w:val="1155CC"/>
            <w:u w:val="single"/>
          </w:rPr>
          <w:t>具有电力、冷却、加热和氢中心的多载体能源系统的双层随机规划和能源管理</w:t>
        </w:r>
      </w:hyperlink>
    </w:p>
    <w:p>
      <w:pPr>
        <w:spacing w:before="0" w:after="80"/>
      </w:pPr>
      <w:r>
        <w:rPr>
          <w:i/>
          <w:sz w:val="20"/>
        </w:rPr>
        <w:t>EN: Bi-level stochastic planning and energy management of a multi-carrier energy system with electrical, cooling, heating, and hydrogen hubs</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71">
        <w:r>
          <w:rPr>
            <w:color w:val="1155CC"/>
            <w:u w:val="single"/>
          </w:rPr>
          <w:t>自发滴滴芯吸用于可扩展集成载盐纳米多孔吸附剂</w:t>
        </w:r>
      </w:hyperlink>
    </w:p>
    <w:p>
      <w:pPr>
        <w:spacing w:before="0" w:after="80"/>
      </w:pPr>
      <w:r>
        <w:rPr>
          <w:i/>
          <w:sz w:val="20"/>
        </w:rPr>
        <w:t>EN: Spontaneous Dropwise Wicking for Scalable Integration of Salt-Loaded Nanoporous Sorbents</w:t>
      </w:r>
    </w:p>
    <w:p>
      <w:pPr>
        <w:spacing w:before="0" w:after="120"/>
      </w:pPr>
      <w:r>
        <w:rPr>
          <w:b/>
        </w:rPr>
        <w:t xml:space="preserve">Source: </w:t>
      </w:r>
      <w:r>
        <w:t>ACS Applied Materials &amp; Interfaces: Latest Articles (ACS Publications)</w:t>
      </w:r>
      <w:r>
        <w:t xml:space="preserve">    </w:t>
      </w:r>
      <w:r>
        <w:rPr>
          <w:b/>
        </w:rPr>
        <w:t xml:space="preserve">Pub date: </w:t>
      </w:r>
      <w:r>
        <w:t>2026-07-11 00:00:00+00:00</w:t>
      </w:r>
      <w:r>
        <w:t xml:space="preserve">    </w:t>
      </w:r>
      <w:r>
        <w:rPr>
          <w:b/>
        </w:rPr>
        <w:t xml:space="preserve">DOI: </w:t>
      </w:r>
      <w:hyperlink r:id="rId172">
        <w:r>
          <w:rPr>
            <w:color w:val="1155CC"/>
            <w:u w:val="single"/>
          </w:rPr>
          <w:t>10.1021/acsami.6c10679</w:t>
        </w:r>
      </w:hyperlink>
    </w:p>
    <w:p>
      <w:pPr>
        <w:spacing w:before="0" w:after="120"/>
      </w:pPr>
      <w:r>
        <w:rPr>
          <w:b/>
        </w:rPr>
        <w:t xml:space="preserve">Notes: </w:t>
      </w:r>
      <w:r>
        <w:t>abstract_source=pubmed</w:t>
      </w:r>
    </w:p>
    <w:p>
      <w:pPr>
        <w:spacing w:before="0" w:after="80" w:lineRule="auto" w:line="276"/>
      </w:pPr>
      <w:r>
        <w:rPr>
          <w:b/>
        </w:rPr>
        <w:t xml:space="preserve">摘要（ZH）: </w:t>
      </w:r>
      <w:r>
        <w:t>负载盐的纳米多孔固体是一类新兴材料，它将吸湿盐的优异吸水能力与纳米多孔吸附剂的孔隙率和蒸汽可及性结合在一起。这种复合策略为推进基于吸附的大气水收集（AWH）和热能储存（TES）应用提供了一条有前途的途径。然而，盐的存在和这些材料的松散粉末形状因素给实际设备集成带来了重大挑战。有效地融入机械坚固且可蒸气接触的基材对于实现可扩展、耐用和高性能的吸附剂模块至关重要。在这项工作中，我们开发了一种滴滴芯吸 (Dropwick) 方法，将负载盐的吸附剂集成到三维多孔金属泡沫中，利用基材的机械稳定性和导热性，同时保持快速的蒸汽扩散动力学。与传统的浸涂不同，Dropwick 将精确的滴状沉积与自发毛细管驱动的芯吸相结合，从而实现可控且高效的吸附剂集成。在这里，我们建立了一个统一的物理建模框架来指导基于无量纲数的 Dropwick 操作，这些无量纲数捕获了表面润湿、毛细管流动、粘性阻力、溶剂蒸发和颗粒分散等关键竞争效应。使用盐负载分层二氧化硅 (LiCl@HSPEG) 作为模型系统，然后我们在预测模型的指导下通过实验演示了 Dropwick 集成。这些成功的样品表现出均匀、可扩展的涂层，同时保留了</w:t>
      </w:r>
    </w:p>
    <w:p>
      <w:pPr>
        <w:spacing w:before="0" w:after="200" w:lineRule="auto" w:line="276"/>
      </w:pPr>
      <w:r>
        <w:rPr>
          <w:b/>
        </w:rPr>
        <w:t xml:space="preserve">Abstract (EN): </w:t>
      </w:r>
      <w:r>
        <w:t>Salt-loaded nanoporous solids are an emerging class of materials that combine the superior water uptake capacity of hygroscopic salts with the porosity and vapor accessibility of nanoporous sorbents. This composite strategy offers a promising pathway for advancing sorption-based atmospheric water harvesting (AWH) and thermal energy storage (TES) applications. However, the presence of salt and the loose-powder form factor of these materials pose significant challenges for practical device integration. Effective incorporation into mechanically robust and vapor-accessible substrates is critical for realizing scalable, durable, and high-performance sorbent modules. In this work, we develop a dropwise-wicking (Dropwick) methodology to integrate salt-loaded sorbents into three-dimensional porous metal foams, leveraging the substrate's mechanical stability and thermal conductivity while preserving fast vapor diffusion kinetics. Unlike conventional dip coating, Dropwick combines precise dropwise deposition with spontaneous capillary-driven wicking, enabling controllable and efficient sorbent integration. Here, we establish a unified physical modeling framework to guide Dropwick operation based on dimensionless numbers that capture key competing effects such as surface wetting, capillary flow, viscous drag, solvent evaporation, and particle dispersion. Using salt-loaded hierarchical silica (LiCl@HSPEG) as a model system, we then experimentally demonstrate Dropwick integration as guided by the predictive model. These successful samples exhibit uniform, scalable coatings while preserving, and even exceeding, the intrinsic sorption performance of state-of-the-art salt-loaded sorbents. This work provides a versatile strategy for bridging material-level properties with device-level requirements in AWH, TES, and related energy systems.</w:t>
      </w:r>
    </w:p>
    <w:p>
      <w:pPr>
        <w:spacing w:before="120" w:after="120"/>
      </w:pPr>
      <w:r>
        <w:rPr>
          <w:sz w:val="18"/>
        </w:rPr>
        <w:t>——————————————————————————————————————————————————————————————————————</w:t>
      </w:r>
    </w:p>
    <w:p>
      <w:pPr>
        <w:spacing w:before="160" w:after="40" w:line="240" w:lineRule="auto"/>
      </w:pPr>
      <w:r>
        <w:rPr>
          <w:b/>
        </w:rPr>
        <w:t xml:space="preserve">[5] </w:t>
      </w:r>
      <w:hyperlink r:id="rId173">
        <w:r>
          <w:rPr>
            <w:color w:val="1155CC"/>
            <w:u w:val="single"/>
          </w:rPr>
          <w:t>用于分体式空调系统节能分钟级控制的物理强化学习：真实硬件上的实验验证</w:t>
        </w:r>
      </w:hyperlink>
    </w:p>
    <w:p>
      <w:pPr>
        <w:spacing w:before="0" w:after="80"/>
      </w:pPr>
      <w:r>
        <w:rPr>
          <w:i/>
          <w:sz w:val="20"/>
        </w:rPr>
        <w:t>EN: Physics-informed reinforcement learning for energy-efficient minute-scale control of split-type air-conditioning systems: Experimental validation on real hardware</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4">
        <w:r>
          <w:rPr>
            <w:color w:val="1155CC"/>
            <w:u w:val="single"/>
          </w:rPr>
          <w:t>通过主动采样和 SHAP 引导证据压缩，对 HVAC 系统进行高效采样的 LLM 故障诊断</w:t>
        </w:r>
      </w:hyperlink>
    </w:p>
    <w:p>
      <w:pPr>
        <w:spacing w:before="0" w:after="80"/>
      </w:pPr>
      <w:r>
        <w:rPr>
          <w:i/>
          <w:sz w:val="20"/>
        </w:rPr>
        <w:t>EN: Sample-efficient LLM fault diagnosis for HVAC systems via active sampling and SHAP-guided evidence condensation</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5">
        <w:r>
          <w:rPr>
            <w:color w:val="1155CC"/>
            <w:u w:val="single"/>
          </w:rPr>
          <w:t>长航时无人机煤油燃料SOFC-GT混合动力系统多场景运行性能评估及瞬态特性</w:t>
        </w:r>
      </w:hyperlink>
    </w:p>
    <w:p>
      <w:pPr>
        <w:spacing w:before="0" w:after="80"/>
      </w:pPr>
      <w:r>
        <w:rPr>
          <w:i/>
          <w:sz w:val="20"/>
        </w:rPr>
        <w:t>EN: Performance evaluation and transient characteristics of a kerosene-fueled SOFC-GT hybrid aviation power system for long-endurance UAVs under multi-scenario operation</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6">
        <w:r>
          <w:rPr>
            <w:color w:val="1155CC"/>
            <w:u w:val="single"/>
          </w:rPr>
          <w:t>针叶树形多层弹热蓄热体</w:t>
        </w:r>
      </w:hyperlink>
    </w:p>
    <w:p>
      <w:pPr>
        <w:spacing w:before="0" w:after="80"/>
      </w:pPr>
      <w:r>
        <w:rPr>
          <w:i/>
          <w:sz w:val="20"/>
        </w:rPr>
        <w:t>EN: Conifer-shaped multi-layer elastocaloric regenerators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弹性热冷却得到了快速发展，然而，其全部潜力尚未释放，部分原因是弹性热蓄热器中不可避免的不均匀相变。在这里，我们报告了一种针叶树形多层弹热再生器，通过将几何形状与可变变换应力对齐来应对这一挑战。受针叶树结构的启发，该设计战略性地改变了三层管的数量，以匹配内在的转变应力分布，减轻过应力和不完全的转变。使用相同的商业级 NiTi 材料，蓄热器可实现 45.5 K 的无负载温度跨度，比统一基线高 12.4%。可扩展性通过包含两个蓄热器的往复式弹性热冷水机得到证明，在零温度跨度下实现 272.6 W 的冷却功率。我们还证明了针叶树形状适用于层内，为未来的高性能弹热再生器和系统建立了几何功能匹配原理。</w:t>
      </w:r>
    </w:p>
    <w:p>
      <w:pPr>
        <w:spacing w:before="0" w:after="200" w:lineRule="auto" w:line="276"/>
      </w:pPr>
      <w:r>
        <w:rPr>
          <w:b/>
        </w:rPr>
        <w:t xml:space="preserve">Abstract (EN): </w:t>
      </w:r>
      <w:r>
        <w:t>Elastocaloric cooling enjoyed fast development, however, its full potential has yet to be released, partially due to the inevitable inhomogeneous phase transition in elastocaloric regenerators. Here, we report a conifer-shaped multi-layer elastocaloric regenerator by aligning geometry with variable transformation stress to address this challenge. Inspired by coniferous tree architecture, the design strategically varies the number of tubes across three layers to match the intrinsic transformation stress profile, mitigating overstress and incomplete transitions. Using identical commercial-grade NiTi material, the regenerator achieves a 45.5 K load-free temperature span that is 12.4% higher than the uniform baseline. Scalability is demonstrated via a reciprocating elastocaloric water chiller incorporating two regenerators, achieving 272.6 W cooling power at zero temperature span. We also demonstrate that the conifer shape applies to intra-layer, establishing a geometry-function matching principle for future high-performance elastocaloric regenerators and systems.</w:t>
      </w:r>
    </w:p>
    <w:p>
      <w:pPr>
        <w:spacing w:before="120" w:after="120"/>
      </w:pPr>
      <w:r>
        <w:rPr>
          <w:sz w:val="18"/>
        </w:rPr>
        <w:t>——————————————————————————————————————————————————————————————————————</w:t>
      </w:r>
    </w:p>
    <w:p>
      <w:pPr>
        <w:spacing w:before="160" w:after="40" w:line="240" w:lineRule="auto"/>
      </w:pPr>
      <w:r>
        <w:rPr>
          <w:b/>
        </w:rPr>
        <w:t xml:space="preserve">[9] </w:t>
      </w:r>
      <w:hyperlink r:id="rId177">
        <w:r>
          <w:rPr>
            <w:color w:val="1155CC"/>
            <w:u w:val="single"/>
          </w:rPr>
          <w:t>通过协调角度调制高效合成雪花形折叠组件、818节和闭合三节链</w:t>
        </w:r>
      </w:hyperlink>
    </w:p>
    <w:p>
      <w:pPr>
        <w:spacing w:before="0" w:after="80"/>
      </w:pPr>
      <w:r>
        <w:rPr>
          <w:i/>
          <w:sz w:val="20"/>
        </w:rPr>
        <w:t>EN: Efficient synthesis of a snowflake-shaped folded assembly, an 818 knot, and a closed three-link chain via coordination angle modulation</w:t>
      </w:r>
    </w:p>
    <w:p>
      <w:pPr>
        <w:spacing w:before="0" w:after="120"/>
      </w:pPr>
      <w:r>
        <w:rPr>
          <w:b/>
        </w:rPr>
        <w:t xml:space="preserve">Source: </w:t>
      </w:r>
      <w:r>
        <w:t>National Science Review Advance Access</w:t>
      </w:r>
      <w:r>
        <w:t xml:space="preserve">    </w:t>
      </w:r>
      <w:r>
        <w:rPr>
          <w:b/>
        </w:rPr>
        <w:t xml:space="preserve">Pub date: </w:t>
      </w:r>
      <w:r>
        <w:t>2026-07-13 00:00:00+00:00</w:t>
      </w:r>
      <w:r>
        <w:t xml:space="preserve">    </w:t>
      </w:r>
      <w:r>
        <w:rPr>
          <w:b/>
        </w:rPr>
        <w:t xml:space="preserve">DOI: </w:t>
      </w:r>
      <w:hyperlink r:id="rId178">
        <w:r>
          <w:rPr>
            <w:color w:val="1155CC"/>
            <w:u w:val="single"/>
          </w:rPr>
          <w:t>10.1093/nsr/nwag432</w:t>
        </w:r>
      </w:hyperlink>
    </w:p>
    <w:p>
      <w:pPr>
        <w:spacing w:before="0" w:after="120"/>
      </w:pPr>
      <w:r>
        <w:rPr>
          <w:b/>
        </w:rPr>
        <w:t xml:space="preserve">Notes: </w:t>
      </w:r>
      <w:r>
        <w:t>abstract_source=rss_oup</w:t>
      </w:r>
    </w:p>
    <w:p>
      <w:pPr>
        <w:spacing w:before="0" w:after="80" w:lineRule="auto" w:line="276"/>
      </w:pPr>
      <w:r>
        <w:rPr>
          <w:b/>
        </w:rPr>
        <w:t xml:space="preserve">摘要（ZH）: </w:t>
      </w:r>
      <w:r>
        <w:t>尽管机械互锁的超分子系统很有吸引力，但对其组装成复杂拓扑的精确控制仍然是一个主要挑战。为了解决这个问题，我们采用了一种以调节协调角度为中心的方法。通过设计具有不同咔唑-吡啶连接角的两种配体（L1和L2），并将它们与定制的构建单元E1(OTf)2和E2(OTf)2相结合，我们成功地合成了四种独特的结构：分子镊子状化合物、雪花形折叠组装体、818结和闭合三链接链。单晶 X 射线衍射 (SC-XRD) 分析提供了明确的结构阐明，不仅证实了三维几何形状，还揭示了配体角度决定了组装结果，将其引导至互锁或折叠结构。这些构建体在溶液中的形成和纯度通过核磁共振 (NMR) 光谱和电喷雾电离飞行时间质谱 (ESI-TOF-MS) 进行验证。此外，光热转换实验表明，化合物4(OTf)12表现出良好的光热性能，具有较高的光热转换效率和优异的循环稳定性。这一观察结果也得到了电子顺磁共振（EPR）测量数据的支持。</w:t>
      </w:r>
    </w:p>
    <w:p>
      <w:pPr>
        <w:spacing w:before="0" w:after="200" w:lineRule="auto" w:line="276"/>
      </w:pPr>
      <w:r>
        <w:rPr>
          <w:b/>
        </w:rPr>
        <w:t xml:space="preserve">Abstract (EN): </w:t>
      </w:r>
      <w:r>
        <w:t>Despite the appeal of mechanically interlocked supramolecular systems, precise control over their assembly into complicated topologies is still a central challenge. To address this, we employed a method centered on regulating the coordination angle. By designing two ligands (L1 and L2) with differing carbazole-pyridine connection angles and combining them with tailored building units E1(OTf)2 and E2(OTf)2, we successfully directed the synthesis of four unique architectures: a molecular-tweezer-like compound, a snowflake-shaped folded assembly, an 818 knot, and a closed three-link chain. Single-crystal X-ray diffraction (SC-XRD) analysis provided unambiguous structural elucidation, not only confirming the three-dimensional geometries but also revealing that the ligand angle dictates the outcome of assembly, steering it toward interlocked or folded structures. The formation and purity of these constructs in solution were verified by nuclear magnetic resonance (NMR) spectroscopy and electrospray ionization time-of-flight mass spectrometry (ESI-TOF-MS). Furthermore, photothermal conversion experiments demonstrated that compound 4(OTf)12 exhibits favorable photothermal performance, with a relatively higher photothermal conversion efficiency as well as excellent cycling stability. This observation is also supported by electron paramagnetic resonance (EPR) measurement data.</w:t>
      </w:r>
    </w:p>
    <w:p>
      <w:pPr>
        <w:spacing w:before="120" w:after="120"/>
      </w:pPr>
      <w:r>
        <w:rPr>
          <w:sz w:val="18"/>
        </w:rPr>
        <w:t>——————————————————————————————————————————————————————————————————————</w:t>
      </w:r>
    </w:p>
    <w:p>
      <w:pPr>
        <w:spacing w:before="160" w:after="40" w:line="240" w:lineRule="auto"/>
      </w:pPr>
      <w:r>
        <w:rPr>
          <w:b/>
        </w:rPr>
        <w:t xml:space="preserve">[10] </w:t>
      </w:r>
      <w:hyperlink r:id="rId179">
        <w:r>
          <w:rPr>
            <w:color w:val="1155CC"/>
            <w:u w:val="single"/>
          </w:rPr>
          <w:t>超薄介电纳米涂层可实现多功能高发射率硅表面</w:t>
        </w:r>
      </w:hyperlink>
    </w:p>
    <w:p>
      <w:pPr>
        <w:spacing w:before="0" w:after="80"/>
      </w:pPr>
      <w:r>
        <w:rPr>
          <w:i/>
          <w:sz w:val="20"/>
        </w:rPr>
        <w:t>EN: Ultrathin Dielectric Nanocoatings Enable Multifunctional High-Emissivity Silicon Surfaces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180">
        <w:r>
          <w:rPr>
            <w:color w:val="1155CC"/>
            <w:u w:val="single"/>
          </w:rPr>
          <w:t>10.1021/acsami.6c06541</w:t>
        </w:r>
      </w:hyperlink>
    </w:p>
    <w:p>
      <w:pPr>
        <w:spacing w:before="0" w:after="120"/>
      </w:pPr>
      <w:r>
        <w:rPr>
          <w:b/>
        </w:rPr>
        <w:t xml:space="preserve">Notes: </w:t>
      </w:r>
      <w:r>
        <w:t>abstract_source=pubmed</w:t>
      </w:r>
    </w:p>
    <w:p>
      <w:pPr>
        <w:spacing w:before="0" w:after="80" w:lineRule="auto" w:line="276"/>
      </w:pPr>
      <w:r>
        <w:rPr>
          <w:b/>
        </w:rPr>
        <w:t xml:space="preserve">摘要（ZH）: </w:t>
      </w:r>
      <w:r>
        <w:t>控制表面发射率对于需要户外稳定性的热光子技术至关重要，但将高发射率与环境耐久性相结合仍然具有挑战性。在这里，我们系统地研究了沉积在平坦和微结构掺杂硅上的超薄介电纳米涂层、二氧化钛、聚四氟乙烯、金刚石、氮化硼和氧化铝，选择作为具有不同光谱和角度轮廓的高发射表面的示例。通过实验测量和理论模型，我们证明这些纳米涂层不仅可以保留而且可以增强 250 nm 至 20 µm 范围内的宽带发射率，同时提供对润湿性的广泛控制。金刚石涂层表面在中红外区域表现出最高的宽带发射率和角各向同性，而 TiO2 由于声子极化子共振而引入了受控光谱特征。我们的研究结果表明，超薄纳米涂层提供了一种通用途径来定制表面功能，同时保持高辐射性能，将纳米涂层硅定位为可扩展的多功能平台，用于恶劣室外条件下的辐射冷却、太阳能收集和红外发射控制。</w:t>
      </w:r>
    </w:p>
    <w:p>
      <w:pPr>
        <w:spacing w:before="0" w:after="200" w:lineRule="auto" w:line="276"/>
      </w:pPr>
      <w:r>
        <w:rPr>
          <w:b/>
        </w:rPr>
        <w:t xml:space="preserve">Abstract (EN): </w:t>
      </w:r>
      <w:r>
        <w:t>Controlling surface emissivity is crucial for thermal-photonic technologies requiring outdoor stability, yet combining high emissivity with environmental durability remains challenging. Here, we systematically investigate ultrathin dielectric nanocoatings, titanium dioxide, Teflon, diamond, boron nitride, and alumina, deposited on flat and microstructured doped silicon, chosen as examples of highly emissive surfaces with different spectral and angular profiles. Using experimental measurements and theoretical modeling, we demonstrate that these nanocoatings not only preserve but can enhance broadband emissivity across 250 nm to 20 µm, while providing broad control over wettability. Diamond-coated surfaces exhibit the highest broadband emissivity and angular isotropy in the mid-infrared, whereas TiO2 introduces controlled spectral features due to phonon-polariton resonances. Our findings show that ultrathin nanocoatings provide a versatile route to tailor surface functionality while maintaining high radiative performance, positioning nanocoated silicon as a scalable, multifunctional platform for radiative cooling, solar energy harvesting, and infrared emission control under harsh outdoor conditions.</w:t>
      </w:r>
    </w:p>
    <w:p>
      <w:pPr>
        <w:spacing w:before="120" w:after="120"/>
      </w:pPr>
      <w:r>
        <w:rPr>
          <w:sz w:val="18"/>
        </w:rPr>
        <w:t>——————————————————————————————————————————————————————————————————————</w:t>
      </w:r>
    </w:p>
    <w:p>
      <w:pPr>
        <w:spacing w:before="160" w:after="40" w:line="240" w:lineRule="auto"/>
      </w:pPr>
      <w:r>
        <w:rPr>
          <w:b/>
        </w:rPr>
        <w:t xml:space="preserve">[11] </w:t>
      </w:r>
      <w:hyperlink r:id="rId181">
        <w:r>
          <w:rPr>
            <w:color w:val="1155CC"/>
            <w:u w:val="single"/>
          </w:rPr>
          <w:t>柔性热电带：使可回收可穿戴设备实现自供电手势识别</w:t>
        </w:r>
      </w:hyperlink>
    </w:p>
    <w:p>
      <w:pPr>
        <w:spacing w:before="0" w:after="80"/>
      </w:pPr>
      <w:r>
        <w:rPr>
          <w:i/>
          <w:sz w:val="20"/>
        </w:rPr>
        <w:t>EN: Flexible Thermoelectric Belt: Enabling Recyclable Wearables for Self-Powered Gesture Recognition</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182">
        <w:r>
          <w:rPr>
            <w:color w:val="1155CC"/>
            <w:u w:val="single"/>
          </w:rPr>
          <w:t>10.1021/acsami.6c08573</w:t>
        </w:r>
      </w:hyperlink>
    </w:p>
    <w:p>
      <w:pPr>
        <w:spacing w:before="0" w:after="120"/>
      </w:pPr>
      <w:r>
        <w:rPr>
          <w:b/>
        </w:rPr>
        <w:t xml:space="preserve">Notes: </w:t>
      </w:r>
      <w:r>
        <w:t>abstract_source=pubmed</w:t>
      </w:r>
    </w:p>
    <w:p>
      <w:pPr>
        <w:spacing w:before="0" w:after="80" w:lineRule="auto" w:line="276"/>
      </w:pPr>
      <w:r>
        <w:rPr>
          <w:b/>
        </w:rPr>
        <w:t xml:space="preserve">摘要（ZH）: </w:t>
      </w:r>
      <w:r>
        <w:t>柔性热电设备提供了一种很有前途的方法，可以从人体收集低品位废热，为可穿戴电子设备提供可持续电力。本文提出了一种基于三明治结构的全柔性热电发电机（f-TEG），采用高性能n型Bi2Te2.7Se0.3和p型Bi0.5Sb1.5Te3材料作为活性热电单元，液态金属作为电极。这种设计避免了传统表面金属化和复杂焊接工艺的需要。为了增强基板的导热性，采用包含 20 wt% 氮化铝 (AlN) 陶瓷纳米粒子的聚二甲基硅氧烷 (PDMS) 复合材料进行封装。这种方法产生的热导率为 0.45 W m-1 K-1，大约是纯 PDMS 的三倍。 f-TEG 装置表现出出色的机械和电气鲁棒性，在 10,000 小时的循环重定向和 100,000 次动态扭曲循环后仍保持结构完整性和稳定的性能。此外，热电材料和液态金属都可以通过简单的机械剥离进行无损回收和再利用。作为概念验证，f-TEG 单元被整体集成到可穿戴腰带中。该集成系统在 25 °C 环境温度下仅由体热供电，可稳定输出 180.6 mV 的输出电压。通过结合轻量级深度可分离 GRU 网络（DSGNet，11.95 kB），该网络通过深度可分离卷积和门控循环单元对特征进行协同建模，</w:t>
      </w:r>
    </w:p>
    <w:p>
      <w:pPr>
        <w:spacing w:before="0" w:after="200" w:lineRule="auto" w:line="276"/>
      </w:pPr>
      <w:r>
        <w:rPr>
          <w:b/>
        </w:rPr>
        <w:t xml:space="preserve">Abstract (EN): </w:t>
      </w:r>
      <w:r>
        <w:t>Flexible thermoelectric devices offer a promising approach for harvesting low-grade waste heat from the human body to sustainably power wearable electronics. Here, a fully flexible thermoelectric generator (f-TEG) based on a sandwich architecture is presented, utilizing high-performance n-type Bi2Te2.7Se0.3 and p-type Bi0.5Sb1.5Te3 materials as the active thermoelectric units, with liquid metal serving as the electrode. This design circumvents the need for conventional surface metallization and intricate soldering processes. To enhance the substrate's thermal conductivity, a polydimethylsiloxane (PDMS) composite incorporating 20 wt % aluminum nitride (AlN) ceramic nanoparticles was employed for encapsulation. This approach yielded a thermal conductivity of 0.45 W m-1 K-1, approximately three times that of pure PDMS. The f-TEG devices demonstrated outstanding mechanical and electrical robustness, maintaining structural integrity and stable performance after 10,000 h of cyclic reorientation and 100,000 cycles of dynamic twisting. Moreover, both the thermoelectric materials and liquid metal could be nondestructively recovered and reused via simple mechanical peeling. As a proof of concept, the f-TEG units were monolithically integrated into a wearable belt. Powered solely by body heat at an ambient temperature of 25 °C, the integrated system stably delivered an output voltage of 180.6 mV. By incorporating a lightweight depthwise separable GRU network (DSGNet, 11.95 kB) that synergistically models features through depthwise separable convolutions and gated recurrent units, a posture recognition accuracy of 98.96% was achieved. This work establishes a feasible technological pathway toward constructing self-powered, intelligent human body protection systems that simultaneously offer long operational lifetime and facile manufacturability.</w:t>
      </w:r>
    </w:p>
    <w:p>
      <w:pPr>
        <w:spacing w:before="120" w:after="120"/>
      </w:pPr>
      <w:r>
        <w:rPr>
          <w:sz w:val="18"/>
        </w:rPr>
        <w:t>——————————————————————————————————————————————————————————————————————</w:t>
      </w:r>
    </w:p>
    <w:p>
      <w:pPr>
        <w:spacing w:before="160" w:after="40" w:line="240" w:lineRule="auto"/>
      </w:pPr>
      <w:r>
        <w:rPr>
          <w:b/>
        </w:rPr>
        <w:t xml:space="preserve">[12] </w:t>
      </w:r>
      <w:hyperlink r:id="rId183">
        <w:r>
          <w:rPr>
            <w:color w:val="1155CC"/>
            <w:u w:val="single"/>
          </w:rPr>
          <w:t>直接观察单个固体分子结的能量传输动力学和高热导率</w:t>
        </w:r>
      </w:hyperlink>
    </w:p>
    <w:p>
      <w:pPr>
        <w:spacing w:before="0" w:after="80"/>
      </w:pPr>
      <w:r>
        <w:rPr>
          <w:i/>
          <w:sz w:val="20"/>
        </w:rPr>
        <w:t>EN: Direct Observation of Energy Transport Dynamics and High Thermal Conductance across Single Solid-Molecule Junctions</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184">
        <w:r>
          <w:rPr>
            <w:color w:val="1155CC"/>
            <w:u w:val="single"/>
          </w:rPr>
          <w:t>10.1103/rj4r-2vrf</w:t>
        </w:r>
      </w:hyperlink>
    </w:p>
    <w:p>
      <w:pPr>
        <w:spacing w:before="0" w:after="120"/>
      </w:pPr>
      <w:r>
        <w:rPr>
          <w:b/>
        </w:rPr>
        <w:t xml:space="preserve">Notes: </w:t>
      </w:r>
      <w:r>
        <w:t>abstract_source=rss_description</w:t>
      </w:r>
    </w:p>
    <w:p>
      <w:pPr>
        <w:spacing w:before="0" w:after="80" w:lineRule="auto" w:line="276"/>
      </w:pPr>
      <w:r>
        <w:rPr>
          <w:b/>
        </w:rPr>
        <w:t xml:space="preserve">摘要（ZH）: </w:t>
      </w:r>
      <w:r>
        <w:t>作者：Md. Shahriar Hossain Shuvo、Xing He、Mithun Ghosh 和 Ding-Shyue Yang 我们报告了在原子水平上观察到的跨多组分分子连接的动态能量传输。在与链烷硫醇自组装单层键合的 Au(111) 光激发后，早期就揭示了清晰的能量转移时间序列：从金表面层 t…[Phys.莱特牧师。 137, 038001] 2026 年 7 月 13 日星期一发布</w:t>
      </w:r>
    </w:p>
    <w:p>
      <w:pPr>
        <w:spacing w:before="0" w:after="200" w:lineRule="auto" w:line="276"/>
      </w:pPr>
      <w:r>
        <w:rPr>
          <w:b/>
        </w:rPr>
        <w:t xml:space="preserve">Abstract (EN): </w:t>
      </w:r>
      <w:r>
        <w:t>Author(s): Md. Shahriar Hossain Shuvo, Xing He, Mithun Ghosh, and Ding-Shyue YangWe report dynamic energy transport across multicomponent molecular junctions observed at the atomic level. A clear temporal sequence of energy transfer is revealed at early times following photoexcitation of Au(111) bonded with self-assembled monolayers of alkanethiols: from the gold surface layer t…[Phys. Rev. Lett. 137, 038001] Published Mon Jul 13, 2026</w:t>
      </w:r>
    </w:p>
    <w:p>
      <w:pPr>
        <w:spacing w:before="120" w:after="120"/>
      </w:pPr>
      <w:r>
        <w:rPr>
          <w:sz w:val="18"/>
        </w:rPr>
        <w:t>——————————————————————————————————————————————————————————————————————</w:t>
      </w:r>
    </w:p>
    <w:p>
      <w:pPr>
        <w:spacing w:before="160" w:after="40" w:line="240" w:lineRule="auto"/>
      </w:pPr>
      <w:r>
        <w:rPr>
          <w:b/>
        </w:rPr>
        <w:t xml:space="preserve">[13] </w:t>
      </w:r>
      <w:hyperlink r:id="rId185">
        <w:r>
          <w:rPr>
            <w:color w:val="1155CC"/>
            <w:u w:val="single"/>
          </w:rPr>
          <w:t>信息平衡的热操作</w:t>
        </w:r>
      </w:hyperlink>
    </w:p>
    <w:p>
      <w:pPr>
        <w:spacing w:before="0" w:after="80"/>
      </w:pPr>
      <w:r>
        <w:rPr>
          <w:i/>
          <w:sz w:val="20"/>
        </w:rPr>
        <w:t>EN: Thermal Operations from Informational Equilibrium</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186">
        <w:r>
          <w:rPr>
            <w:color w:val="1155CC"/>
            <w:u w:val="single"/>
          </w:rPr>
          <w:t>10.1103/lm3h-c5f5</w:t>
        </w:r>
      </w:hyperlink>
    </w:p>
    <w:p>
      <w:pPr>
        <w:spacing w:before="0" w:after="120"/>
      </w:pPr>
      <w:r>
        <w:rPr>
          <w:b/>
        </w:rPr>
        <w:t xml:space="preserve">Notes: </w:t>
      </w:r>
      <w:r>
        <w:t>abstract_source=rss_description</w:t>
      </w:r>
    </w:p>
    <w:p>
      <w:pPr>
        <w:spacing w:before="0" w:after="80" w:lineRule="auto" w:line="276"/>
      </w:pPr>
      <w:r>
        <w:rPr>
          <w:b/>
        </w:rPr>
        <w:t xml:space="preserve">摘要（ZH）: </w:t>
      </w:r>
      <w:r>
        <w:t>作者：Seok Hyung Lie、Jeongrak Son、Paul Boes、Nelly H. Y. Ng 和 Henrik Wilming 热运算是量子通道，在导出量子系统中的热力学限制方面发挥着核心作用。然而，它们最初是由实施程序而不是基本原则来定义的。已经提出了热过程的替代模型，但它们......[物理。莱特牧师。 137, 030403] 2026 年 7 月 13 日星期一发布</w:t>
      </w:r>
    </w:p>
    <w:p>
      <w:pPr>
        <w:spacing w:before="0" w:after="200" w:lineRule="auto" w:line="276"/>
      </w:pPr>
      <w:r>
        <w:rPr>
          <w:b/>
        </w:rPr>
        <w:t xml:space="preserve">Abstract (EN): </w:t>
      </w:r>
      <w:r>
        <w:t>Author(s): Seok Hyung Lie, Jeongrak Son, Paul Boes, Nelly H. Y. Ng, and Henrik WilmingThermal operations are quantum channels that play a central role in deriving thermodynamic limitations in quantum systems. However, they were originally defined by implementation procedures rather than by fundamental principles. Alternative models of thermal processes have been proposed, but they ob…[Phys. Rev. Lett. 137, 030403] Published Mon Jul 13, 2026</w:t>
      </w:r>
    </w:p>
    <w:p>
      <w:pPr>
        <w:spacing w:before="120" w:after="120"/>
      </w:pPr>
      <w:r>
        <w:rPr>
          <w:sz w:val="18"/>
        </w:rPr>
        <w:t>——————————————————————————————————————————————————————————————————————</w:t>
      </w:r>
    </w:p>
    <w:p>
      <w:pPr>
        <w:spacing w:before="160" w:after="40" w:line="240" w:lineRule="auto"/>
      </w:pPr>
      <w:r>
        <w:rPr>
          <w:b/>
        </w:rPr>
        <w:t xml:space="preserve">[14] </w:t>
      </w:r>
      <w:hyperlink r:id="rId187">
        <w:r>
          <w:rPr>
            <w:color w:val="1155CC"/>
            <w:u w:val="single"/>
          </w:rPr>
          <w:t>振动熵和相变工程：增强 n 型热原电池的协同方法</w:t>
        </w:r>
      </w:hyperlink>
    </w:p>
    <w:p>
      <w:pPr>
        <w:spacing w:before="0" w:after="80"/>
      </w:pPr>
      <w:r>
        <w:rPr>
          <w:i/>
          <w:sz w:val="20"/>
        </w:rPr>
        <w:t>EN: Vibrational Entropy and Phase Transition Engineering: A Synergistic Approach to Enhancing n -type Thermogalvanic Cells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188">
        <w:r>
          <w:rPr>
            <w:color w:val="1155CC"/>
            <w:u w:val="single"/>
          </w:rPr>
          <w:t>10.1021/acsami.6c10143</w:t>
        </w:r>
      </w:hyperlink>
    </w:p>
    <w:p>
      <w:pPr>
        <w:spacing w:before="0" w:after="120"/>
      </w:pPr>
      <w:r>
        <w:rPr>
          <w:b/>
        </w:rPr>
        <w:t xml:space="preserve">Notes: </w:t>
      </w:r>
      <w:r>
        <w:t>abstract_source=pubmed</w:t>
      </w:r>
    </w:p>
    <w:p>
      <w:pPr>
        <w:spacing w:before="0" w:after="80" w:lineRule="auto" w:line="276"/>
      </w:pPr>
      <w:r>
        <w:rPr>
          <w:b/>
        </w:rPr>
        <w:t xml:space="preserve">摘要（ZH）: </w:t>
      </w:r>
      <w:r>
        <w:t>热原电池（TGC）利用氧化还原反应过程中的熵变将热能转化为电能，从而产生热电（Se）。虽然溶剂化熵变化的作用已得到充分证实，但其他熵贡献的影响在很大程度上仍未得到探索。这项研究报告了前所未有的发现，即脂肪链的固有振动熵变（ΔSint）可以显着增强 TGC 的热电势。此外，利用与相变相关的熵变化来最大化 Se。为了实现这一概念，设计并合成了共聚物聚（N-异丙基丙烯酰胺-co-4-（丙烯酰氧基）丁基二茂铁甲酸酯）P（NIPAM-co-ABFC），它协同集成了振动和相变驱动的熵效应。在此设计中，ABFC 提供了显着的固有振动熵变，而 PNIPAM 则充当热响应组件，在其相变时产生较大的熵变。这些发现得到了密度泛函理论（DFT）和分子动力学（MD）模拟的支持。由此产生的 n 型 TGC 实现了 3.64 mV K-1 的创纪录高热电势，超过了之前报道的其他水性 n 型 TGC。这项工作不仅引入了一种提高热电势的新策略，而且还提供了对溶剂化熵之外的熵贡献的更深入理解。</w:t>
      </w:r>
    </w:p>
    <w:p>
      <w:pPr>
        <w:spacing w:before="0" w:after="200" w:lineRule="auto" w:line="276"/>
      </w:pPr>
      <w:r>
        <w:rPr>
          <w:b/>
        </w:rPr>
        <w:t xml:space="preserve">Abstract (EN): </w:t>
      </w:r>
      <w:r>
        <w:t>Thermogalvanic cells (TGCs) convert thermal energy into electrical energy by utilizing the entropy change during redox reactions to generate thermopower (Se). While the role of solvation entropy change is well-established, the influence of other entropic contributions remains largely unexplored. This study reports the unprecedented discovery that the intrinsic vibrational entropy change (ΔSint) of aliphatic chains can significantly enhance the thermopower of TGCs. Furthermore, entropy changes associated with phase transition are harnessed to maximize Se. To realize this concept, the copolymer poly(N-isopropylacrylamide-co-4-(acryloyloxy)butyl ferrocenecarboxylate) P(NIPAM-co-ABFC) is designed and synthesized, which synergistically integrates vibrational and phase-transition-driven entropy effects. In this design, ABFC provides a substantial intrinsic vibrational entropy change, while PNIPAM functions as a thermoresponsive component, generating a large entropic change upon its phase transition. These findings are supported by density functional theory (DFT) and molecular dynamic (MD) simulation. The resulting n-type TGCs achieve a record-high thermopower of 3.64 mV K-1, surpassing other previously reported aqueous n-type TGCs. This work not only introduces a new strategy for boosting thermopower but also provides a deeper understanding of the entropic contributions beyond solvation entropy.</w:t>
      </w:r>
    </w:p>
    <w:p>
      <w:pPr>
        <w:spacing w:before="120" w:after="120"/>
      </w:pPr>
      <w:r>
        <w:rPr>
          <w:sz w:val="18"/>
        </w:rPr>
        <w:t>——————————————————————————————————————————————————————————————————————</w:t>
      </w:r>
    </w:p>
    <w:p>
      <w:pPr>
        <w:spacing w:before="160" w:after="40" w:line="240" w:lineRule="auto"/>
      </w:pPr>
      <w:r>
        <w:rPr>
          <w:b/>
        </w:rPr>
        <w:t xml:space="preserve">[15] </w:t>
      </w:r>
      <w:hyperlink r:id="rId189">
        <w:r>
          <w:rPr>
            <w:color w:val="1155CC"/>
            <w:u w:val="single"/>
          </w:rPr>
          <w:t>反常热流和具有（不）确定因果顺序的量子奥托发动机</w:t>
        </w:r>
      </w:hyperlink>
    </w:p>
    <w:p>
      <w:pPr>
        <w:spacing w:before="0" w:after="80"/>
      </w:pPr>
      <w:r>
        <w:rPr>
          <w:i/>
          <w:sz w:val="20"/>
        </w:rPr>
        <w:t>EN: Anomalous Heat Flows and Quantum Otto Engine with (In)definite Causal Order</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190">
        <w:r>
          <w:rPr>
            <w:color w:val="1155CC"/>
            <w:u w:val="single"/>
          </w:rPr>
          <w:t>10.1103/sx1m-pdhz</w:t>
        </w:r>
      </w:hyperlink>
    </w:p>
    <w:p>
      <w:pPr>
        <w:spacing w:before="0" w:after="120"/>
      </w:pPr>
      <w:r>
        <w:rPr>
          <w:b/>
        </w:rPr>
        <w:t xml:space="preserve">Notes: </w:t>
      </w:r>
      <w:r>
        <w:t>abstract_source=rss_description</w:t>
      </w:r>
    </w:p>
    <w:p>
      <w:pPr>
        <w:spacing w:before="0" w:after="80" w:lineRule="auto" w:line="276"/>
      </w:pPr>
      <w:r>
        <w:rPr>
          <w:b/>
        </w:rPr>
        <w:t xml:space="preserve">摘要（ZH）: </w:t>
      </w:r>
      <w:r>
        <w:t>作者：薛庆峰、张琪、庄旭才、张英杰、夏云杰、恩里科·鲁索、朱利奥·奇里贝拉、罗萨里奥·洛·弗兰科和满中晓热量自发地从较高温度流向较低温度的原理是经典热力学的基石。虽然这一原理适用于处于平衡状态的宏观系统，但在这里我们表明，当量子系统在不确定的状态下经历两个热化过程时……[物理学。莱特牧师。 137, 030404] 2026 年 7 月 14 日星期二发布</w:t>
      </w:r>
    </w:p>
    <w:p>
      <w:pPr>
        <w:spacing w:before="0" w:after="200" w:lineRule="auto" w:line="276"/>
      </w:pPr>
      <w:r>
        <w:rPr>
          <w:b/>
        </w:rPr>
        <w:t xml:space="preserve">Abstract (EN): </w:t>
      </w:r>
      <w:r>
        <w:t>Author(s): Qing-Feng Xue, Qi Zhang, Xu-Cai Zhuang, Ying-Jie Zhang, Yun-Jie Xia, Enrico Russo, Giulio Chiribella, Rosario Lo Franco, and Zhong-Xiao ManThe principle that heat spontaneously flows from higher temperatures to lower temperatures is a cornerstone of classical thermodynamics. While this principle holds true for macroscopic systems at equilibrium, here we show that, when a quantum system undergoes two thermalization processes in an indef…[Phys. Rev. Lett. 137, 030404] Published Tue Jul 14, 2026</w:t>
      </w:r>
    </w:p>
    <w:p>
      <w:pPr>
        <w:spacing w:before="120" w:after="120"/>
      </w:pPr>
      <w:r>
        <w:rPr>
          <w:sz w:val="18"/>
        </w:rPr>
        <w:t>——————————————————————————————————————————————————————————————————————</w:t>
      </w:r>
    </w:p>
    <w:p>
      <w:pPr>
        <w:spacing w:before="160" w:after="40" w:line="240" w:lineRule="auto"/>
      </w:pPr>
      <w:r>
        <w:rPr>
          <w:b/>
        </w:rPr>
        <w:t xml:space="preserve">[16] </w:t>
      </w:r>
      <w:hyperlink r:id="rId191">
        <w:r>
          <w:rPr>
            <w:color w:val="1155CC"/>
            <w:u w:val="single"/>
          </w:rPr>
          <w:t>用于地下深处冷却的无动力上流二氧化碳制冷系统：热力学、经济和环境性能</w:t>
        </w:r>
      </w:hyperlink>
    </w:p>
    <w:p>
      <w:pPr>
        <w:spacing w:before="0" w:after="80"/>
      </w:pPr>
      <w:r>
        <w:rPr>
          <w:i/>
          <w:sz w:val="20"/>
        </w:rPr>
        <w:t>EN: Unpowered upward flow CO₂ refrigeration system for deep-underground cooling: thermodynamic, economic, and environmental performance</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92">
        <w:r>
          <w:rPr>
            <w:color w:val="1155CC"/>
            <w:u w:val="single"/>
          </w:rPr>
          <w:t>本质吸湿水凝胶中的水分吸附和水合动力学</w:t>
        </w:r>
      </w:hyperlink>
    </w:p>
    <w:p>
      <w:pPr>
        <w:spacing w:before="0" w:after="80"/>
      </w:pPr>
      <w:r>
        <w:rPr>
          <w:i/>
          <w:sz w:val="20"/>
        </w:rPr>
        <w:t>EN: Moisture sorption and hydration dynamics in intrinsically hygroscopic hydrogels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93">
        <w:r>
          <w:rPr>
            <w:color w:val="1155CC"/>
            <w:u w:val="single"/>
          </w:rPr>
          <w:t>10.1126/sciadv.aeh1679</w:t>
        </w:r>
      </w:hyperlink>
    </w:p>
    <w:p>
      <w:pPr>
        <w:spacing w:before="0" w:after="120"/>
      </w:pPr>
      <w:r>
        <w:rPr>
          <w:b/>
        </w:rPr>
        <w:t xml:space="preserve">Notes: </w:t>
      </w:r>
      <w:r>
        <w:t>abstract_source=crossref</w:t>
      </w:r>
    </w:p>
    <w:p>
      <w:pPr>
        <w:spacing w:before="0" w:after="80" w:lineRule="auto" w:line="276"/>
      </w:pPr>
      <w:r>
        <w:rPr>
          <w:b/>
        </w:rPr>
        <w:t xml:space="preserve">摘要（ZH）: </w:t>
      </w:r>
      <w:r>
        <w:t>在较宽湿度范围内捕获水蒸气的吸湿材料对于包括大气水收集、湿度控制和热管理在内的新兴应用非常重要。水凝胶吸附剂很有吸引力，因为它们可以储存大量的水，同时保持固体状，但常见的亲水凝胶在低相对湿度 (RH) 下吸附很少的蒸汽，除非潮解盐引入吸湿性。在这里，我们报道了由肌苷和锌组装而成的本质吸湿水凝胶（IHH）</w:t>
      </w:r>
      <w:r>
        <w:t xml:space="preserve"> </w:t>
      </w:r>
      <w:r>
        <w:t>2+</w:t>
      </w:r>
      <w:r>
        <w:t xml:space="preserve"> </w:t>
      </w:r>
      <w:r>
        <w:t>通过pH控制的超分子配位。 IHH 显示接近 0 RH 时吸湿开始，达到 0.17 g g</w:t>
      </w:r>
      <w:r>
        <w:t xml:space="preserve"> </w:t>
      </w:r>
      <w:r>
        <w:t>−1</w:t>
      </w:r>
      <w:r>
        <w:t xml:space="preserve"> </w:t>
      </w:r>
      <w:r>
        <w:t>在 30% RH 下，同时保留高 RH 下的溶胀放大吸收（1.9 g g</w:t>
      </w:r>
      <w:r>
        <w:t xml:space="preserve"> </w:t>
      </w:r>
      <w:r>
        <w:t>−1</w:t>
      </w:r>
      <w:r>
        <w:t xml:space="preserve"> </w:t>
      </w:r>
      <w:r>
        <w:t>95% RH）和可逆循环。不同的凝胶 pH 值会重新编程协调微环境和网络结构，重塑早期吸附并改变吸收起始点。实验和模拟表明，可水合的 Zn 中心基序是重要的早期水合位点，而 pH 依赖性网络结构进一步调节水合生长。这些结果为无盐潮解的吸湿水凝胶提供了配位化学途径。</w:t>
      </w:r>
    </w:p>
    <w:p>
      <w:pPr>
        <w:spacing w:before="0" w:after="200" w:lineRule="auto" w:line="276"/>
      </w:pPr>
      <w:r>
        <w:rPr>
          <w:b/>
        </w:rPr>
        <w:t xml:space="preserve">Abstract (EN): </w:t>
      </w:r>
      <w:r>
        <w:t>Hygroscopic materials that capture water vapor across a wide humidity range are important for emerging applications including atmospheric water harvesting, moisture control, and thermal management. Hydrogel sorbents are attractive because they can store large amounts of water while remaining solid-like, yet common hydrophilic gels sorb little vapor at low relative humidity (RH) unless hygroscopicity is introduced by deliquescent salts. Here, we report intrinsically hygroscopic hydrogels (IHHs) assembled from inosine and Zn</w:t>
      </w:r>
      <w:r>
        <w:t xml:space="preserve"> </w:t>
      </w:r>
      <w:r>
        <w:t>2+</w:t>
      </w:r>
      <w:r>
        <w:t xml:space="preserve"> </w:t>
      </w:r>
      <w:r>
        <w:t>through pH-controlled supramolecular coordination. The IHHs show a moisture-sorption onset near zero RH, reaching 0.17 g g</w:t>
      </w:r>
      <w:r>
        <w:t xml:space="preserve"> </w:t>
      </w:r>
      <w:r>
        <w:t>−1</w:t>
      </w:r>
      <w:r>
        <w:t xml:space="preserve"> </w:t>
      </w:r>
      <w:r>
        <w:t>at 30% RH while retaining swelling-amplified uptake at high RH (1.9 g g</w:t>
      </w:r>
      <w:r>
        <w:t xml:space="preserve"> </w:t>
      </w:r>
      <w:r>
        <w:t>−1</w:t>
      </w:r>
      <w:r>
        <w:t xml:space="preserve"> </w:t>
      </w:r>
      <w:r>
        <w:t>at 95% RH) and reversible cycling. Varying gelation pH reprograms the coordination microenvironment and network structure, reshaping early-stage sorption and shifting uptake onset. Experiments and simulations indicate that hydration-accessible Zn-centered motifs serve as important early hydration loci, while pH-dependent network structure further modulates hydration growth. These results provide a coordination-chemistry route to hygroscopic hydrogels without salt deliquescence.</w:t>
      </w:r>
    </w:p>
    <w:p>
      <w:pPr>
        <w:spacing w:before="120" w:after="120"/>
      </w:pPr>
      <w:r>
        <w:rPr>
          <w:sz w:val="18"/>
        </w:rPr>
        <w:t>——————————————————————————————————————————————————————————————————————</w:t>
      </w:r>
    </w:p>
    <w:p>
      <w:pPr>
        <w:spacing w:before="160" w:after="40" w:line="240" w:lineRule="auto"/>
      </w:pPr>
      <w:r>
        <w:rPr>
          <w:b/>
        </w:rPr>
        <w:t xml:space="preserve">[18] </w:t>
      </w:r>
      <w:hyperlink r:id="rId194">
        <w:r>
          <w:rPr>
            <w:color w:val="1155CC"/>
            <w:u w:val="single"/>
          </w:rPr>
          <w:t>裂缝约束多孔介质中的超达西流动行为</w:t>
        </w:r>
      </w:hyperlink>
    </w:p>
    <w:p>
      <w:pPr>
        <w:spacing w:before="0" w:after="80"/>
      </w:pPr>
      <w:r>
        <w:rPr>
          <w:i/>
          <w:sz w:val="20"/>
        </w:rPr>
        <w:t>EN: Super-Darcy flow behavior in fracture-confined porous media</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95">
        <w:r>
          <w:rPr>
            <w:color w:val="1155CC"/>
            <w:u w:val="single"/>
          </w:rPr>
          <w:t>10.1073/pnas.2613597123</w:t>
        </w:r>
      </w:hyperlink>
    </w:p>
    <w:p>
      <w:pPr>
        <w:spacing w:before="0" w:after="120"/>
      </w:pPr>
      <w:r>
        <w:rPr>
          <w:b/>
        </w:rPr>
        <w:t xml:space="preserve">Notes: </w:t>
      </w:r>
      <w:r>
        <w:t>abstract_source=crossref</w:t>
      </w:r>
    </w:p>
    <w:p>
      <w:pPr>
        <w:spacing w:before="0" w:after="80" w:lineRule="auto" w:line="276"/>
      </w:pPr>
      <w:r>
        <w:rPr>
          <w:b/>
        </w:rPr>
        <w:t xml:space="preserve">摘要（ZH）: </w:t>
      </w:r>
      <w:r>
        <w:t>裂缝内的颗粒沉积和迁移可以将开放的空隙空间重组为非均质裂缝限制多孔介质（FCPM），但这些新兴系统的宏观流动行为仍未解决。这里，计算流体动力学-离散元法 (CFD-DEM) 模拟用于解决颗粒迁移和沉积问题，而耦合自由流和渗流模型则用于表征 FCPM 中的流体流动。我们发现，在固定的雷诺数下，适度的颗粒沉积可以降低相对于初始开放裂缝的整体压降。在高雷诺数下，FCPM 上的压降不仅超过达西定律的预测（非达西行为），而且有趣的是，还可能低于它们，这是我们称之为超达西行为的现象。这种违反直觉的效应是由沉积多孔区域和相邻开放区域之间的流动交换引起的，这改变了涡流的形成和增长，从而拓宽了主流通道。当沉积多孔区域的渗透率在 1 × 10</w:t>
      </w:r>
      <w:r>
        <w:t xml:space="preserve"> </w:t>
      </w:r>
      <w:r>
        <w:t>−12</w:t>
      </w:r>
      <w:r>
        <w:t xml:space="preserve"> </w:t>
      </w:r>
      <w:r>
        <w:t>至 1 × 10</w:t>
      </w:r>
      <w:r>
        <w:t xml:space="preserve"> </w:t>
      </w:r>
      <w:r>
        <w:t>−7</w:t>
      </w:r>
      <w:r>
        <w:t xml:space="preserve"> </w:t>
      </w:r>
      <w:r>
        <w:t>米</w:t>
      </w:r>
      <w:r>
        <w:rPr>
          <w:vertAlign w:val="subscript"/>
        </w:rPr>
        <w:t>2</w:t>
      </w:r>
      <w:r>
        <w:t>，确定一个渗透率窗口，其中沉积-运移将孔隙尺度结构与裂缝尺度水力学最强烈地耦合。这项研究揭示了颗粒沉积和传输如何控制裂缝通道中的宏观流动行为，为微流体的流体流动控制和预测提供了重要的见解。</w:t>
      </w:r>
    </w:p>
    <w:p>
      <w:pPr>
        <w:spacing w:before="0" w:after="200" w:lineRule="auto" w:line="276"/>
      </w:pPr>
      <w:r>
        <w:rPr>
          <w:b/>
        </w:rPr>
        <w:t xml:space="preserve">Abstract (EN): </w:t>
      </w:r>
      <w:r>
        <w:t>Particle deposition and migration within fractures can reorganize open void space into heterogeneous fracture-confined porous media (FCPM), yet the macroscopic flow behavior of these emergent systems remains unresolved. Here, Computational Fluid Dynamics–Discrete Element Method (CFD–DEM) simulations were used to resolve particle migration and deposition, whereas a coupled free-flow and seepage-flow model was employed to characterize fluid flow in FCPM. We find that at a fixed Reynolds number, modest particle deposition can lower the overall pressure drop relative to that of the initially open fracture. At high Reynolds numbers, the pressure drops across FCPM not only exceed Darcy’s law predictions (non-Darcy behavior) but, intriguingly, can also fall below them, which is a phenomenon we term super-Darcy behavior. This counterintuitive effect arises from flow exchange between the deposited porous region and the adjacent open region, which modifies eddy formation and growth, thereby broadening the main flow channel. This effect is pronounced when the permeability of the deposited porous region lies from 1 × 10</w:t>
      </w:r>
      <w:r>
        <w:t xml:space="preserve"> </w:t>
      </w:r>
      <w:r>
        <w:t>−12</w:t>
      </w:r>
      <w:r>
        <w:t xml:space="preserve"> </w:t>
      </w:r>
      <w:r>
        <w:t>to 1 × 10</w:t>
      </w:r>
      <w:r>
        <w:t xml:space="preserve"> </w:t>
      </w:r>
      <w:r>
        <w:t>−7</w:t>
      </w:r>
      <w:r>
        <w:t xml:space="preserve"> </w:t>
      </w:r>
      <w:r>
        <w:t>m</w:t>
      </w:r>
      <w:r>
        <w:rPr>
          <w:vertAlign w:val="subscript"/>
        </w:rPr>
        <w:t>2</w:t>
      </w:r>
      <w:r>
        <w:t>, identifying a permeability window in which deposition–migration most strongly couples pore-scale structure to fracture-scale hydraulics. This study reveals how particle deposition and transport govern macroscopic flow behavior in fractured channels, offering critical insights for fluid flow control and prediction from microfluidic devices to subsurface energy reservoirs.</w:t>
      </w:r>
    </w:p>
    <w:p>
      <w:pPr>
        <w:spacing w:before="120" w:after="120"/>
      </w:pPr>
      <w:r>
        <w:rPr>
          <w:sz w:val="18"/>
        </w:rPr>
        <w:t>——————————————————————————————————————————————————————————————————————</w:t>
      </w:r>
    </w:p>
    <w:p>
      <w:pPr>
        <w:spacing w:before="160" w:after="40" w:line="240" w:lineRule="auto"/>
      </w:pPr>
      <w:r>
        <w:rPr>
          <w:b/>
        </w:rPr>
        <w:t xml:space="preserve">[19] </w:t>
      </w:r>
      <w:hyperlink r:id="rId196">
        <w:r>
          <w:rPr>
            <w:color w:val="1155CC"/>
            <w:u w:val="single"/>
          </w:rPr>
          <w:t>由N-混杂六菲林(2.1.1.1.1.1)合成三重N-混杂六菲林(1.1.1.1.1.0)：芳香性调节、金属配位和光热转换</w:t>
        </w:r>
      </w:hyperlink>
    </w:p>
    <w:p>
      <w:pPr>
        <w:spacing w:before="0" w:after="80"/>
      </w:pPr>
      <w:r>
        <w:rPr>
          <w:i/>
          <w:sz w:val="20"/>
        </w:rPr>
        <w:t>EN: Triply N‐Confused Hexaphyrins(1.1.1.1.1.0) Synthesized From N‐Confused Hexaphyrin(2.1.1.1.1.1): Aromaticity Modulation, Metal Coordination, and Photothermal Conversion</w:t>
      </w:r>
    </w:p>
    <w:p>
      <w:pPr>
        <w:spacing w:before="0" w:after="120"/>
      </w:pPr>
      <w:r>
        <w:rPr>
          <w:b/>
        </w:rPr>
        <w:t xml:space="preserve">Source: </w:t>
      </w:r>
      <w:r>
        <w:t>Wiley: Angewandte Chemie International Edition: Table of Contents</w:t>
      </w:r>
      <w:r>
        <w:t xml:space="preserve">    </w:t>
      </w:r>
      <w:r>
        <w:rPr>
          <w:b/>
        </w:rPr>
        <w:t xml:space="preserve">Pub date: </w:t>
      </w:r>
      <w:r>
        <w:t>2026-07-15 12:05:31+00:00</w:t>
      </w:r>
      <w:r>
        <w:t xml:space="preserve">    </w:t>
      </w:r>
      <w:r>
        <w:rPr>
          <w:b/>
        </w:rPr>
        <w:t xml:space="preserve">DOI: </w:t>
      </w:r>
      <w:hyperlink r:id="rId197">
        <w:r>
          <w:rPr>
            <w:color w:val="1155CC"/>
            <w:u w:val="single"/>
          </w:rPr>
          <w:t>10.1002/anie.4566077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抗芳香族化合物表现出有趣的结构、反应性和物理化学性质。为了解决开发稳定的抗芳香族卟啉类化合物的挑战，利用亚乙烯基桥和α,β'连接的吡咯单元合成了28π莫比乌斯芳香族N-稠合氧代六菲林(2.1.1.1.1.1)(</w:t>
      </w:r>
      <w:r>
        <w:rPr>
          <w:vertAlign w:val="subscript"/>
        </w:rPr>
        <w:t>1</w:t>
      </w:r>
      <w:r>
        <w:t>）。随后氧化C</w:t>
      </w:r>
      <w:r>
        <w:t xml:space="preserve"> </w:t>
      </w:r>
      <w:r>
        <w:t>β</w:t>
      </w:r>
      <w:r>
        <w:t xml:space="preserve"> </w:t>
      </w:r>
      <w:r>
        <w:t>–C</w:t>
      </w:r>
      <w:r>
        <w:t xml:space="preserve"> </w:t>
      </w:r>
      <w:r>
        <w:t>β</w:t>
      </w:r>
      <w:r>
        <w:t xml:space="preserve"> </w:t>
      </w:r>
      <w:r>
        <w:t>融合提供了稳定的Hückel反芳香形式三重N-混淆的氧化六菲林(1.1.1.1.1.0)(</w:t>
      </w:r>
      <w:r>
        <w:rPr>
          <w:vertAlign w:val="subscript"/>
        </w:rPr>
        <w:t>2</w:t>
      </w:r>
      <w:r>
        <w:t>）作为具有两个外围NH部分的24和28π系统的混合体，能够与相邻的C进一步C-N融合</w:t>
      </w:r>
      <w:r>
        <w:rPr>
          <w:vertAlign w:val="subscript"/>
        </w:rPr>
        <w:t>6</w:t>
      </w:r>
      <w:r>
        <w:t>F</w:t>
      </w:r>
      <w:r>
        <w:rPr>
          <w:vertAlign w:val="subscript"/>
        </w:rPr>
        <w:t>5</w:t>
      </w:r>
      <w:r>
        <w:t>在碱性条件下生成相应的N-混淆二氧化六菲林(1.1.1.1.1.0) (</w:t>
      </w:r>
      <w:r>
        <w:rPr>
          <w:vertAlign w:val="subscript"/>
        </w:rPr>
        <w:t>3</w:t>
      </w:r>
      <w:r>
        <w:t>），它显示了调制电路的休克尔反芳香性。不同金属在不同配位腔内的配位提供了两种单铼配合物</w:t>
      </w:r>
      <w:r>
        <w:t xml:space="preserve"> </w:t>
      </w:r>
      <w:r>
        <w:t>3-Re-1</w:t>
      </w:r>
      <w:r>
        <w:t xml:space="preserve"> </w:t>
      </w:r>
      <w:r>
        <w:t>(NNη</w:t>
      </w:r>
      <w:r>
        <w:rPr>
          <w:vertAlign w:val="subscript"/>
        </w:rPr>
        <w:t>2</w:t>
      </w:r>
      <w:r>
        <w:t>‐协调）和</w:t>
      </w:r>
      <w:r>
        <w:t xml:space="preserve"> </w:t>
      </w:r>
      <w:r>
        <w:t>3-Re-2</w:t>
      </w:r>
      <w:r>
        <w:t xml:space="preserve"> </w:t>
      </w:r>
      <w:r>
        <w:t>（NNO 配位）与单钯配合物</w:t>
      </w:r>
      <w:r>
        <w:t xml:space="preserve"> </w:t>
      </w:r>
      <w:r>
        <w:t>3-Pd-1</w:t>
      </w:r>
      <w:r>
        <w:t xml:space="preserve"> </w:t>
      </w:r>
      <w:r>
        <w:t>（CNNO 协调）具有调制的反芳香性。在此基础上，异双金属配合物</w:t>
      </w:r>
      <w:r>
        <w:t xml:space="preserve"> </w:t>
      </w:r>
      <w:r>
        <w:t>3-O-Pd-Re</w:t>
      </w:r>
      <w:r>
        <w:t xml:space="preserve"> </w:t>
      </w:r>
      <w:r>
        <w:t>与缀合物合成</w:t>
      </w:r>
    </w:p>
    <w:p>
      <w:pPr>
        <w:spacing w:before="0" w:after="200" w:lineRule="auto" w:line="276"/>
      </w:pPr>
      <w:r>
        <w:rPr>
          <w:b/>
        </w:rPr>
        <w:t xml:space="preserve">Abstract (EN): </w:t>
      </w:r>
      <w:r>
        <w:t>Antiaromatic compounds exhibit intriguing structures, reactivity, and physicochemical properties. To address the challenge in developing stable antiaromatic porphyrinoids, a vinylene bridge and an α,β′‐linked pyrrole unit were used to synthesize a 28π Möbius aromatic N‐confused oxohexaphyrin(2.1.1.1.1.1) (</w:t>
      </w:r>
      <w:r>
        <w:rPr>
          <w:vertAlign w:val="subscript"/>
        </w:rPr>
        <w:t>1</w:t>
      </w:r>
      <w:r>
        <w:t>). Subsequent oxidative C</w:t>
      </w:r>
      <w:r>
        <w:t xml:space="preserve"> </w:t>
      </w:r>
      <w:r>
        <w:t>β</w:t>
      </w:r>
      <w:r>
        <w:t xml:space="preserve"> </w:t>
      </w:r>
      <w:r>
        <w:t>–C</w:t>
      </w:r>
      <w:r>
        <w:t xml:space="preserve"> </w:t>
      </w:r>
      <w:r>
        <w:t>β</w:t>
      </w:r>
      <w:r>
        <w:t xml:space="preserve"> </w:t>
      </w:r>
      <w:r>
        <w:t>fusion afforded a stable Hückel antiaromatic formally triply N‐confused oxohexaphyrin(1.1.1.1.1.0) (</w:t>
      </w:r>
      <w:r>
        <w:rPr>
          <w:vertAlign w:val="subscript"/>
        </w:rPr>
        <w:t>2</w:t>
      </w:r>
      <w:r>
        <w:t>) as a hybrid of 24 and 28π systems with two peripheral NH moieties, enabling further C–N fusion with the adjacent C</w:t>
      </w:r>
      <w:r>
        <w:rPr>
          <w:vertAlign w:val="subscript"/>
        </w:rPr>
        <w:t>6</w:t>
      </w:r>
      <w:r>
        <w:t>F</w:t>
      </w:r>
      <w:r>
        <w:rPr>
          <w:vertAlign w:val="subscript"/>
        </w:rPr>
        <w:t>5</w:t>
      </w:r>
      <w:r>
        <w:t>moiety under basic conditions to yield the corresponding N‐confused dioxohexaphyrin(1.1.1.1.1.0) (</w:t>
      </w:r>
      <w:r>
        <w:rPr>
          <w:vertAlign w:val="subscript"/>
        </w:rPr>
        <w:t>3</w:t>
      </w:r>
      <w:r>
        <w:t>), which shows Hückel antiaromaticity with a modulated circuit. Coordination of various metals within the distinct coordination cavities afforded two mono‐rhenium complexes</w:t>
      </w:r>
      <w:r>
        <w:t xml:space="preserve"> </w:t>
      </w:r>
      <w:r>
        <w:t>3‐Re‐1</w:t>
      </w:r>
      <w:r>
        <w:t xml:space="preserve"> </w:t>
      </w:r>
      <w:r>
        <w:t>(NNη</w:t>
      </w:r>
      <w:r>
        <w:rPr>
          <w:vertAlign w:val="subscript"/>
        </w:rPr>
        <w:t>2</w:t>
      </w:r>
      <w:r>
        <w:t>‐coordinated) and</w:t>
      </w:r>
      <w:r>
        <w:t xml:space="preserve"> </w:t>
      </w:r>
      <w:r>
        <w:t>3‐Re‐2</w:t>
      </w:r>
      <w:r>
        <w:t xml:space="preserve"> </w:t>
      </w:r>
      <w:r>
        <w:t>(NNO‐coordinated) along with a mono‐Pd complex</w:t>
      </w:r>
      <w:r>
        <w:t xml:space="preserve"> </w:t>
      </w:r>
      <w:r>
        <w:t>3‐Pd‐1</w:t>
      </w:r>
      <w:r>
        <w:t xml:space="preserve"> </w:t>
      </w:r>
      <w:r>
        <w:t>(CNNO‐coordinated) with modulated antiaromaticity. On this basis, the heterobimetallic complex</w:t>
      </w:r>
      <w:r>
        <w:t xml:space="preserve"> </w:t>
      </w:r>
      <w:r>
        <w:t>3‐O‐Pd‐Re</w:t>
      </w:r>
      <w:r>
        <w:t xml:space="preserve"> </w:t>
      </w:r>
      <w:r>
        <w:t>was synthesized with the conjugation and antiaromaticity disrupted by further oxygenation. Notably, these compounds display distinctive near‐infrared (NIR) absorption, enabling pronounced photothermal conversion under 1064 nm laser irradiation with efficiencies up to 61.4%. This work composes an effective post‐fusion approach for developing multiply N‐confused porphyrinoids with tunable antiaromaticity and distinctive coordination properties to achieve efficient NIR photothermal conversion behavior.</w:t>
      </w:r>
    </w:p>
    <w:p>
      <w:pPr>
        <w:spacing w:before="120" w:after="120"/>
      </w:pPr>
      <w:r>
        <w:rPr>
          <w:sz w:val="18"/>
        </w:rPr>
        <w:t>——————————————————————————————————————————————————————————————————————</w:t>
      </w:r>
    </w:p>
    <w:p>
      <w:pPr>
        <w:spacing w:before="160" w:after="40" w:line="240" w:lineRule="auto"/>
      </w:pPr>
      <w:r>
        <w:rPr>
          <w:b/>
        </w:rPr>
        <w:t xml:space="preserve">[20] </w:t>
      </w:r>
      <w:hyperlink r:id="rId198">
        <w:r>
          <w:rPr>
            <w:color w:val="1155CC"/>
            <w:u w:val="single"/>
          </w:rPr>
          <w:t>异构二苯并二茚并菲双自由基：合成、结构、性质和用于成像的高效近红外光热转换</w:t>
        </w:r>
      </w:hyperlink>
    </w:p>
    <w:p>
      <w:pPr>
        <w:spacing w:before="0" w:after="80"/>
      </w:pPr>
      <w:r>
        <w:rPr>
          <w:i/>
          <w:sz w:val="20"/>
        </w:rPr>
        <w:t>EN: Isomeric Dibenzodiindenophenanthrene Diradicaloids: Synthesis, Structures, Properties, and Efficient NIR Photothermal Conversion for Imaging</w:t>
      </w:r>
    </w:p>
    <w:p>
      <w:pPr>
        <w:spacing w:before="0" w:after="120"/>
      </w:pPr>
      <w:r>
        <w:rPr>
          <w:b/>
        </w:rPr>
        <w:t xml:space="preserve">Source: </w:t>
      </w:r>
      <w:r>
        <w:t>Wiley: Angewandte Chemie International Edition: Table of Contents</w:t>
      </w:r>
      <w:r>
        <w:t xml:space="preserve">    </w:t>
      </w:r>
      <w:r>
        <w:rPr>
          <w:b/>
        </w:rPr>
        <w:t xml:space="preserve">Pub date: </w:t>
      </w:r>
      <w:r>
        <w:t>2026-07-15 12:10:41+00:00</w:t>
      </w:r>
      <w:r>
        <w:t xml:space="preserve">    </w:t>
      </w:r>
      <w:r>
        <w:rPr>
          <w:b/>
        </w:rPr>
        <w:t xml:space="preserve">DOI: </w:t>
      </w:r>
      <w:hyperlink r:id="rId199">
        <w:r>
          <w:rPr>
            <w:color w:val="1155CC"/>
            <w:u w:val="single"/>
          </w:rPr>
          <w:t>10.1002/anie.8469257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结构异构是调节有机双自由基基本性质的有效策略。在此，我们报告了一系列异构开壳多环烃（PH）的合成和表征（</w:t>
      </w:r>
      <w:r>
        <w:rPr>
          <w:vertAlign w:val="subscript"/>
        </w:rPr>
        <w:t>1</w:t>
      </w:r>
      <w:r>
        <w:t>–</w:t>
      </w:r>
      <w:r>
        <w:rPr>
          <w:vertAlign w:val="subscript"/>
        </w:rPr>
        <w:t>3</w:t>
      </w:r>
      <w:r>
        <w:t>）基于双环五[</w:t>
      </w:r>
      <w:r>
        <w:t xml:space="preserve"> </w:t>
      </w:r>
      <w:r>
        <w:t>乙</w:t>
      </w:r>
      <w:r>
        <w:t xml:space="preserve"> </w:t>
      </w:r>
      <w:r>
        <w:t>,</w:t>
      </w:r>
      <w:r>
        <w:t xml:space="preserve"> </w:t>
      </w:r>
      <w:r>
        <w:t>j</w:t>
      </w:r>
      <w:r>
        <w:t xml:space="preserve"> </w:t>
      </w:r>
      <w:r>
        <w:t>]菲骨架，其双自由基性质与其基于蒽的异构体的双自由基性质进行了比较。综合实验和理论研究表明，微妙的结构异构决定了它们独特的电子结构和性质，具有大的双自由基特征（</w:t>
      </w:r>
      <w:r>
        <w:t xml:space="preserve"> </w:t>
      </w:r>
      <w:r>
        <w:t>y</w:t>
      </w:r>
      <w:r>
        <w:rPr>
          <w:vertAlign w:val="subscript"/>
        </w:rPr>
        <w:t>0</w:t>
      </w:r>
      <w:r>
        <w:t>= 0.54–0.72)，小的单重态-三重态能隙 (Δ</w:t>
      </w:r>
      <w:r>
        <w:t xml:space="preserve"> </w:t>
      </w:r>
      <w:r>
        <w:t>乙</w:t>
      </w:r>
      <w:r>
        <w:t xml:space="preserve"> </w:t>
      </w:r>
      <w:r>
        <w:t>S-T</w:t>
      </w:r>
      <w:r>
        <w:t xml:space="preserve"> </w:t>
      </w:r>
      <w:r>
        <w:t>= -0.99 至 -2.79 kcal/mol），且 HOMO-LUMO 能隙较窄（0.90–1.16 eV）。它们表现出显着的多级可逆氧化还原行为，形成稳定的自由基阳离子、自由基阴离子、双阳离子和双阴离子，其双阳离子结构通过X射线晶体学分析明确证实。值得注意的是，化合物</w:t>
      </w:r>
      <w:r>
        <w:rPr>
          <w:vertAlign w:val="subscript"/>
        </w:rPr>
        <w:t>1</w:t>
      </w:r>
      <w:r>
        <w:t>–</w:t>
      </w:r>
      <w:r>
        <w:rPr>
          <w:vertAlign w:val="subscript"/>
        </w:rPr>
        <w:t>3</w:t>
      </w:r>
      <w:r>
        <w:t>对近红外（NIR）激光照射表现出快速响应，以及优异的光热（PT）稳定性、良好的PT转换效率和高质量的PT成像性能。这项工作不仅提供了对</w:t>
      </w:r>
    </w:p>
    <w:p>
      <w:pPr>
        <w:spacing w:before="0" w:after="200" w:lineRule="auto" w:line="276"/>
      </w:pPr>
      <w:r>
        <w:rPr>
          <w:b/>
        </w:rPr>
        <w:t xml:space="preserve">Abstract (EN): </w:t>
      </w:r>
      <w:r>
        <w:t>Structural isomerism is a powerful strategy to modulate the fundamental properties of organic diradicaloids. Herein, we report the synthesis and characterization of a series of isomeric open‐shell polycyclic hydrocarbons (PHs) (</w:t>
      </w:r>
      <w:r>
        <w:rPr>
          <w:vertAlign w:val="subscript"/>
        </w:rPr>
        <w:t>1</w:t>
      </w:r>
      <w:r>
        <w:t>–</w:t>
      </w:r>
      <w:r>
        <w:rPr>
          <w:vertAlign w:val="subscript"/>
        </w:rPr>
        <w:t>3</w:t>
      </w:r>
      <w:r>
        <w:t>) based on the dicyclopenta[</w:t>
      </w:r>
      <w:r>
        <w:t xml:space="preserve"> </w:t>
      </w:r>
      <w:r>
        <w:t>b</w:t>
      </w:r>
      <w:r>
        <w:t xml:space="preserve"> </w:t>
      </w:r>
      <w:r>
        <w:t>,</w:t>
      </w:r>
      <w:r>
        <w:t xml:space="preserve"> </w:t>
      </w:r>
      <w:r>
        <w:t>j</w:t>
      </w:r>
      <w:r>
        <w:t xml:space="preserve"> </w:t>
      </w:r>
      <w:r>
        <w:t>]phenanthrene framework, whose diradical properties are compared with those of their anthracene‐based isomers. Combined experimental and theoretical studies reveal that subtle structural isomerism dictates their distinct electronic structures and properties, featuring large diradical characters (</w:t>
      </w:r>
      <w:r>
        <w:t xml:space="preserve"> </w:t>
      </w:r>
      <w:r>
        <w:t>y</w:t>
      </w:r>
      <w:r>
        <w:rPr>
          <w:vertAlign w:val="subscript"/>
        </w:rPr>
        <w:t>0</w:t>
      </w:r>
      <w:r>
        <w:t>= 0.54–0.72), small singlet‐triplet energy gaps (Δ</w:t>
      </w:r>
      <w:r>
        <w:t xml:space="preserve"> </w:t>
      </w:r>
      <w:r>
        <w:t>E</w:t>
      </w:r>
      <w:r>
        <w:t xml:space="preserve"> </w:t>
      </w:r>
      <w:r>
        <w:t>S‐T</w:t>
      </w:r>
      <w:r>
        <w:t xml:space="preserve"> </w:t>
      </w:r>
      <w:r>
        <w:t>= −0.99 to −2.79 kcal/mol), and narrow HOMO‐LUMO energy gaps (0.90–1.16 eV). They exhibit remarkable multistage reversible redox behaviors, forming stable radical cations, radical anions, dications, and dianions, with the dicationic structures unambiguously confirmed by x‐ray crystallographic analysis. Notably, compounds</w:t>
      </w:r>
      <w:r>
        <w:rPr>
          <w:vertAlign w:val="subscript"/>
        </w:rPr>
        <w:t>1</w:t>
      </w:r>
      <w:r>
        <w:t>–</w:t>
      </w:r>
      <w:r>
        <w:rPr>
          <w:vertAlign w:val="subscript"/>
        </w:rPr>
        <w:t>3</w:t>
      </w:r>
      <w:r>
        <w:t>display fast responses to near‐infrared (NIR) laser irradiation, along with excellent photothermal (PT) stability, good PT conversion efficiency and high‐quality PT imaging performance. This work not only provides deep insights into the structure–property relationships of isomerism‐engineered diradical PHs but also establishes a robust molecular platform for advanced NIR PT materials.</w:t>
      </w:r>
    </w:p>
    <w:p>
      <w:pPr>
        <w:spacing w:before="120" w:after="120"/>
      </w:pPr>
      <w:r>
        <w:rPr>
          <w:sz w:val="18"/>
        </w:rPr>
        <w:t>——————————————————————————————————————————————————————————————————————</w:t>
      </w:r>
    </w:p>
    <w:p>
      <w:pPr>
        <w:spacing w:before="160" w:after="40" w:line="240" w:lineRule="auto"/>
      </w:pPr>
      <w:r>
        <w:rPr>
          <w:b/>
        </w:rPr>
        <w:t xml:space="preserve">[21] </w:t>
      </w:r>
      <w:hyperlink r:id="rId200">
        <w:r>
          <w:rPr>
            <w:color w:val="1155CC"/>
            <w:u w:val="single"/>
          </w:rPr>
          <w:t>以水电为主的电力系统中高温地热资源的优化利用</w:t>
        </w:r>
      </w:hyperlink>
    </w:p>
    <w:p>
      <w:pPr>
        <w:spacing w:before="0" w:after="80"/>
      </w:pPr>
      <w:r>
        <w:rPr>
          <w:i/>
          <w:sz w:val="20"/>
        </w:rPr>
        <w:t>EN: Optimal use of high-temperature geothermal resources in a hydropower dominated electricity system</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01">
        <w:r>
          <w:rPr>
            <w:color w:val="1155CC"/>
            <w:u w:val="single"/>
          </w:rPr>
          <w:t>通过结构-性能联系合理设计聚合物薄膜形态以增强缩合性能</w:t>
        </w:r>
      </w:hyperlink>
    </w:p>
    <w:p>
      <w:pPr>
        <w:spacing w:before="0" w:after="80"/>
      </w:pPr>
      <w:r>
        <w:rPr>
          <w:i/>
          <w:sz w:val="20"/>
        </w:rPr>
        <w:t>EN: Rational design of polymer film morphology via structure-performance linkage for enhanced condensation performance</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滴状冷凝对于发电、热管理和水收集中的传热至关重要，但仍然受到表面改性的限制，而表面改性往往无法最大限度地发挥滴状模式的优势。在这里，我们开发了一种基于形态的设计策略，使用通过引发化学气相沉积沉积的保形、无针孔含氟聚合物薄膜。通过控制薄膜厚度和热退火，我们确定了纳米级聚集体形态、润湿性和凝聚动力学之间的结构-性能关系。与 500 nm 薄膜相比，薄膜 (≤ 100 nm) 含有更小、分布更密集的聚集体和更低的粗糙度，从而产生更高的成核密度。热退火可增加晶体有序性，同时减少接触角滞后，从而能够去除较小直径的液滴。这些耦合效应通过将快速液滴成核与频繁扫掠相结合来增加表面更新。在纯蒸汽条件下，与疏水性自组装单分子层相比，形态控制的薄膜将传热提高了约 50%，为基于冷凝的热系统中的聚合物涂层提供了设计原理。</w:t>
      </w:r>
    </w:p>
    <w:p>
      <w:pPr>
        <w:spacing w:before="0" w:after="200" w:lineRule="auto" w:line="276"/>
      </w:pPr>
      <w:r>
        <w:rPr>
          <w:b/>
        </w:rPr>
        <w:t xml:space="preserve">Abstract (EN): </w:t>
      </w:r>
      <w:r>
        <w:t>Dropwise condensation is essential for heat transfer in power generation, thermal management, and water harvesting, yet remains limited by surface modifications that often fail to maximize the advantages of dropwise mode. Here, we develop a morphology-based design strategy using conformal, pinhole-free fluoropolymer films deposited by initiated chemical vapor deposition. By controlling film thickness and thermal annealing, we identify a structure–performance relationship linking nanoscale aggregate morphology, wettability, and condensation dynamics. Thin films (≤ 100 nm) contain smaller, more densely distributed aggregates and lower roughness than 500 nm films, resulting in higher nucleation densities. Thermal annealing increases crystalline ordering while reducing contact angle hysteresis, enabling droplet removal at smaller diameters. These coupled effects increase surface renewal by combining rapid droplet nucleation with frequent sweeping. Under pure-vapor conditions, the morphology-controlled films improve heat transfer by ~50% compared with hydrophobic self-assembled monolayers, providing design principles for polymer coatings in condensation-based thermal systems.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202">
        <w:r>
          <w:rPr>
            <w:color w:val="1155CC"/>
            <w:u w:val="single"/>
          </w:rPr>
          <w:t>ITER中子活化系统氘-氘等离子体运行的校准策略和不确定性分析*</w:t>
        </w:r>
      </w:hyperlink>
    </w:p>
    <w:p>
      <w:pPr>
        <w:spacing w:before="0" w:after="80"/>
      </w:pPr>
      <w:r>
        <w:rPr>
          <w:i/>
          <w:sz w:val="20"/>
        </w:rPr>
        <w:t>EN: Calibration strategy and uncertainty analysis of the ITER neutron activation system for deuterium–deuterium plasma operation *</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03">
        <w:r>
          <w:rPr>
            <w:color w:val="1155CC"/>
            <w:u w:val="single"/>
          </w:rPr>
          <w:t>10.1088/1741-4326/ae81c4</w:t>
        </w:r>
      </w:hyperlink>
    </w:p>
    <w:p>
      <w:pPr>
        <w:spacing w:before="0" w:after="120"/>
      </w:pPr>
      <w:r>
        <w:rPr>
          <w:b/>
        </w:rPr>
        <w:t xml:space="preserve">Notes: </w:t>
      </w:r>
      <w:r>
        <w:t>abstract_source=rss_description</w:t>
      </w:r>
    </w:p>
    <w:p>
      <w:pPr>
        <w:spacing w:before="0" w:after="80" w:lineRule="auto" w:line="276"/>
      </w:pPr>
      <w:r>
        <w:rPr>
          <w:b/>
        </w:rPr>
        <w:t xml:space="preserve">摘要（ZH）: </w:t>
      </w:r>
      <w:r>
        <w:t>国际热核实验反应堆 (ITER) 中子活化系统 (NAS) 是一个重要的诊断系统，旨在测量 ITER 托卡马克中的总中子产额和第一壁注量。 NAS 原理基于使用气动传输线对放置在等离子体附近的小样品材料进行中子激活。随后使用伽马射线计数站测量样品中诱发的活动，从而能够重建总中子产额。 NAS 设备和托卡马克的准确中子输运模型对于可靠的测量至关重要。本研究系统量化了NAS中子模型不确定性的主要来源，重点关注NAS辐射端和托卡马克环境的几何建模以及核数据的不确定性。结果表明，NAS 在氘-氘 (DD) 等离子体中可以实现约 13% 的测量精度，其中最大的不确定性归因于诊断第一壁 (DFW) 的详细几何形状。为了解决这个问题，现场校准对于识别不可预见的测量误差并减轻计算模型的不确定性至关重要。利用特性良好的中子发生器进行 NAS 校准可以将中子产额测量误差降低到 8% 以下。这些发现强调了在 ITER 开始研究操作 (SRO) 期间精确建模和校准程序对于准确中子测量的重要性。</w:t>
      </w:r>
    </w:p>
    <w:p>
      <w:pPr>
        <w:spacing w:before="0" w:after="200" w:lineRule="auto" w:line="276"/>
      </w:pPr>
      <w:r>
        <w:rPr>
          <w:b/>
        </w:rPr>
        <w:t xml:space="preserve">Abstract (EN): </w:t>
      </w:r>
      <w:r>
        <w:t>The International Thermonuclear Experimental Reactor (ITER) neutron activation system (NAS) is an essential diagnostic system designed to measure the total neutron yield and the first-wall fluence in the ITER Tokamak. NAS principle is based on the neutron activation of small sample materials placed in the vicinity of the plasma using pneumatic transfer lines. The induced activity in the samples is subsequently measured using a gamma-ray counting station, enabling reconstruction of the total neutron yield. Accurate neutron transport modelling of both the NAS apparatus and the tokamak is essential for reliable measurements. This study systematically quantifies the primary sources of uncertainty in the NAS neutronic model, focusing on the geometric modelling of the NAS irradiation ends and tokamak environment, as well as uncertainties in nuclear data. Results indicate that the NAS can achieve a measurement accuracy of approximately 13% in deuterium–deuterium (DD) plasmas, with the largest uncertainty attributed to the detailed geometry of the diagnostic first-wall (DFW). To address this, in-situ calibration is paramount to identify unforeseen measurement errors and to mitigate the uncertainties in computational models. Utilizing a well-characterized neutron generator for NAS calibration could reduce the neutron yield measurement errors below 8%. These findings underscore the importance of precise modelling and calibration procedures for accurate neutron measurements during ITER’s start of research operation (SRO).</w:t>
      </w:r>
    </w:p>
    <w:p>
      <w:pPr>
        <w:spacing w:before="120" w:after="120"/>
      </w:pPr>
      <w:r>
        <w:rPr>
          <w:sz w:val="18"/>
        </w:rPr>
        <w:t>——————————————————————————————————————————————————————————————————————</w:t>
      </w:r>
    </w:p>
    <w:p>
      <w:pPr>
        <w:spacing w:before="160" w:after="40" w:line="240" w:lineRule="auto"/>
      </w:pPr>
      <w:r>
        <w:rPr>
          <w:b/>
        </w:rPr>
        <w:t xml:space="preserve">[2] </w:t>
      </w:r>
      <w:hyperlink r:id="rId204">
        <w:r>
          <w:rPr>
            <w:color w:val="1155CC"/>
            <w:u w:val="single"/>
          </w:rPr>
          <w:t>升级版 Pilot-PSI：用于操作离子束研究的新型高通量线性等离子体装置</w:t>
        </w:r>
      </w:hyperlink>
    </w:p>
    <w:p>
      <w:pPr>
        <w:spacing w:before="0" w:after="80"/>
      </w:pPr>
      <w:r>
        <w:rPr>
          <w:i/>
          <w:sz w:val="20"/>
        </w:rPr>
        <w:t>EN: Upgraded Pilot-PSI: a new high flux linear plasma device for operando ion beam studies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05">
        <w:r>
          <w:rPr>
            <w:color w:val="1155CC"/>
            <w:u w:val="single"/>
          </w:rPr>
          <w:t>10.1088/1741-4326/ae81c7</w:t>
        </w:r>
      </w:hyperlink>
    </w:p>
    <w:p>
      <w:pPr>
        <w:spacing w:before="0" w:after="120"/>
      </w:pPr>
      <w:r>
        <w:rPr>
          <w:b/>
        </w:rPr>
        <w:t xml:space="preserve">Notes: </w:t>
      </w:r>
      <w:r>
        <w:t>abstract_source=rss_description</w:t>
      </w:r>
    </w:p>
    <w:p>
      <w:pPr>
        <w:spacing w:before="0" w:after="80" w:lineRule="auto" w:line="276"/>
      </w:pPr>
      <w:r>
        <w:rPr>
          <w:b/>
        </w:rPr>
        <w:t xml:space="preserve">摘要（ZH）: </w:t>
      </w:r>
      <w:r>
        <w:t>为了研究动态等离子体表面相互作用过程，我们开发了线性等离子体发生器升级版 Pilot-PSI (UPP)。它首次将高通量等离子体暴露与操作离子束分析 (IBA) 结合起来。 UPP 产生稳态氢等离子体高达 ，电子温度范围为 至 ，密度高达 。同时，高达 p、He 或 He 离子束可用于使用 IBA 技术分析材料的顶部少数，从而可以研究氢同位素传输和交换、动态保留、溅射和相关过程。或者，离子束可用于在材料暴露于等离子体的同时引起辐射损伤，从而能够研究等离子体条件下的缺陷稳定性。本文详细介绍了 UPP 的设计和技术规格，重点关注将操作 IBA 与高通量等离子体发生器集成所涉及的工程挑战和解决方案。我们对暴露于氘等离子体的钨的首次研究揭示了表面（首先）和本体（超出束穿透深度）的传输机制以及达到饱和的时间。</w:t>
      </w:r>
    </w:p>
    <w:p>
      <w:pPr>
        <w:spacing w:before="0" w:after="200" w:lineRule="auto" w:line="276"/>
      </w:pPr>
      <w:r>
        <w:rPr>
          <w:b/>
        </w:rPr>
        <w:t xml:space="preserve">Abstract (EN): </w:t>
      </w:r>
      <w:r>
        <w:t>To investigate dynamic plasma surface interaction processes, we developed the linear plasma generator Upgraded Pilot-PSI (UPP). It couples high-flux plasma exposure with operando ion-beam analysis (IBA) for the first time. UPP generates steady-state hydrogen plasma up to with electron temperatures ranging from to and densities up to . Simultaneously, up to p, He, or He ion beams may be used to analyse the top few of the material using IBA techniques, allowing the study of hydrogen-isotope transport and exchange, dynamic retention, sputtering, and related processes. Alternatively, the ion beam can be used to induce radiation damage in the material while it is simultaneously exposed to plasma, enabling studies of defect stabilisation under plasma conditions. This paper details the design and technical specifications of UPP, focusing on the engineering challenges and solutions involved in integrating operando IBA with a high-flux plasma generator. Our first studies on tungsten exposed to deuterium plasma reveal the mechanism of transport in the surface (first ) and the bulk (beyond up to the beam penetration depth) as well as the time to reach saturation.</w:t>
      </w:r>
    </w:p>
    <w:p>
      <w:pPr>
        <w:spacing w:before="120" w:after="120"/>
      </w:pPr>
      <w:r>
        <w:rPr>
          <w:sz w:val="18"/>
        </w:rPr>
        <w:t>——————————————————————————————————————————————————————————————————————</w:t>
      </w:r>
    </w:p>
    <w:p>
      <w:pPr>
        <w:spacing w:before="160" w:after="40" w:line="240" w:lineRule="auto"/>
      </w:pPr>
      <w:r>
        <w:rPr>
          <w:b/>
        </w:rPr>
        <w:t xml:space="preserve">[3] </w:t>
      </w:r>
      <w:hyperlink r:id="rId206">
        <w:r>
          <w:rPr>
            <w:color w:val="1155CC"/>
            <w:u w:val="single"/>
          </w:rPr>
          <w:t>用于 HL-3 托卡马克的 ICRF 系统</w:t>
        </w:r>
      </w:hyperlink>
    </w:p>
    <w:p>
      <w:pPr>
        <w:spacing w:before="0" w:after="80"/>
      </w:pPr>
      <w:r>
        <w:rPr>
          <w:i/>
          <w:sz w:val="20"/>
        </w:rPr>
        <w:t>EN: ICRF system for the HL-3 tokamak</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07">
        <w:r>
          <w:rPr>
            <w:color w:val="1155CC"/>
            <w:u w:val="single"/>
          </w:rPr>
          <w:t>10.1088/1741-4326/ae827a</w:t>
        </w:r>
      </w:hyperlink>
    </w:p>
    <w:p>
      <w:pPr>
        <w:spacing w:before="0" w:after="120"/>
      </w:pPr>
      <w:r>
        <w:rPr>
          <w:b/>
        </w:rPr>
        <w:t xml:space="preserve">Notes: </w:t>
      </w:r>
      <w:r>
        <w:t>abstract_source=rss_description</w:t>
      </w:r>
    </w:p>
    <w:p>
      <w:pPr>
        <w:spacing w:before="0" w:after="80" w:lineRule="auto" w:line="276"/>
      </w:pPr>
      <w:r>
        <w:rPr>
          <w:b/>
        </w:rPr>
        <w:t xml:space="preserve">摘要（ZH）: </w:t>
      </w:r>
      <w:r>
        <w:t>HL-3托卡马克是西南物理研究所（SWIPs）的新型中型铜导体托卡马克。为了提供中央离子加热并产生能量水平与聚变产生的 α 粒子相当的高能粒子，SWIP 正在建造一个 6 MW 离子回旋加速器频率加热系统，并将于 2026 年 9 月在 HL-3 上使用。考虑使用 25-50 MHz 范围内的射频 (RF)，脉冲长达 5 秒。对于氘等离子体，氢少数和氘的二次谐波是主要的离子加热方案，在 B0 = 2.2 T 时 f= 33 MHz。对于氘-氚等离子体，考虑基本 He-3 和在 B0 = 2.5 T 时 f= 25 MHz 的氚二次谐波。射频发生器由 4×1.5 MW 发射器组成。传输线采用 3 dB 混合耦合器，以便将反射功率从发射机转移出去。匹配单元由 1/4λ 短截线调谐器和 1/2λ 移相器提供，四个传输线中的每条传输线都有一个附加的预匹配短截线。由于碳壁下的杂质问题应该是温和的，因此设计了两个平行波数 k// ∼ 6.5 m−1 的 2 带天线。</w:t>
      </w:r>
    </w:p>
    <w:p>
      <w:pPr>
        <w:spacing w:before="0" w:after="200" w:lineRule="auto" w:line="276"/>
      </w:pPr>
      <w:r>
        <w:rPr>
          <w:b/>
        </w:rPr>
        <w:t xml:space="preserve">Abstract (EN): </w:t>
      </w:r>
      <w:r>
        <w:t>The HL-3 tokamak is a new medium-sized copper conductor tokamak at the Southwestern Institute of Physics (SWIPs). In order to provide central ion heating as well as generate energetic particles whose energy levels are equivalent to the fusion born alpha particles, a 6 MW ion cyclotron range of frequencies heating system is under construction at SWIP and will be available at HL-3 in September 2026. Radio frequencies (RFs) in the range of 25–50 MHz with pulses up to 5 s is considered. For a deuterium plasma, the hydrogen minority and the 2nd harmonic of deuterium are the main ion heating schemes with f= 33 MHz at B0 = 2.2 T. For a deuterium–tritium plasma, the fundamental He-3 and the 2nd harmonic of tritium with f= 25 MHz at B0 = 2.5 T is considered. The RF generator consists of 4×1.5 MW transmitters. The transmission line incorporates 3 dB hybrid couplers so as to divert the reflected power away from the transmitters. The matching unit is provided by a 1/4λ stub tuner and a 1/2λ phase shifter, with an additional pre-matching stub for each of the four transmission lines. Two 2-strap antennas with parallel wavenumber k// ∼ 6.5 m−1 are designed since the impurity issue is supposed to be moderate under a carbon wall.</w:t>
      </w:r>
    </w:p>
    <w:p>
      <w:pPr>
        <w:spacing w:before="120" w:after="120"/>
      </w:pPr>
      <w:r>
        <w:rPr>
          <w:sz w:val="18"/>
        </w:rPr>
        <w:t>——————————————————————————————————————————————————————————————————————</w:t>
      </w:r>
    </w:p>
    <w:p>
      <w:pPr>
        <w:spacing w:before="160" w:after="40" w:line="240" w:lineRule="auto"/>
      </w:pPr>
      <w:r>
        <w:rPr>
          <w:b/>
        </w:rPr>
        <w:t xml:space="preserve">[4] </w:t>
      </w:r>
      <w:hyperlink r:id="rId208">
        <w:r>
          <w:rPr>
            <w:color w:val="1155CC"/>
            <w:u w:val="single"/>
          </w:rPr>
          <w:t>TCV 托卡马克中的轴对称全局 Alfvén 本征模式</w:t>
        </w:r>
      </w:hyperlink>
    </w:p>
    <w:p>
      <w:pPr>
        <w:spacing w:before="0" w:after="80"/>
      </w:pPr>
      <w:r>
        <w:rPr>
          <w:i/>
          <w:sz w:val="20"/>
        </w:rPr>
        <w:t>EN: Axisymmetric global Alfvén eigenmodes in the TCV tokamak</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09">
        <w:r>
          <w:rPr>
            <w:color w:val="1155CC"/>
            <w:u w:val="single"/>
          </w:rPr>
          <w:t>10.1088/1741-4326/ae827b</w:t>
        </w:r>
      </w:hyperlink>
    </w:p>
    <w:p>
      <w:pPr>
        <w:spacing w:before="0" w:after="120"/>
      </w:pPr>
      <w:r>
        <w:rPr>
          <w:b/>
        </w:rPr>
        <w:t xml:space="preserve">Notes: </w:t>
      </w:r>
      <w:r>
        <w:t>abstract_source=rss_description</w:t>
      </w:r>
    </w:p>
    <w:p>
      <w:pPr>
        <w:spacing w:before="0" w:after="80" w:lineRule="auto" w:line="276"/>
      </w:pPr>
      <w:r>
        <w:rPr>
          <w:b/>
        </w:rPr>
        <w:t xml:space="preserve">摘要（ZH）: </w:t>
      </w:r>
      <w:r>
        <w:t>在 TCV 托卡马克中，在环形诱发、椭圆性诱发和以上非圆诱发频率范围内观察到环形模式数 n= 0（即轴对称）的全局阿尔文本征模 (GAE)。在多个频率下对 n = 0 GAE 的观察（由阿尔芬连续体频率的周期性结构引起）证明了这些模式的基本性质。通过线性 MHD 计算预测了 n = 0 GAE 的径向分裂。该计算与最近观察到的亚回旋加速器频率范围内的 GAE 径向分裂一致。线性 MHD 代码用于计算 n = 0 Alfvén 连续谱和相应的本征模结构。模型证实，n = 0 GAE 主要位于 Alfvén 连续谱最小值下方，尽管在连续谱最大值上方观察到了一些模式，类似于亚回旋频率 GAE，其中连续谱最大值上方的模式也有报道。 n = 0 GAE 已在各种放电类型中观察到，包括低密度和高密度等离子体、正三角形和负三角形配置，以及顺流和逆流方向中性束注入的放电。 n = 0 GAE 出现的一个关键因素是粒子能量分布函数中的正梯度，∂f/∂E &gt; 0（尾部碰撞），所有放电的 TRANSP 计算都证实了这一点。</w:t>
      </w:r>
    </w:p>
    <w:p>
      <w:pPr>
        <w:spacing w:before="0" w:after="200" w:lineRule="auto" w:line="276"/>
      </w:pPr>
      <w:r>
        <w:rPr>
          <w:b/>
        </w:rPr>
        <w:t xml:space="preserve">Abstract (EN): </w:t>
      </w:r>
      <w:r>
        <w:t>Global Alfvén eigenmodes (GAEs) with toroidal mode number n= 0 (i.e. axisymmetric) have been observed in the toroidicity-induced, ellipticity-induced, and above non-circularity-induced frequency ranges in the TCV tokamak. Observation of n = 0 GAEs at multiple frequencies, caused by the periodic structure of the Alfvén continuum in frequency, demonstrates the fundamental nature of these modes. A radial splitting of the n = 0 GAEs has been predicted by linear MHD calculation. This calculation is consistent with the recently observed radial splitting of GAEs in the sub-cyclotron frequency range. Linear MHD codes were used to compute the n = 0 Alfvén continuum and the corresponding eigenmode structures. The modeling confirms that the n = 0 GAEs are located mainly below the minima of the Alfvén continuum, although some modes are observed above the continuum maxima, similar to the sub-cyclotron-frequency GAEs, for which modes above the continuum maxima have also been reported. The n = 0 GAEs have been observed in a variety of discharge types, including low- and high-density plasmas, positive- and negative-triangularity configurations, and discharges with neutral beam injection in both co-current and counter-current directions. A key factor for the appearance of n = 0 GAEs is a positive gradient in the particle energy distribution function, ∂f/∂E &gt; 0 (bump-on-tail), which has been confirmed by TRANSP calculations for all discharges.</w:t>
      </w:r>
    </w:p>
    <w:p>
      <w:pPr>
        <w:spacing w:before="120" w:after="120"/>
      </w:pPr>
      <w:r>
        <w:rPr>
          <w:sz w:val="18"/>
        </w:rPr>
        <w:t>——————————————————————————————————————————————————————————————————————</w:t>
      </w:r>
    </w:p>
    <w:p>
      <w:pPr>
        <w:spacing w:before="160" w:after="40" w:line="240" w:lineRule="auto"/>
      </w:pPr>
      <w:r>
        <w:rPr>
          <w:b/>
        </w:rPr>
        <w:t xml:space="preserve">[5] </w:t>
      </w:r>
      <w:hyperlink r:id="rId210">
        <w:r>
          <w:rPr>
            <w:color w:val="1155CC"/>
            <w:u w:val="single"/>
          </w:rPr>
          <w:t>在 JET-ILW 中使用 T 对高电流高功率基线脉冲的杂质传输和来源进行集成数值分析</w:t>
        </w:r>
      </w:hyperlink>
    </w:p>
    <w:p>
      <w:pPr>
        <w:spacing w:before="0" w:after="80"/>
      </w:pPr>
      <w:r>
        <w:rPr>
          <w:i/>
          <w:sz w:val="20"/>
        </w:rPr>
        <w:t>EN: Integrated numerical analysis of impurity transport and sources for high current—high power baseline pulses with T in JET-ILW</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11">
        <w:r>
          <w:rPr>
            <w:color w:val="1155CC"/>
            <w:u w:val="single"/>
          </w:rPr>
          <w:t>10.1088/1741-4326/ae827e</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这项工作包括应用于 JET 高电流、高功率基线脉冲的集成数值模拟，其中包含 92% 氚 + 8% 氢，并采用角配置的钨偏滤器和铍壁。这些模拟是使用 COREDIV 代码执行的，该代码自洽求解核心区域中等离子体和杂质的一维径向传输方程，以及刮除层中的二维多流体传输。应该指出的是，模拟是“半解释性的”，因为传输系数被调整以匹配实验数据：辐射轮廓、Ni 浓度、SOL 中的辐射和 Zeff。模拟表明，在 COREDIV 模型的假设和可用的实验限制内，观察到的堆芯等离子体辐射的增加可以通过杂质传输的变化而不是杂质源的增加来最一致地再现。模拟表明，由于氚引起的钨溅射可以忽略不计。 Be 是溅射的主要来源，对钨溅射的主要贡献来自 Be2+。</w:t>
      </w:r>
    </w:p>
    <w:p>
      <w:pPr>
        <w:spacing w:before="0" w:after="200" w:lineRule="auto" w:line="276"/>
      </w:pPr>
      <w:r>
        <w:rPr>
          <w:b/>
        </w:rPr>
        <w:t xml:space="preserve">Abstract (EN): </w:t>
      </w:r>
      <w:r>
        <w:t>This work consists of integrated numerical modelling applied to JET high-current, high-power baseline pulses with 92% tritium + 8% hydrogen with tungsten divertor and beryllium wall in corner configuration. These simulations are performed using the COREDIV code, which self-consistently solves one-dimensional radial transport equations for the plasma and impurities in the core region, coupled with two-dimensional multi-fluid transport in the scrape-off layer. It should be noted that the simulations are ‘semi-interpretative’, in the sense that transport coefficients are tuned in order to match experimental data: profile of the radiation, Ni concentration, radiation in SOL and Zeff. The simulations suggest that, within the assumptions of the COREDIV model and the available experimental constraints, the observed increase in core plasma radiation can be most consistently reproduced by changes in impurity transport rather than by an increase in the impurity source. The simulations show that sputtering of tungsten due to tritium is negligible. The Be is the main source of sputtering and the dominant contribution to tungsten sputtering comes from Be2+.</w:t>
      </w:r>
    </w:p>
    <w:p>
      <w:pPr>
        <w:spacing w:before="120" w:after="120"/>
      </w:pPr>
      <w:r>
        <w:rPr>
          <w:sz w:val="18"/>
        </w:rPr>
        <w:t>——————————————————————————————————————————————————————————————————————</w:t>
      </w:r>
    </w:p>
    <w:p>
      <w:pPr>
        <w:spacing w:before="160" w:after="40" w:line="240" w:lineRule="auto"/>
      </w:pPr>
      <w:r>
        <w:rPr>
          <w:b/>
        </w:rPr>
        <w:t xml:space="preserve">[6] </w:t>
      </w:r>
      <w:hyperlink r:id="rId212">
        <w:r>
          <w:rPr>
            <w:color w:val="1155CC"/>
            <w:u w:val="single"/>
          </w:rPr>
          <w:t>JET DT 放电中阿尔文本征模和鱼骨引起的 α 粒子输运分析：多重高能粒子模拟</w:t>
        </w:r>
      </w:hyperlink>
    </w:p>
    <w:p>
      <w:pPr>
        <w:spacing w:before="0" w:after="80"/>
      </w:pPr>
      <w:r>
        <w:rPr>
          <w:i/>
          <w:sz w:val="20"/>
        </w:rPr>
        <w:t>EN: Analysis of the alpha particle transport induced by Alfven eigenmodes and fish-bones in JET DT discharges: multiple energetic particle simulations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13">
        <w:r>
          <w:rPr>
            <w:color w:val="1155CC"/>
            <w:u w:val="single"/>
          </w:rPr>
          <w:t>10.1088/1741-4326/ae827d</w:t>
        </w:r>
      </w:hyperlink>
    </w:p>
    <w:p>
      <w:pPr>
        <w:spacing w:before="0" w:after="120"/>
      </w:pPr>
      <w:r>
        <w:rPr>
          <w:b/>
        </w:rPr>
        <w:t xml:space="preserve">Notes: </w:t>
      </w:r>
      <w:r>
        <w:t>abstract_source=rss_description</w:t>
      </w:r>
    </w:p>
    <w:p>
      <w:pPr>
        <w:spacing w:before="0" w:after="80" w:lineRule="auto" w:line="276"/>
      </w:pPr>
      <w:r>
        <w:rPr>
          <w:b/>
        </w:rPr>
        <w:t xml:space="preserve">摘要（ZH）: </w:t>
      </w:r>
      <w:r>
        <w:t>本研究致力于分析 JET 氘氚 (D-T) 放电中离子回旋共振加热 (ICRH) 主导的等离子体中广泛的快离子 (FI) 引起的扰动，这是最接近反应堆操作的实验。使用陀螺流体 FAR3d 代码执行一组非线性模拟，以重现在多个 EP 群体放电中观察到的 FI 诱导活动和高能粒子 (EP) 输运。使用 JET D-T 诊断进行的经过充分验证的模拟表明，环形阿尔文本征模 (TAE) 和鱼骨分别因 ICRH 加速通过的 D 离子和捕获的 H 离子而不稳定。多次 EP 模拟显示 EP 物种之间存在重要的非线性耦合，即使在 α 粒子不会破坏 EP 模式的稳定性的情况下，也会对 α 粒子限制产生强烈影响。包括捕获的 H 和 α 粒子在内的模拟表明，鱼骨可能会导致 α 粒子损失高达 。 TAE 的情况有所不同，TAE 对 α 粒子传输的影响较小，导致的损失可以忽略不计。此外，模拟中还观察到 TAE 和鱼骨饱和阶段剪切流的产生。与内部等离子体区域中的鱼骨引起的剪切流相比，TAE 在内部中间等离子体区域中引起的剪切流几乎大两倍。 AE/鱼骨产生的剪切流可能对 ITER 和 JT60SA 等装置的热等离子体和 α 粒子限制产生重要影响。因此，多个 EP 群体中的非线性效应必须</w:t>
      </w:r>
    </w:p>
    <w:p>
      <w:pPr>
        <w:spacing w:before="0" w:after="200" w:lineRule="auto" w:line="276"/>
      </w:pPr>
      <w:r>
        <w:rPr>
          <w:b/>
        </w:rPr>
        <w:t xml:space="preserve">Abstract (EN): </w:t>
      </w:r>
      <w:r>
        <w:t>The present study is dedicated to analyze the extensive fast ion (FI) induced perturbations in ion cyclotron resonance heating (ICRH) dominated plasmas in JET deuterium–tritium (D–T) discharges, the closest experiment to reactor-like operation. A set of nonlinear simulations are performed with the gyro-fluid FAR3d code to reproduce the FI induced activity and energetic particle (EP) transport observed in the discharge by multiple EP populations. Well validated simulations with JET D–T diagnostics show that Toroidal Alfvén eigenmodes (TAEs) and fish-bone are destabilized by ICRH accelerated passing D and trapped H ions, respectively. Multiple EP simulations show important nonlinear couplings between EP species, leading to a strong effect on the alpha particle confinement even in the alpha particles do not destabilize EP modes. Simulations including trapped H and alpha particles indicate fish-bones may induce alpha particle losses up to . The situation is different with respect to TAEs, which have a smaller impact on the alpha particle transport, leading to negligible losses. In addition, the generation of shear flows during the saturation phase of TAE and fish-bones is observed in the simulations. Shear flows induced by TAEs in the inner-middle plasma region are almost two times larger compared to the shear flows caused by the fish-bone in the inner plasma region. Shear flow generation by AE/fish-bones may have an important impact in the thermal plasma and alpha particle confinement of devices as ITER and JT60SA. Consequently, nonlinear effects in multiple EP populations must be considered in the analysis of EP transport. It is shown that this is a fundamental result that has to be considered to be properly evaluate fusion power in reactor relevant plasmas.</w:t>
      </w:r>
    </w:p>
    <w:p>
      <w:pPr>
        <w:spacing w:before="120" w:after="120"/>
      </w:pPr>
      <w:r>
        <w:rPr>
          <w:sz w:val="18"/>
        </w:rPr>
        <w:t>——————————————————————————————————————————————————————————————————————</w:t>
      </w:r>
    </w:p>
    <w:p>
      <w:pPr>
        <w:spacing w:before="160" w:after="40" w:line="240" w:lineRule="auto"/>
      </w:pPr>
      <w:r>
        <w:rPr>
          <w:b/>
        </w:rPr>
        <w:t xml:space="preserve">[7] </w:t>
      </w:r>
      <w:hyperlink r:id="rId214">
        <w:r>
          <w:rPr>
            <w:color w:val="1155CC"/>
            <w:u w:val="single"/>
          </w:rPr>
          <w:t>胶囊上辐射驱动温度和 P2 不对称性的测量</w:t>
        </w:r>
      </w:hyperlink>
    </w:p>
    <w:p>
      <w:pPr>
        <w:spacing w:before="0" w:after="80"/>
      </w:pPr>
      <w:r>
        <w:rPr>
          <w:i/>
          <w:sz w:val="20"/>
        </w:rPr>
        <w:t>EN: Measurement of the radiation drive temperature and P2 asymmetry on the capsule</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15">
        <w:r>
          <w:rPr>
            <w:color w:val="1155CC"/>
            <w:u w:val="single"/>
          </w:rPr>
          <w:t>10.1088/1741-4326/ae7f31</w:t>
        </w:r>
      </w:hyperlink>
    </w:p>
    <w:p>
      <w:pPr>
        <w:spacing w:before="0" w:after="120"/>
      </w:pPr>
      <w:r>
        <w:rPr>
          <w:b/>
        </w:rPr>
        <w:t xml:space="preserve">Notes: </w:t>
      </w:r>
      <w:r>
        <w:t>abstract_source=rss_description</w:t>
      </w:r>
    </w:p>
    <w:p>
      <w:pPr>
        <w:spacing w:before="0" w:after="80" w:lineRule="auto" w:line="276"/>
      </w:pPr>
      <w:r>
        <w:rPr>
          <w:b/>
        </w:rPr>
        <w:t xml:space="preserve">摘要（ZH）: </w:t>
      </w:r>
      <w:r>
        <w:t>在间接驱动惯性约束聚变（ICF）中，黑腔的辐射驱动温度与胶囊的冲击速度和内爆速度有关。胶囊上的辐射驱动对称性是热点对称性的重要参数。提出了一种通过测量沿两个正交方向重新发射的 X 射线辐射通量同时确定胶囊上的辐射温度和 P2 不对称性的新方法。黑腔和内爆胶囊之间的相互作用可以通过采用高 Z 替代胶囊来解耦。基于自相似理论给出了不透明度和状态方程对P2不对称性测量的影响。演示实验在神光100 kJ激光装置上进行。实验中得到了辐射驱动温度和P2不对称性的演变。通过视角系数计算来定量评估诊断孔和激光束缺失对 P2 不对称性的影响。实验和集成模拟 (LARED-JC) 之间的对称性时间趋势是一致的。然而，实验对称性与主脉冲中部的模拟结果不同。这可能是由逆轫致辐射吸收或交叉束能量转移 (CBET) 过程引起的。新方法可以为不同的hohlraumsin实验提供辐射驱动温度和P2不对称性。它能够以时间分辨的方式确定激光功率倍增器和锥体分数倍增器，即 b</w:t>
      </w:r>
    </w:p>
    <w:p>
      <w:pPr>
        <w:spacing w:before="0" w:after="200" w:lineRule="auto" w:line="276"/>
      </w:pPr>
      <w:r>
        <w:rPr>
          <w:b/>
        </w:rPr>
        <w:t xml:space="preserve">Abstract (EN): </w:t>
      </w:r>
      <w:r>
        <w:t>In indirect-drive inertial confinement fusion (ICF), the radiation drive temperature of the hohlraum is related to the shock velocity and implosion velocity of the capsule. The radiation drive symmetry on the capsule is the vital parameter for the hotspot symmetry. A new method is proposed to simultaneously determine the radiation temperature and P2 asymmetry on the capsule by measuring the re-emitted x-ray radiation flux along two orthogonal directions. The interaction between the hohlraum and the imploded capsule can be decoupled by employing a high-Z substitute capsule. The effects of opacity and equation of state on the measurement of the P2 asymmetry are given based on the self-similarity theory. The demonstration experiments were conducted on the Shenguang-100 kJ laser facility. The evolutions of the radiation drive temperature and P2 asymmetry are obtained in the experiment. The impact of diagnostic holes and laser beam absences on the P2 asymmetry is quantitatively evaluated with the view-factor calculation. The temporal trend of the symmetry is consistent between the experiment and the integrated simulation (LARED-JC). However, the experimental symmetry differs from the simulation results from the middle of the main pulse. This might be caused by the inverse bremsstrahlung absorption or the crossed-beam energy transfer (CBET) process. The new method can provide both radiation drive temperature and P2 asymmetry for different hohlraumsin experiments. It enables time-resolved determination of both the laser power multiplier and the cone fraction multiplier, which is beneficial for optimizing the innovative hohlraum designs.</w:t>
      </w:r>
    </w:p>
    <w:p>
      <w:pPr>
        <w:spacing w:before="120" w:after="120"/>
      </w:pPr>
      <w:r>
        <w:rPr>
          <w:sz w:val="18"/>
        </w:rPr>
        <w:t>——————————————————————————————————————————————————————————————————————</w:t>
      </w:r>
    </w:p>
    <w:p>
      <w:pPr>
        <w:spacing w:before="160" w:after="40" w:line="240" w:lineRule="auto"/>
      </w:pPr>
      <w:r>
        <w:rPr>
          <w:b/>
        </w:rPr>
        <w:t xml:space="preserve">[8] </w:t>
      </w:r>
      <w:hyperlink r:id="rId216">
        <w:r>
          <w:rPr>
            <w:color w:val="1155CC"/>
            <w:u w:val="single"/>
          </w:rPr>
          <w:t>ITER新基准情景CN HCCB TBM初步工程分析</w:t>
        </w:r>
      </w:hyperlink>
    </w:p>
    <w:p>
      <w:pPr>
        <w:spacing w:before="0" w:after="80"/>
      </w:pPr>
      <w:r>
        <w:rPr>
          <w:i/>
          <w:sz w:val="20"/>
        </w:rPr>
        <w:t>EN: Preliminary engineering analysis for CN HCCB TBM regarding ITER new baseline scenario</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17">
        <w:r>
          <w:rPr>
            <w:color w:val="1155CC"/>
            <w:u w:val="single"/>
          </w:rPr>
          <w:t>10.1088/1741-4326/ae7e93</w:t>
        </w:r>
      </w:hyperlink>
    </w:p>
    <w:p>
      <w:pPr>
        <w:spacing w:before="0" w:after="120"/>
      </w:pPr>
      <w:r>
        <w:rPr>
          <w:b/>
        </w:rPr>
        <w:t xml:space="preserve">Notes: </w:t>
      </w:r>
      <w:r>
        <w:t>abstract_source=rss_description</w:t>
      </w:r>
    </w:p>
    <w:p>
      <w:pPr>
        <w:spacing w:before="0" w:after="80" w:lineRule="auto" w:line="276"/>
      </w:pPr>
      <w:r>
        <w:rPr>
          <w:b/>
        </w:rPr>
        <w:t xml:space="preserve">摘要（ZH）: </w:t>
      </w:r>
      <w:r>
        <w:t>在各国针对DEMO堆设计提出的各种增殖毯概念中，中国最终确定在ITER中开发并测试氦冷陶瓷增殖毯模块（HCCB TBM），以符合国家磁约束聚变能发展战略。在初步设计阶段，CN HCCB TBM团队实施了多次设计更新，以提高其工程性能和制造可行性，但为了应对某些工程和技术挑战，自2023年2月上旬以来，一直在制定新的ITER基线。该新基线提出了修订后的ITER运行策略，旨在尽早启动核阶段，同时减少初始阶段选定的运行参数。根据ITER 2024新基准情景，对CN HCCB TBM进行了进一步的设计优化和工程分析。热工水力分析结果表明，结构和功能材料的最高工作温度在2024年基线情景下显着降低，特别是氚增殖剂Li4SiO4球床的温度降低了20.6%。通过在氚增殖区内安装电加热器，Li4SiO4的峰值温度可提高到821℃，平均温度提高到604℃，基本满足了氚释放的温度要求。根据计算的三种操作条件下的温度分布，系统级</w:t>
      </w:r>
    </w:p>
    <w:p>
      <w:pPr>
        <w:spacing w:before="0" w:after="200" w:lineRule="auto" w:line="276"/>
      </w:pPr>
      <w:r>
        <w:rPr>
          <w:b/>
        </w:rPr>
        <w:t xml:space="preserve">Abstract (EN): </w:t>
      </w:r>
      <w:r>
        <w:t>Among the various breeding blanket concepts proposed for DEMO reactor design by different countries, China has ultimately determined to develop and test the Helium-Cooled Ceramic Breeder Test Blanket Module (HCCB TBM) in ITER, in alignment with its national strategy for the development of magnetic confinement fusion energy. During the preliminary design phase, the CN HCCB TBM team implemented several design updates to improve its engineering performance and manufacturing feasibility, however, in response to certain engineering and technical challenges, a new ITER baseline has been under development since early February 2023. This new baseline proposed a revised ITER operation strategy aimed at initiating the nuclear phase as early as possible while reducing selected operational parameters in the initial stages. In accordance with the ITER 2024 new baseline scenario, further design optimization and engineering analysis have been conducted for the CN HCCB TBM. Thermal-hydraulic analysis results demonstrate that, the maximum operating temperatures of structural and functional materials were significantly reduced under the 2024 baseline scenario, especially for the tritium breeder Li4SiO4 pebble bed, whose temperature was decreased by 20.6%. By installing electric heaters within the tritium breeder zone, the peak temperature of Li4SiO4 can be increased to 821 °C, and the average temperature raised o 604 °C, which essentially satisfied the temperature requirements for tritium release. Based on the calculated temperature distributions under three operating conditions, a system-level transient tritium transport analysis was further performed. The results reveal that installing electric heaters exclusively in the tritium breeder region is sufficient to meet tritium balance requirements, eliminating the need for additional electric heaters in the neutron multiplier region. Preliminary structural analysis was also carried out, and the results indicated that the linearized stresses remain well below the allowable limits of the structural material, thereby ensuring the integrity of the overall structure.</w:t>
      </w:r>
    </w:p>
    <w:p>
      <w:pPr>
        <w:spacing w:before="120" w:after="120"/>
      </w:pPr>
      <w:r>
        <w:rPr>
          <w:sz w:val="18"/>
        </w:rPr>
        <w:t>——————————————————————————————————————————————————————————————————————</w:t>
      </w:r>
    </w:p>
    <w:p>
      <w:pPr>
        <w:spacing w:before="160" w:after="40" w:line="240" w:lineRule="auto"/>
      </w:pPr>
      <w:r>
        <w:rPr>
          <w:b/>
        </w:rPr>
        <w:t xml:space="preserve">[9] </w:t>
      </w:r>
      <w:hyperlink r:id="rId218">
        <w:r>
          <w:rPr>
            <w:color w:val="1155CC"/>
            <w:u w:val="single"/>
          </w:rPr>
          <w:t>在 DIII-D 中施加 3D 场的情况下，中断后失控电子损失到壁的环形相</w:t>
        </w:r>
      </w:hyperlink>
    </w:p>
    <w:p>
      <w:pPr>
        <w:spacing w:before="0" w:after="80"/>
      </w:pPr>
      <w:r>
        <w:rPr>
          <w:i/>
          <w:sz w:val="20"/>
        </w:rPr>
        <w:t>EN: Toroidal phase of post-disruption runaway electron loss to wall in presence of applied 3D fields in DIII-D</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19">
        <w:r>
          <w:rPr>
            <w:color w:val="1155CC"/>
            <w:u w:val="single"/>
          </w:rPr>
          <w:t>10.1088/1741-4326/ae80e4</w:t>
        </w:r>
      </w:hyperlink>
    </w:p>
    <w:p>
      <w:pPr>
        <w:spacing w:before="0" w:after="120"/>
      </w:pPr>
      <w:r>
        <w:rPr>
          <w:b/>
        </w:rPr>
        <w:t xml:space="preserve">Notes: </w:t>
      </w:r>
      <w:r>
        <w:t>abstract_source=rss_description</w:t>
      </w:r>
    </w:p>
    <w:p>
      <w:pPr>
        <w:spacing w:before="0" w:after="80" w:lineRule="auto" w:line="276"/>
      </w:pPr>
      <w:r>
        <w:rPr>
          <w:b/>
        </w:rPr>
        <w:t xml:space="preserve">摘要（ZH）: </w:t>
      </w:r>
      <w:r>
        <w:t>利用 MARS-F 代码与 REORBIT 模块相结合，通过在存在外部（应用）和内部（内在不稳定性）3D 场的情况下跟踪测试 RE 的引导中心漂移轨道，模拟 DIII-D 中断后 RE 最终损失事件中撞击中心柱的失控电子 (RE) 的环形分布。为了更好地恢复实验结果，采用了具有不同安全系数曲线的三种不同平衡。发现主要的电阻性磁流体动力学不稳定性是 m/n= 2/1、3/2 和 1/1 模式（其中 m 和 n 是极向和环形模式数）。每个平衡中均考虑外部施加的 n= 1 共振磁扰动 (RMP)，同时具有偶数和奇数奇偶校验配置。通过最小化等离子体中的总扰动磁能来模拟 MHD 不稳定性与所应用的 RMP 的锁定。模拟的环形位置，其中大多数 RE 在存在边缘 m/n = 2/1 不稳定性和偶校验中 n = 1 RMP 的情况下撞击，发现与实验非常吻合。建模还捕获了墙上测量的 n = 2 RE 损耗模式，用于实验，其中边缘 m/n = 3/2 不稳定性占主导地位，而不是 m/n = 2/1 模式。主要的总体发现包括（a）实验中测量的全局稀土环形冲击模式可以通过锁定电阻扭结不稳定性来解释，（b）通过最小化总扰动磁能可以很好地预测锁定模式的环形相位，以及（c）这种边缘锁定模式确定峰值稀土壁冲击的环形相位。</w:t>
      </w:r>
    </w:p>
    <w:p>
      <w:pPr>
        <w:spacing w:before="0" w:after="200" w:lineRule="auto" w:line="276"/>
      </w:pPr>
      <w:r>
        <w:rPr>
          <w:b/>
        </w:rPr>
        <w:t xml:space="preserve">Abstract (EN): </w:t>
      </w:r>
      <w:r>
        <w:t>The toroidal distribution of runaway electrons (REs) striking the centre post in DIII-D post-disruption RE final loss events is simulated utilizing the MARS-F code combined with the REORBIT module, by tracing the guiding-centre drift orbits of test REs in the presence of external (applied) plus internal (intrinsic instability) 3D fields. To better recover the experimental results, three different equilibria with different safety factor profiles are adopted. Dominant resistive magnetohydrodynamic instabilities are found to be m/n= 2/1, 3/2 and 1/1 modes (where m and n are the poloidal and toroidal mode numbers). Externally applied n= 1 resonant magnetic perturbations (RMPs), with both even and odd parity configuration, are considered in each equilibrium. Locking of MHD instability to the applied RMPs is simulated by minimizing the total perturbed magnetic energy in the plasma. The simulated toroidal locations, where most REs strike in the presence of an edge m/n = 2/1 instability and the n = 1 RMPs in even parity, are found to agree well with experiments. Modelling also captures the measured n = 2 RE loss pattern on the wall for experiments where an edge m/n = 3/2 instability is dominant instead of the m/n = 2/1 mode. The key overall findings include (a) the measured global RE toroidal impact pattern in experiments can be explained by a locked resistive kink instability, (b) the toroidal phase of the locked mode is well predicted by minimizing the total perturbed magnetic energy, and (c) this edge locked mode determines the toroidal phase of the peak RE wall impact.</w:t>
      </w:r>
    </w:p>
    <w:p>
      <w:pPr>
        <w:spacing w:before="120" w:after="120"/>
      </w:pPr>
      <w:r>
        <w:rPr>
          <w:sz w:val="18"/>
        </w:rPr>
        <w:t>——————————————————————————————————————————————————————————————————————</w:t>
      </w:r>
    </w:p>
    <w:p>
      <w:pPr>
        <w:spacing w:before="160" w:after="40" w:line="240" w:lineRule="auto"/>
      </w:pPr>
      <w:r>
        <w:rPr>
          <w:b/>
        </w:rPr>
        <w:t xml:space="preserve">[10] </w:t>
      </w:r>
      <w:hyperlink r:id="rId220">
        <w:r>
          <w:rPr>
            <w:color w:val="1155CC"/>
            <w:u w:val="single"/>
          </w:rPr>
          <w:t>EAST 托卡马克中使用 RMP 主动控制 ion-ITB</w:t>
        </w:r>
      </w:hyperlink>
    </w:p>
    <w:p>
      <w:pPr>
        <w:spacing w:before="0" w:after="80"/>
      </w:pPr>
      <w:r>
        <w:rPr>
          <w:i/>
          <w:sz w:val="20"/>
        </w:rPr>
        <w:t>EN: Active control of ion-ITB using RMP in the EAST tokamak</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21">
        <w:r>
          <w:rPr>
            <w:color w:val="1155CC"/>
            <w:u w:val="single"/>
          </w:rPr>
          <w:t>10.1088/1741-4326/ae827c</w:t>
        </w:r>
      </w:hyperlink>
    </w:p>
    <w:p>
      <w:pPr>
        <w:spacing w:before="0" w:after="120"/>
      </w:pPr>
      <w:r>
        <w:rPr>
          <w:b/>
        </w:rPr>
        <w:t xml:space="preserve">Notes: </w:t>
      </w:r>
      <w:r>
        <w:t>abstract_source=rss_description</w:t>
      </w:r>
    </w:p>
    <w:p>
      <w:pPr>
        <w:spacing w:before="0" w:after="80" w:lineRule="auto" w:line="276"/>
      </w:pPr>
      <w:r>
        <w:rPr>
          <w:b/>
        </w:rPr>
        <w:t xml:space="preserve">摘要（ZH）: </w:t>
      </w:r>
      <w:r>
        <w:t>共振磁扰动 (RMP) 已被证明可以触发 EAST 托卡马克离子温度通道 (ion-ITB) 中可持续的内部传输障碍 (Sheng et al 2025 PRX Energy4 043012)。本文进一步研究了 RMP 对 ion-ITB 的不同影响。除了使用 RMP 触发和维持 ion-ITB 之外，还可以通过调整 RMP 线圈的定相、环形模式数 ( ) 和电流来主动控制势垒。离子 ITB 的形成表现出强大的再现性，只需在所有其他放电设置保持固定的情况下调整 RMP 线圈配置即可实现。比较结果表明，高RMPs比低RMPs更有利于离子ITB的形成。实验和建模结果都表明，在这些情况下，核心区域的强磁扰动抑制了离子-ITB 的形成。 RMP 调制 ITB 实验的初步结果表明，鱼骨状对于离子 ITB 的形成并不是必需的，锯齿状对于离子 ITB 的塌陷也不是必需的，而等离子体电流分布似乎可能发挥重要作用。总的来说，这些结果表明 RMP 可以作为控制 ITB 和研究其基础物理的有效方法。</w:t>
      </w:r>
    </w:p>
    <w:p>
      <w:pPr>
        <w:spacing w:before="0" w:after="200" w:lineRule="auto" w:line="276"/>
      </w:pPr>
      <w:r>
        <w:rPr>
          <w:b/>
        </w:rPr>
        <w:t xml:space="preserve">Abstract (EN): </w:t>
      </w:r>
      <w:r>
        <w:t>Resonant magnetic perturbations (RMPs) have been demonstrated to trigger sustainable internal transport barriers in the ion temperature channel (ion-ITB) in the EAST tokamak (Sheng et al 2025 PRX Energy4 043012). This paper further examines the diverse effects of RMPs on ion-ITB. In addition to triggering and sustaining ion-ITB using RMPs, the barrier can also be actively controlled by adjusting the phasing, toroidal mode number ( ), and current of the RMP coils. The formation of ion-ITBs exhibits robust reproducibility, achievable solely by adjusting the RMP coil configuration with all other discharge settings held fixed. Comparative results indicate that high- RMPs are more favorable for ion-ITB formation than low- RMPs. Both experimental and modeling results demonstrate that strong magnetic perturbations in the core region suppress the formation of the ion-ITB in these cases. Preliminary results from RMP-modulated ITB experiments reveal that fishbone is not essential for ion-ITB formation, nor is sawtooth essential for its collapse, whereas the plasma current profile appears likely to play an important role. Overall, these results demonstrate that RMPs can serve as an effective method for controlling ITBs and investigating their underlying physics.</w:t>
      </w:r>
    </w:p>
    <w:p>
      <w:pPr>
        <w:spacing w:before="120" w:after="120"/>
      </w:pPr>
      <w:r>
        <w:rPr>
          <w:sz w:val="18"/>
        </w:rPr>
        <w:t>——————————————————————————————————————————————————————————————————————</w:t>
      </w:r>
    </w:p>
    <w:p>
      <w:pPr>
        <w:spacing w:before="160" w:after="40" w:line="240" w:lineRule="auto"/>
      </w:pPr>
      <w:r>
        <w:rPr>
          <w:b/>
        </w:rPr>
        <w:t xml:space="preserve">[11] </w:t>
      </w:r>
      <w:hyperlink r:id="rId222">
        <w:r>
          <w:rPr>
            <w:color w:val="1155CC"/>
            <w:u w:val="single"/>
          </w:rPr>
          <w:t>迈向融合系统的数字孪生</w:t>
        </w:r>
      </w:hyperlink>
    </w:p>
    <w:p>
      <w:pPr>
        <w:spacing w:before="0" w:after="80"/>
      </w:pPr>
      <w:r>
        <w:rPr>
          <w:i/>
          <w:sz w:val="20"/>
        </w:rPr>
        <w:t>EN: Towards digital twins of fusion systems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23">
        <w:r>
          <w:rPr>
            <w:color w:val="1155CC"/>
            <w:u w:val="single"/>
          </w:rPr>
          <w:t>10.1088/1741-4326/ae8037</w:t>
        </w:r>
      </w:hyperlink>
    </w:p>
    <w:p>
      <w:pPr>
        <w:spacing w:before="0" w:after="120"/>
      </w:pPr>
      <w:r>
        <w:rPr>
          <w:b/>
        </w:rPr>
        <w:t xml:space="preserve">Notes: </w:t>
      </w:r>
      <w:r>
        <w:t>abstract_source=rss_description</w:t>
      </w:r>
    </w:p>
    <w:p>
      <w:pPr>
        <w:spacing w:before="0" w:after="80" w:lineRule="auto" w:line="276"/>
      </w:pPr>
      <w:r>
        <w:rPr>
          <w:b/>
        </w:rPr>
        <w:t xml:space="preserve">摘要（ZH）: </w:t>
      </w:r>
      <w:r>
        <w:t>缩小与下一代设备的差距，同时节省宝贵的时间和资源，需要的不仅仅是半经验模型，这些模型很难预测未探索的参数范围内的等离子体行为。相反，经过验证的模拟工具至关重要，它利用高保真百亿亿次计算和多保真模型，包括基于人工智能的代理。为了应对这些挑战，“EUROfusion 理论和高级仿真协调 (E-TASC)”计划于 2021 年启动。它包括由五个高级计算中心支持的 15 个 TSVV（理论、仿真、验证和验证）项目。这个“团队的团队”在开发融合系统的数字孪生方面取得了实质性进展，论文中将介绍关键的科学成果。这包括以下主题领域：燃烧等离子体、磁流体动力学瞬态、L-H 跃迁和无 ELM 状态、等离子体排气和等离子体-壁相互作用的核心性能，以及在托卡马克和仿星器中的应用。</w:t>
      </w:r>
    </w:p>
    <w:p>
      <w:pPr>
        <w:spacing w:before="0" w:after="200" w:lineRule="auto" w:line="276"/>
      </w:pPr>
      <w:r>
        <w:rPr>
          <w:b/>
        </w:rPr>
        <w:t xml:space="preserve">Abstract (EN): </w:t>
      </w:r>
      <w:r>
        <w:t>Bridging the gap to next-step devices—while saving valuable time and resources—requires more than semi-empirical models, which struggle to predict plasma behavior in unexplored parameter regimes. Instead, validated simulation tools are essential, leveraging high-fidelity exascale computing and multi-fidelity models, including AI-based surrogates. To address these challenges, the ‘EUROfusion Theory and Advanced Simulation Coordination (E-TASC)’ initiative was launched in 2021. It includes 15 TSVV (Theory, Simulation, Verification, and Validation) projects supported by five Advanced Computing Hubs. This ‘team of teams’ has made substantial progress toward developing digital twins of fusion systems, with key scientific achievements to be presented in the paper. This includes the following topical areas: core performance in burning plasmas, magnetohydrodynamic transients, L–H transitions and ELM-free regimes, plasma exhaust, and plasma–wall interactions—with applications to both tokamaks and stellarators.</w:t>
      </w:r>
    </w:p>
    <w:p>
      <w:pPr>
        <w:spacing w:before="120" w:after="120"/>
      </w:pPr>
      <w:r>
        <w:rPr>
          <w:sz w:val="18"/>
        </w:rPr>
        <w:t>——————————————————————————————————————————————————————————————————————</w:t>
      </w:r>
    </w:p>
    <w:p>
      <w:pPr>
        <w:spacing w:before="160" w:after="40" w:line="240" w:lineRule="auto"/>
      </w:pPr>
      <w:r>
        <w:rPr>
          <w:b/>
        </w:rPr>
        <w:t xml:space="preserve">[12] </w:t>
      </w:r>
      <w:hyperlink r:id="rId224">
        <w:r>
          <w:rPr>
            <w:color w:val="1155CC"/>
            <w:u w:val="single"/>
          </w:rPr>
          <w:t>JA DEMO 托卡马克设计的功率和粒子排放以及杂质浓度的 SONIC 模拟研究</w:t>
        </w:r>
      </w:hyperlink>
    </w:p>
    <w:p>
      <w:pPr>
        <w:spacing w:before="0" w:after="80"/>
      </w:pPr>
      <w:r>
        <w:rPr>
          <w:i/>
          <w:sz w:val="20"/>
        </w:rPr>
        <w:t>EN: SONIC simulation studies of power and particle exhaust, alongside impurity concentration, for JA DEMO tokamak design</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25">
        <w:r>
          <w:rPr>
            <w:color w:val="1155CC"/>
            <w:u w:val="single"/>
          </w:rPr>
          <w:t>10.1088/1741-4326/ae7a08</w:t>
        </w:r>
      </w:hyperlink>
    </w:p>
    <w:p>
      <w:pPr>
        <w:spacing w:before="0" w:after="120"/>
      </w:pPr>
      <w:r>
        <w:rPr>
          <w:b/>
        </w:rPr>
        <w:t xml:space="preserve">Notes: </w:t>
      </w:r>
      <w:r>
        <w:t>abstract_source=rss_description</w:t>
      </w:r>
    </w:p>
    <w:p>
      <w:pPr>
        <w:spacing w:before="0" w:after="80" w:lineRule="auto" w:line="276"/>
      </w:pPr>
      <w:r>
        <w:rPr>
          <w:b/>
        </w:rPr>
        <w:t xml:space="preserve">摘要（ZH）: </w:t>
      </w:r>
      <w:r>
        <w:t>SONIC 偏滤器代码有助于同时计算种子杂质 (Ar) 和聚变产物 (He) 传输。 D2 气体和 Ar 气体分别在外偏滤器的外中板和上部位置注入。已对分离偏滤器中的 He 废气进行了 JA DEMO 参考系列的研究，其中氘气喷吹速率不断增加 (50–200 Pa m3s−1)，其中 Psep ∼ 250 MW，辐射分数为 0.8。外偏滤器热负荷 (qtotdiv) 在部分分离目标的附着区域达到峰值，通过增加 D2 抽吸速率同时保持相对较低的 nesep (2 × 1019 – 2.5 × 1019m−3)，峰值 qtotdiv 降至低于 10 MW m−2。偏滤器（PD0div、PD2div）中的中性压力和气体压力在圆顶排气槽和子偏滤器中进行评估。 D-抽吸扫描中的总压力 (PDtotdiv) 在外部排气槽处从 1.4 增加到 3 Pa，并且外部峰值 qtotdiv 与 (PDtotdiv)−0.7 成比例。在外偏滤器目标上方的分离-附着边界附近产生 M// = 0.2 – 0.3 的等离子流反转。确定了流动反转对等离子体和杂质传输的影响。对流热通量发生逆转，这显着影响了上游 SOL 中的离子热通量分布。流动逆转减少了外偏滤器中的杂质屏蔽和辐射损失。在 SOL 的分界线附近，Ar 浓度 (cAr) 的内增强进出不对称性很大，表明 Ar 离子从内部 SOL 传输到受限等离子体。在配置中</w:t>
      </w:r>
    </w:p>
    <w:p>
      <w:pPr>
        <w:spacing w:before="0" w:after="200" w:lineRule="auto" w:line="276"/>
      </w:pPr>
      <w:r>
        <w:rPr>
          <w:b/>
        </w:rPr>
        <w:t xml:space="preserve">Abstract (EN): </w:t>
      </w:r>
      <w:r>
        <w:t>SONIC divertor code facilitates simultaneous calculations of seeding impurity (Ar) and fusion product (He) transport. D2 and Ar gases were injected at the outer midplane and upper location of the outer divertor, respectively. He exhausts in the detached divertor have been investigated for a reference series of JA DEMO with an increasing deuterium gas puff rate (50–200 Pa m3s−1) where Psep ∼ 250 MW and the radiation fraction is 0.8. The outer divertor heat load (qtotdiv) peaked in the attached region on the partially detached target, and the peak-qtotdiv was reduced to lower than 10 MW m−2 by increasing the D2 puff rate while maintaining a relatively low nesep (2 × 1019 – 2.5 × 1019m−3). Neutral and gas pressures in the divertor (PD0div, PD2div) were evaluated at exhaust slots of the dome and in the sub-divertor. The total pressure (PDtotdiv) in the D-puff scan was increased from 1.4 to 3 Pa at the outer exhaust slots, and the outer peak-qtotdiv was proportional to (PDtotdiv)−0.7. Plasma flow reversals with M// = 0.2 – 0.3 were generated near the detach–attach boundary above the outer divertor target. The influence of the flow reversal on the plasma and impurity transport was determined. Convective heat flux was reversed, which significantly affected the ion heat flux profile in the upstream SOL. The flow reversal reduced the impurity shielding and radiation loss in the outer divertor. Inner-enhanced in–out asymmetry of Ar concentration (cAr) was large near the separatrix in SOL, suggesting that Ar ions were transported from the inner SOL to the confined plasma. In the confined plasma (edge), both cAredge and cHeedge were reduced and poloidally uniform, where cAredge was reduced to the marginal level and cHeedge was below the design reference by system code assumption (cArmain: 0.6%, cHemain: 7%). Consequently, these SONIC results are generally consistent with the JA DEMO higher-𝜅 design, and larger D-puff (and smaller ГAr,puff) operation is preferable for the large power exhaust in the divertor and the impurity control in the edge plasma.</w:t>
      </w:r>
    </w:p>
    <w:p>
      <w:pPr>
        <w:spacing w:before="120" w:after="120"/>
      </w:pPr>
      <w:r>
        <w:rPr>
          <w:sz w:val="18"/>
        </w:rPr>
        <w:t>——————————————————————————————————————————————————————————————————————</w:t>
      </w:r>
    </w:p>
    <w:p>
      <w:pPr>
        <w:spacing w:before="160" w:after="40" w:line="240" w:lineRule="auto"/>
      </w:pPr>
      <w:r>
        <w:rPr>
          <w:b/>
        </w:rPr>
        <w:t xml:space="preserve">[13] </w:t>
      </w:r>
      <w:hyperlink r:id="rId226">
        <w:r>
          <w:rPr>
            <w:color w:val="1155CC"/>
            <w:u w:val="single"/>
          </w:rPr>
          <w:t>通过耦合 METIS 和自由边界平衡代码 FBT 对 EAST 进行托卡马克放电模拟</w:t>
        </w:r>
      </w:hyperlink>
    </w:p>
    <w:p>
      <w:pPr>
        <w:spacing w:before="0" w:after="80"/>
      </w:pPr>
      <w:r>
        <w:rPr>
          <w:i/>
          <w:sz w:val="20"/>
        </w:rPr>
        <w:t>EN: Tokamak discharge simulation for EAST by coupling METIS and free-boundary equilibrium code FBT</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27">
        <w:r>
          <w:rPr>
            <w:color w:val="1155CC"/>
            <w:u w:val="single"/>
          </w:rPr>
          <w:t>10.1088/1741-4326/ae7f32</w:t>
        </w:r>
      </w:hyperlink>
    </w:p>
    <w:p>
      <w:pPr>
        <w:spacing w:before="0" w:after="120"/>
      </w:pPr>
      <w:r>
        <w:rPr>
          <w:b/>
        </w:rPr>
        <w:t xml:space="preserve">Notes: </w:t>
      </w:r>
      <w:r>
        <w:t>abstract_source=rss_description</w:t>
      </w:r>
    </w:p>
    <w:p>
      <w:pPr>
        <w:spacing w:before="0" w:after="80" w:lineRule="auto" w:line="276"/>
      </w:pPr>
      <w:r>
        <w:rPr>
          <w:b/>
        </w:rPr>
        <w:t xml:space="preserve">摘要（ZH）: </w:t>
      </w:r>
      <w:r>
        <w:t>快速可靠的放电建模是托卡马克场景开发的重要工具，因为需要进行大量模拟来探索可行的操作空间并将物理目标转换为可实现的执行器波形。在这项工作中，通过将快速集成托卡马克建模工具 METIS 与 MEQ（Matlab EQuilibrium）套件中的自由边界平衡代码 FBT 相结合，开发了用于实验先进超导托卡马克（EAST）的快速放电模拟器。 METIS 通过自洽地解决热和粒子传输与源剖面的问题，提供等离子体剖面的演变。然后，生成的输出直接用于 FBT 来计算获得给定等离子体形状所需的极向场 (PF) 线圈电流。耦合策略要么基于匹配 Grad-Shafranov 方程右侧的自由函数 ( 和 )，要么基于匹配全局量，例如等离子体电流和存储的能量。两种方法都可以有效确保两个代码之间压力和电流密度分布的一致性。 FBT 计算出的最后一条闭合通量表面 (LCFS) 曲线被反馈到 METIS 中以更新 LCFS，然后再次运行 METIS。重复 METIS-FBT 迭代直至达到收敛。使用平衡代码 FBT 获得的结果首先与 EAST 上可用的实验数据和重建结果进行基准比较。然后通过射频加热 EAST 放电的后射击模拟来评估耦合的 METIS-FBT 工作流程，显示其能力</w:t>
      </w:r>
    </w:p>
    <w:p>
      <w:pPr>
        <w:spacing w:before="0" w:after="200" w:lineRule="auto" w:line="276"/>
      </w:pPr>
      <w:r>
        <w:rPr>
          <w:b/>
        </w:rPr>
        <w:t xml:space="preserve">Abstract (EN): </w:t>
      </w:r>
      <w:r>
        <w:t>Fast and reliable discharge modeling is an essential tool for tokamak scenario development, as extensive simulations are required to explore the feasible operational space and translate physical targets into implementable actuator waveforms. In this work, a fast discharge simulator for Experimental Advanced Superconducting Tokamak (EAST) was developed by coupling the fast integrated tokamak modeling tool METIS with the free-boundary equilibrium code FBT from the MEQ (Matlab EQuilibrium) suite. METIS provides the evolution of the plasma profiles by self-consistently solving heat and particle transport with source profiles. The generated outputs are then used directly in FBT to computes the poloidal field (PF) coils currents needed in order to obtain a given plasma shape. The coupling strategy is based either on matching the free functions ( and ) on the right-hand side of the Grad–Shafranov equation, or on matching global quantities such as the plasma current and stored energy . Both approaches are effective in ensuring consistency of the pressure and current-density profiles between the two codes. The last closed flux surface (LCFS) curve computed by FBT is fed back into METIS to update the LCFS, and METIS is then run again. The METIS–FBT iteration is repeated until convergence is reached. The results obtained with the equilibrium code FBT are first benchmarked against experimental data and reconstruction results available on EAST. The coupled METIS-FBT workflow is then assessed through a post-shot simulation of an radio-frequency heated EAST discharge, showing its ability to reproduce the main plasma evolution and generate inverse free-boundary PF-coil current trajectories consistent with experimental references. Its predictive scenario-design capability is further demonstrated through the design of a synthetic discharge scenario.</w:t>
      </w:r>
    </w:p>
    <w:p>
      <w:pPr>
        <w:spacing w:before="120" w:after="120"/>
      </w:pPr>
      <w:r>
        <w:rPr>
          <w:sz w:val="18"/>
        </w:rPr>
        <w:t>——————————————————————————————————————————————————————————————————————</w:t>
      </w:r>
    </w:p>
    <w:p>
      <w:pPr>
        <w:spacing w:before="160" w:after="40" w:line="240" w:lineRule="auto"/>
      </w:pPr>
      <w:r>
        <w:rPr>
          <w:b/>
        </w:rPr>
        <w:t xml:space="preserve">[14] </w:t>
      </w:r>
      <w:hyperlink r:id="rId228">
        <w:r>
          <w:rPr>
            <w:color w:val="1155CC"/>
            <w:u w:val="single"/>
          </w:rPr>
          <w:t>通过强化学习在 EAST 上进行大瞬态扰动下的等流等离子体形状控制</w:t>
        </w:r>
      </w:hyperlink>
    </w:p>
    <w:p>
      <w:pPr>
        <w:spacing w:before="0" w:after="80"/>
      </w:pPr>
      <w:r>
        <w:rPr>
          <w:i/>
          <w:sz w:val="20"/>
        </w:rPr>
        <w:t>EN: Isoflux plasma shape control under large transient disturbances on EAST via reinforcement learning</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29">
        <w:r>
          <w:rPr>
            <w:color w:val="1155CC"/>
            <w:u w:val="single"/>
          </w:rPr>
          <w:t>10.1088/1741-4326/ae8313</w:t>
        </w:r>
      </w:hyperlink>
    </w:p>
    <w:p>
      <w:pPr>
        <w:spacing w:before="0" w:after="120"/>
      </w:pPr>
      <w:r>
        <w:rPr>
          <w:b/>
        </w:rPr>
        <w:t xml:space="preserve">Notes: </w:t>
      </w:r>
      <w:r>
        <w:t>abstract_source=rss_description</w:t>
      </w:r>
    </w:p>
    <w:p>
      <w:pPr>
        <w:spacing w:before="0" w:after="80" w:lineRule="auto" w:line="276"/>
      </w:pPr>
      <w:r>
        <w:rPr>
          <w:b/>
        </w:rPr>
        <w:t xml:space="preserve">摘要（ZH）: </w:t>
      </w:r>
      <w:r>
        <w:t>磁形状控制是托卡马克稳定运行的基础，其中等离子体边界必须保持高精度和鲁棒性以抵抗外部干扰。 EAST 的实验观察表明，在大瞬态误差条件下，基于固定参数 PID 的控制器可能会将执行器驱动至饱和状态，从而降低调节性能，并可能导致形状控制丧失。为了解决这一限制，这项工作在现有的 Isoflux 控制方案中为 EAST 开发了一种深度强化学习等离子体形状控制器。该控制器在富含干扰的模拟环境中进行训练，旨在重现大的瞬态误差条件，并采用量身定制的奖励设计，明确以大干扰鲁棒性为目标，同时提高执行器约束下的早期学习稳定性。仿真结果表明，在 PID 控制趋于饱和和恢复缓慢的情况下，学习策略可以实现更好的抗扰性和更高的控制精度。该控制器在 EAST 上得到进一步部署和实验验证，展示了稳定的等离子体形状调节，在长脉冲操作期间具有可接受的精度和增强的鲁棒性。</w:t>
      </w:r>
    </w:p>
    <w:p>
      <w:pPr>
        <w:spacing w:before="0" w:after="200" w:lineRule="auto" w:line="276"/>
      </w:pPr>
      <w:r>
        <w:rPr>
          <w:b/>
        </w:rPr>
        <w:t xml:space="preserve">Abstract (EN): </w:t>
      </w:r>
      <w:r>
        <w:t>Magnetic shape control is fundamental to stable tokamak operation, where the plasma boundary must be maintained with high accuracy and robustness against external disturbances. Experimental observations on EAST indicate that, under large transient-error conditions, a fixed-parameter PID-based controller may drive the actuators into saturation, degrading regulation performance and potentially leading to loss of shape control. To address this limitation, this work develops a deep reinforcement learning plasma shape controller for EAST within the existing Isoflux control scheme. The controller is trained in a disturbance-rich simulation environment designed to reproduce large transient-error conditions, and employs a tailored reward design that explicitly targets large-disturbance robustness while improving early-stage learning stability under actuator constraints. Simulation results show that the learned policy achieves improved disturbance rejection and higher control accuracy in regimes where PID control tends to saturate and recover slowly. The controller is further deployed and experimentally validated on EAST, demonstrating stable plasma shape regulation with acceptable accuracy and enhanced robustness during long-pulse operation.</w:t>
      </w:r>
    </w:p>
    <w:p>
      <w:pPr>
        <w:spacing w:before="120" w:after="120"/>
      </w:pPr>
      <w:r>
        <w:rPr>
          <w:sz w:val="18"/>
        </w:rPr>
        <w:t>——————————————————————————————————————————————————————————————————————</w:t>
      </w:r>
    </w:p>
    <w:p>
      <w:pPr>
        <w:spacing w:before="160" w:after="40" w:line="240" w:lineRule="auto"/>
      </w:pPr>
      <w:r>
        <w:rPr>
          <w:b/>
        </w:rPr>
        <w:t xml:space="preserve">[15] </w:t>
      </w:r>
      <w:hyperlink r:id="rId230">
        <w:r>
          <w:rPr>
            <w:color w:val="1155CC"/>
            <w:u w:val="single"/>
          </w:rPr>
          <w:t>JT-60SA 中 D-3He 场景中的 Alpha 粒子生成和限制</w:t>
        </w:r>
      </w:hyperlink>
    </w:p>
    <w:p>
      <w:pPr>
        <w:spacing w:before="0" w:after="80"/>
      </w:pPr>
      <w:r>
        <w:rPr>
          <w:i/>
          <w:sz w:val="20"/>
        </w:rPr>
        <w:t>EN: Alpha particle generation and confinement in D-3He scenarios in JT-60SA</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31">
        <w:r>
          <w:rPr>
            <w:color w:val="1155CC"/>
            <w:u w:val="single"/>
          </w:rPr>
          <w:t>10.1088/1741-4326/ae7e06</w:t>
        </w:r>
      </w:hyperlink>
    </w:p>
    <w:p>
      <w:pPr>
        <w:spacing w:before="0" w:after="120"/>
      </w:pPr>
      <w:r>
        <w:rPr>
          <w:b/>
        </w:rPr>
        <w:t xml:space="preserve">Notes: </w:t>
      </w:r>
      <w:r>
        <w:t>abstract_source=rss_description</w:t>
      </w:r>
    </w:p>
    <w:p>
      <w:pPr>
        <w:spacing w:before="0" w:after="80" w:lineRule="auto" w:line="276"/>
      </w:pPr>
      <w:r>
        <w:rPr>
          <w:b/>
        </w:rPr>
        <w:t xml:space="preserve">摘要（ZH）: </w:t>
      </w:r>
      <w:r>
        <w:t>未来的聚变反应堆将依赖来自 DT 等离子体燃料混合物的聚变产生的 α 粒子的很大一部分自加热。因此，了解 α 粒子的产生和限制至关重要，并且在 ITER 的预期中，应该进行彻底的研究。然而，在实验上，目前没有大型设备可以使用 DT 燃料运行，因此用于产生 α 粒子的替代方案开始发挥作用。由于在 JT-60SA 的科学开发中没有预见到 DT 操作，因此提出了一种依赖 3He 种子和高能 500 keV 中性束的聚变方案，类似于 JET 等其他设备中使用的方案，尽管在其中原始~100 keV 规模的束离子使用 RF 波进一步加速。在这项工作中，我们以即将推出的 OP2 和未来的混合方案作为参考等离子体，研究了源自 3He + NBI 方案的 α 粒子的产生和限制。我们将证明，由于 JT-60SA 上的高能 N-NBI 系统，当考虑在 JET 上进行类似范围的实验，同时使用显着较低的 3He 浓度时，可以实现显着更高的 α/中子生产率值。还将讨论损失功率和粒子速率，并显示在混合场景中执行的特定变体的优化阿尔法出生率，其中等离子体密度、位置和温度在恒定等离子体电流和磁场下变化。</w:t>
      </w:r>
    </w:p>
    <w:p>
      <w:pPr>
        <w:spacing w:before="0" w:after="200" w:lineRule="auto" w:line="276"/>
      </w:pPr>
      <w:r>
        <w:rPr>
          <w:b/>
        </w:rPr>
        <w:t xml:space="preserve">Abstract (EN): </w:t>
      </w:r>
      <w:r>
        <w:t>Future fusion reactors will rely on a significant fraction of self-heating by fusion born alpha particles coming from the DT plasma fuel mix. Understanding alpha particle generation and confinement is therefore critical and, in anticipation of ITER, should be subject to thorough research. Experimentally, however, no current large device can operate with DT fuel and therefore alternative schemes for alpha particle generation come into play. Since DT operation is not foreseen in the scientific exploitation of JT-60SA, a fusion scheme relying on 3He seeding and highly energetic 500 keV neutral beam is proposed similarly to what has been used in other devices such as JET although in there the original ∼100 keV scale beam ions were further accelerated using RF waves. In this work we investigate the generation and confinement of alpha particles stemming from this 3He + NBI scheme, taking the forthcoming OP2 and future hybrid scenarios as reference plasmas. We will show that owing to the high-energy N-NBI system on JT-60SA, significantly higher values of alpha/neutron production rates can be achieved when considering similarly scoped experiments on JET while using significantly lower 3He concentrations. Loss power and particle rates will also be discussed and optimised alpha birth rates shown for specific variants performed on the hybrid scenario where plasma density, position and temperature were varied at constant plasma current and magnetic field.</w:t>
      </w:r>
    </w:p>
    <w:p>
      <w:pPr>
        <w:spacing w:before="120" w:after="120"/>
      </w:pPr>
      <w:r>
        <w:rPr>
          <w:sz w:val="18"/>
        </w:rPr>
        <w:t>——————————————————————————————————————————————————————————————————————</w:t>
      </w:r>
    </w:p>
    <w:p>
      <w:pPr>
        <w:spacing w:before="160" w:after="40" w:line="240" w:lineRule="auto"/>
      </w:pPr>
      <w:r>
        <w:rPr>
          <w:b/>
        </w:rPr>
        <w:t xml:space="preserve">[16] </w:t>
      </w:r>
      <w:hyperlink r:id="rId232">
        <w:r>
          <w:rPr>
            <w:color w:val="1155CC"/>
            <w:u w:val="single"/>
          </w:rPr>
          <w:t>三角形对 TCV 双零 L 模式等离子体中功率共享和边界湍流的影响</w:t>
        </w:r>
      </w:hyperlink>
    </w:p>
    <w:p>
      <w:pPr>
        <w:spacing w:before="0" w:after="80"/>
      </w:pPr>
      <w:r>
        <w:rPr>
          <w:i/>
          <w:sz w:val="20"/>
        </w:rPr>
        <w:t>EN: Impact of triangularity on power sharing and boundary turbulence in TCV double-null L-mode plasmas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33">
        <w:r>
          <w:rPr>
            <w:color w:val="1155CC"/>
            <w:u w:val="single"/>
          </w:rPr>
          <w:t>10.1088/1741-4326/ae7e04</w:t>
        </w:r>
      </w:hyperlink>
    </w:p>
    <w:p>
      <w:pPr>
        <w:spacing w:before="0" w:after="120"/>
      </w:pPr>
      <w:r>
        <w:rPr>
          <w:b/>
        </w:rPr>
        <w:t xml:space="preserve">Notes: </w:t>
      </w:r>
      <w:r>
        <w:t>abstract_source=rss_description</w:t>
      </w:r>
    </w:p>
    <w:p>
      <w:pPr>
        <w:spacing w:before="0" w:after="80" w:lineRule="auto" w:line="276"/>
      </w:pPr>
      <w:r>
        <w:rPr>
          <w:b/>
        </w:rPr>
        <w:t xml:space="preserve">摘要（ZH）: </w:t>
      </w:r>
      <w:r>
        <w:t>我们对 TCV 中双零 (DN) L 模式等离子体中的功率共享、刮除层 (SOL) 传输和边界湍流的三角效应进行了系统的实验研究。我们表明，三角形 ( ) 强烈影响偏滤器目标之间的内/外功率共享。在高 DN 等离子体 () 中，只有 50% 的排气功率达到内部目标，而在低 DN () 中，该比例上升至 。在较低的单零等离子体中，内部目标功率分数从 ( ) 增加到 ( )。与分析模型的比较表明，观察到的功率共享趋势得到了定性再现，并进一步表明不仅减少了极向膨胀的径向传输，而且还增强了通过高场侧的跨场传输。虽然汤姆森散射测量显示中平面衰减长度没有明显的依赖性，但下部偏滤器中嵌入的朗缪尔探针显示出 和 之间的加宽。最后，边缘湍流在低处表现出波动水平的降低。在较小的尺度上，与高 DN 相比，低 DN 中的斑点结构的径向范围更小，并且相对于高 DN 的背景值具有更低的幅度，这与最近的 GBS 模拟一致，并支持等离子体成形、湍流特性和功率共享动力学之间的相关性。</w:t>
      </w:r>
    </w:p>
    <w:p>
      <w:pPr>
        <w:spacing w:before="0" w:after="200" w:lineRule="auto" w:line="276"/>
      </w:pPr>
      <w:r>
        <w:rPr>
          <w:b/>
        </w:rPr>
        <w:t xml:space="preserve">Abstract (EN): </w:t>
      </w:r>
      <w:r>
        <w:t>We present a systematic experimental study of triangularity effects on power sharing, scrape-Off layer (SOL) transport, and boundary turbulence in double-null (DN) L-mode plasmas in TCV. We show that triangularity ( ) strongly influences inner/outer power sharing between divertor targets. In high- DN plasmas ( ), only of the exhaust power reaches the inner targets, while in low- DN ( ) this fraction rises to . In lower single-null plasmas, the inner target power fraction increases from ( ) to ( ). Comparisons with analytic models show that the observed power-sharing trends are qualitatively reproduced, and further suggest not only a reduction of poloidally ballooned radial transport, but also enhanced cross-field transport through the high-field side. While Thomson scattering measurements show no clear -dependence of midplane decay lengths, embedded Langmuir probes in the lower divertor shows a broadening of between and . Finally, edge turbulence exhibit a reduction in fluctuation levels at low . On a smaller scale, blob structures are smaller in radial extent and with lower amplitude with regard to the background values in low- DN compared to high- , in agreement with recent GBS simulations and supporting the correlation between plasma shaping, turbulence characteristics, and power sharing dynamics.</w:t>
      </w:r>
    </w:p>
    <w:p>
      <w:pPr>
        <w:spacing w:before="120" w:after="120"/>
      </w:pPr>
      <w:r>
        <w:rPr>
          <w:sz w:val="18"/>
        </w:rPr>
        <w:t>——————————————————————————————————————————————————————————————————————</w:t>
      </w:r>
    </w:p>
    <w:p>
      <w:pPr>
        <w:spacing w:before="160" w:after="40" w:line="240" w:lineRule="auto"/>
      </w:pPr>
      <w:r>
        <w:rPr>
          <w:b/>
        </w:rPr>
        <w:t xml:space="preserve">[17] </w:t>
      </w:r>
      <w:hyperlink r:id="rId234">
        <w:r>
          <w:rPr>
            <w:color w:val="1155CC"/>
            <w:u w:val="single"/>
          </w:rPr>
          <w:t>EAST 上电离 NBI 粒子激发的离子回旋发射增长率的临时计算</w:t>
        </w:r>
      </w:hyperlink>
    </w:p>
    <w:p>
      <w:pPr>
        <w:spacing w:before="0" w:after="80"/>
      </w:pPr>
      <w:r>
        <w:rPr>
          <w:i/>
          <w:sz w:val="20"/>
        </w:rPr>
        <w:t>EN: An ad hoc calculation for the growth rate of ion cyclotron emission excited by ionized NBI particles on EAST</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35">
        <w:r>
          <w:rPr>
            <w:color w:val="1155CC"/>
            <w:u w:val="single"/>
          </w:rPr>
          <w:t>10.1088/1741-4326/ae7d08</w:t>
        </w:r>
      </w:hyperlink>
    </w:p>
    <w:p>
      <w:pPr>
        <w:spacing w:before="0" w:after="120"/>
      </w:pPr>
      <w:r>
        <w:rPr>
          <w:b/>
        </w:rPr>
        <w:t xml:space="preserve">Notes: </w:t>
      </w:r>
      <w:r>
        <w:t>abstract_source=rss_description</w:t>
      </w:r>
    </w:p>
    <w:p>
      <w:pPr>
        <w:spacing w:before="0" w:after="80" w:lineRule="auto" w:line="276"/>
      </w:pPr>
      <w:r>
        <w:rPr>
          <w:b/>
        </w:rPr>
        <w:t xml:space="preserve">摘要（ZH）: </w:t>
      </w:r>
      <w:r>
        <w:t>提出了一种临时计算来评估由中性束注入 (NBI) 中的电离原子驱动的离子回旋发射 (ICE) 的增长率。电离 NBI 原子的分布函数通过幂律依赖于具有幂律指数的粒子速度和具有标准偏差的螺距角高斯分布进行建模。然后计算均匀等离子体中近垂直传播的快磁声波的增长率，以研究速度梯度和俯仰角各向异性对 ICE 激发的影响。在 → 0 的极限下，速度梯度对增长率的贡献满足 ∝ α ，俯仰角各向异性的贡献满足 ∝ 。在 → 0 的极限内检查 NBI 注入方向和 NBI 原子速度的依赖性。使用 TRANSP 计算的电离 NBI 原子分布来分析 ICE 在 EAST 和 ASDEX Upgrade 上的增长率。 EAST#100 126放电中核心ICE信号的快速下降归因于核心NBI离子分布α的增加和减少。然而，ASDEX Upgrade 上发现的核心 ICE 主要是由速度梯度引起的，因为 ASDEX Upgrade 核心的电离 NBI 原子的分布比 EAST 核心的电离 NBI 原子要软得多。假设激发波仅以指定角度传播，则在均匀等离子体中检查 NBI 离子通过准线性相互作用在自生快磁声波上发生俯仰角散射的可能性</w:t>
      </w:r>
    </w:p>
    <w:p>
      <w:pPr>
        <w:spacing w:before="0" w:after="200" w:lineRule="auto" w:line="276"/>
      </w:pPr>
      <w:r>
        <w:rPr>
          <w:b/>
        </w:rPr>
        <w:t xml:space="preserve">Abstract (EN): </w:t>
      </w:r>
      <w:r>
        <w:t>An ad hoc calculation is presented to evaluate the growth rate of ion cyclotron emission (ICE) driven by ionized atoms from neutral beam injection (NBI). The distribution function of ionized NBI atoms is modeled with a power-law dependence on particle speed with a power-law index and a Gaussian distribution in pitch angle with a standard deviation. The growth rate of nearly perpendicular propagating fast magnetosonic waves is then calculated in uniform plasma to study the effects of the velocity gradient and the pitch-angle anisotropy on the excitation of ICE. In the limit of → 0, the contribution to the growth rate arising from the velocity gradient satisfies ∝ α and the contribution due to the pitch-angle anisotropy satisfies ∝ . The dependence of on the injection direction of NBI and the speed of NBI atoms is examined in the limit of → 0. The growth rate of ICE on EAST and ASDEX Upgrade is analyzed using TRANSP-calculated distribution of ionized NBI atoms. The fast decrease in the signals of core ICE in discharge #100 126 on EAST is attributed to the increase of and the decrease of α of the distribution of NBI ions at the core. The core ICE found on ASDEX Upgrade is, however, primarily caused by the velocity gradient, since ionized NBI atoms at the core of ASDEX Upgrade have a much softer distribution in than ionized NBI atoms at the core of EAST. The possibility of pitch-angle scattering of NBI ions on self-generated fast magnetosonic waves through quasi-linear interaction is examined in uniform plasma, assuming that the excited waves only propagate at a specified angle. The results, though idealized and heuristic, indicate that nearly perpendicular propagating ICE at the second and third harmonic frequencies may be more efficient in scattering resonant particles in pitch-angle space.</w:t>
      </w:r>
    </w:p>
    <w:p>
      <w:pPr>
        <w:spacing w:before="120" w:after="120"/>
      </w:pPr>
      <w:r>
        <w:rPr>
          <w:sz w:val="18"/>
        </w:rPr>
        <w:t>——————————————————————————————————————————————————————————————————————</w:t>
      </w:r>
    </w:p>
    <w:p>
      <w:pPr>
        <w:spacing w:before="160" w:after="40" w:line="240" w:lineRule="auto"/>
      </w:pPr>
      <w:r>
        <w:rPr>
          <w:b/>
        </w:rPr>
        <w:t xml:space="preserve">[18] </w:t>
      </w:r>
      <w:hyperlink r:id="rId236">
        <w:r>
          <w:rPr>
            <w:color w:val="1155CC"/>
            <w:u w:val="single"/>
          </w:rPr>
          <w:t>在 QUEST 中使用电子伯恩斯坦波电流驱动在高场侧注入上完全无感等离子体启动</w:t>
        </w:r>
      </w:hyperlink>
    </w:p>
    <w:p>
      <w:pPr>
        <w:spacing w:before="0" w:after="80"/>
      </w:pPr>
      <w:r>
        <w:rPr>
          <w:i/>
          <w:sz w:val="20"/>
        </w:rPr>
        <w:t>EN: Full noninductive plasma start-up using electron Bernstein wave current drive on high-field side injection in QUEST</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37">
        <w:r>
          <w:rPr>
            <w:color w:val="1155CC"/>
            <w:u w:val="single"/>
          </w:rPr>
          <w:t>10.1088/1741-4326/ae7b57</w:t>
        </w:r>
      </w:hyperlink>
    </w:p>
    <w:p>
      <w:pPr>
        <w:spacing w:before="0" w:after="120"/>
      </w:pPr>
      <w:r>
        <w:rPr>
          <w:b/>
        </w:rPr>
        <w:t xml:space="preserve">Notes: </w:t>
      </w:r>
      <w:r>
        <w:t>abstract_source=rss_description</w:t>
      </w:r>
    </w:p>
    <w:p>
      <w:pPr>
        <w:spacing w:before="0" w:after="80" w:lineRule="auto" w:line="276"/>
      </w:pPr>
      <w:r>
        <w:rPr>
          <w:b/>
        </w:rPr>
        <w:t xml:space="preserve">摘要（ZH）: </w:t>
      </w:r>
      <w:r>
        <w:t>电子回旋波（ECW）注入被认为是等离子体启动的有效辅助方法。在QUEST中，进行ECW的高场侧（HFS）注入以实现电子伯恩斯坦波（EBW）的有效模式转换，该电子伯恩斯坦波可以在高密度等离子体中传播，并在低电子温度下提供比ECW更高的加热/电流驱动效率。实验中清楚地观察到了电子束驱动电流的方向被环形磁场和径向磁场反转，电子束电流驱动（EBWCD）的这一特性在闭合磁通表面的形成中发挥了重要作用。这些发现得到了改进的电流密度分布模型的支持，该模型用于重建开放通量表面（OFS）相中的电流分布。 OFS 中的 EBWCD 效率在 OFS 阶段使用包括同向和反向定向的模型计算大约评估为 0.014 A W−1。</w:t>
      </w:r>
    </w:p>
    <w:p>
      <w:pPr>
        <w:spacing w:before="0" w:after="200" w:lineRule="auto" w:line="276"/>
      </w:pPr>
      <w:r>
        <w:rPr>
          <w:b/>
        </w:rPr>
        <w:t xml:space="preserve">Abstract (EN): </w:t>
      </w:r>
      <w:r>
        <w:t>Electron cyclotron wave (ECW) injection is considered an effective auxiliary method for plasma start-up. In QUEST, high-field side (HFS) injection of ECW was conducted to achieve effective mode conversion to electron Bernstein wave (EBW), which can propagate in high-density plasma and provide greater heating/current-drive efficiency than ECW at low electron temperatures. The EBW-driven current, whose direction is inverted by toroidal and radial magnetic fields, was clearly observed experimentally, and this characteristic of EBW current drive (EBWCD) played an important role in closed-flux surface formation. The findings are supported by an improved current-density profile model used to reconstruct the current distribution in the open flux surface (OFS) phase. The EBWCD efficiency in the OFS is approximately evaluated 0.014 A W−1 in the OFS phase using a model calculation that includes co- and counter-directed .</w:t>
      </w:r>
    </w:p>
    <w:p>
      <w:pPr>
        <w:spacing w:before="120" w:after="120"/>
      </w:pPr>
      <w:r>
        <w:rPr>
          <w:sz w:val="18"/>
        </w:rPr>
        <w:t>——————————————————————————————————————————————————————————————————————</w:t>
      </w:r>
    </w:p>
    <w:p>
      <w:pPr>
        <w:spacing w:before="160" w:after="40" w:line="240" w:lineRule="auto"/>
      </w:pPr>
      <w:r>
        <w:rPr>
          <w:b/>
        </w:rPr>
        <w:t xml:space="preserve">[19] </w:t>
      </w:r>
      <w:hyperlink r:id="rId238">
        <w:r>
          <w:rPr>
            <w:color w:val="1155CC"/>
            <w:u w:val="single"/>
          </w:rPr>
          <w:t>仿星器中气球模式的非线性饱和</w:t>
        </w:r>
      </w:hyperlink>
    </w:p>
    <w:p>
      <w:pPr>
        <w:spacing w:before="0" w:after="80"/>
      </w:pPr>
      <w:r>
        <w:rPr>
          <w:i/>
          <w:sz w:val="20"/>
        </w:rPr>
        <w:t>EN: Nonlinear saturation of ballooning modes in stellarators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39">
        <w:r>
          <w:rPr>
            <w:color w:val="1155CC"/>
            <w:u w:val="single"/>
          </w:rPr>
          <w:t>10.1088/1741-4326/ae7983</w:t>
        </w:r>
      </w:hyperlink>
    </w:p>
    <w:p>
      <w:pPr>
        <w:spacing w:before="0" w:after="120"/>
      </w:pPr>
      <w:r>
        <w:rPr>
          <w:b/>
        </w:rPr>
        <w:t xml:space="preserve">Notes: </w:t>
      </w:r>
      <w:r>
        <w:t>abstract_source=rss_description</w:t>
      </w:r>
    </w:p>
    <w:p>
      <w:pPr>
        <w:spacing w:before="0" w:after="80" w:lineRule="auto" w:line="276"/>
      </w:pPr>
      <w:r>
        <w:rPr>
          <w:b/>
        </w:rPr>
        <w:t xml:space="preserve">摘要（ZH）: </w:t>
      </w:r>
      <w:r>
        <w:t>使用 Ham 等人 (2018 Plasma Phys. Control. Fusion60 075017)、Ham 等人 (2016 Phys. Rev. Lett.116 235001) 的通量管方法在实际仿星器配置中研究气球模式饱和度。该方法适用于解决假设存在嵌套通量表面的仿星器平衡求解器中缺乏精确力平衡的问题。开发了计算通量管能量的变分方法来克服仿星器数值平衡中的力误差问题。对于线性膨胀不稳定剖面，显示存在穿过等离子体小半径 10%–20% 的饱和（平衡）通量管状态。结果表明，我们的模型再现了 Wendelstein 7X 全非线性 MHD 模拟中位移通量管结构的几个特征。在紧致仿星器平衡中发现饱和态，接近但低于边缘气球线性不稳定性，即未扰动平衡是亚稳态的。这表明仿星器中可能存在类似边缘局域模式的爆炸性 MHD 行为。</w:t>
      </w:r>
    </w:p>
    <w:p>
      <w:pPr>
        <w:spacing w:before="0" w:after="200" w:lineRule="auto" w:line="276"/>
      </w:pPr>
      <w:r>
        <w:rPr>
          <w:b/>
        </w:rPr>
        <w:t xml:space="preserve">Abstract (EN): </w:t>
      </w:r>
      <w:r>
        <w:t>Ballooning mode saturation is investigated in realistic stellarator configurations using the flux tube approach of Ham et al (2018 Plasma Phys. Control. Fusion60 075017), Ham et al (2016 Phys. Rev. Lett.116 235001). The method is adapted to account for the lack of exact force balance in stellarator equilibrium solvers that assume existence of nested flux surfaces. A variational approach for calculating flux tube energy is developed to overcome this force error problem in stellarator numerical equilibria. Saturated (equilibrium) flux tube states that cross 10%–20% of the plasma minor radius are shown to exist for linearly ballooning unstable profiles. It is shown that several features of the displaced flux tube structure in a full nonlinear MHD simulation of Wendelstein 7X are reproduced by our model. Saturated states are found in a compact stellarator equilibrium close but below the marginal ballooning linear instability, i.e. the unperturbed equilibrium is metastable. This suggests that edge-localized-mode-like explosive MHD behavior may be possible in stellarators.</w:t>
      </w:r>
    </w:p>
    <w:p>
      <w:pPr>
        <w:spacing w:before="120" w:after="120"/>
      </w:pPr>
      <w:r>
        <w:rPr>
          <w:sz w:val="18"/>
        </w:rPr>
        <w:t>——————————————————————————————————————————————————————————————————————</w:t>
      </w:r>
    </w:p>
    <w:p>
      <w:pPr>
        <w:spacing w:before="160" w:after="40" w:line="240" w:lineRule="auto"/>
      </w:pPr>
      <w:r>
        <w:rPr>
          <w:b/>
        </w:rPr>
        <w:t xml:space="preserve">[20] </w:t>
      </w:r>
      <w:hyperlink r:id="rId240">
        <w:r>
          <w:rPr>
            <w:color w:val="1155CC"/>
            <w:u w:val="single"/>
          </w:rPr>
          <w:t>选区激光熔化面向等离子体元件材料的高温蠕变和辐照损伤行为研究</w:t>
        </w:r>
      </w:hyperlink>
    </w:p>
    <w:p>
      <w:pPr>
        <w:spacing w:before="0" w:after="80"/>
      </w:pPr>
      <w:r>
        <w:rPr>
          <w:i/>
          <w:sz w:val="20"/>
        </w:rPr>
        <w:t>EN: Investigation on the high-temperature creep and irradiated damage behaviours of plasma-facing components material fabricated by selective laser melting</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41">
        <w:r>
          <w:rPr>
            <w:color w:val="1155CC"/>
            <w:u w:val="single"/>
          </w:rPr>
          <w:t>10.1088/1741-4326/ae7738</w:t>
        </w:r>
      </w:hyperlink>
    </w:p>
    <w:p>
      <w:pPr>
        <w:spacing w:before="0" w:after="120"/>
      </w:pPr>
      <w:r>
        <w:rPr>
          <w:b/>
        </w:rPr>
        <w:t xml:space="preserve">Notes: </w:t>
      </w:r>
      <w:r>
        <w:t>abstract_source=rss_description</w:t>
      </w:r>
    </w:p>
    <w:p>
      <w:pPr>
        <w:spacing w:before="0" w:after="80" w:lineRule="auto" w:line="276"/>
      </w:pPr>
      <w:r>
        <w:rPr>
          <w:b/>
        </w:rPr>
        <w:t xml:space="preserve">摘要（ZH）: </w:t>
      </w:r>
      <w:r>
        <w:t>氧化物弥散强化（ODS）钢是聚变反应堆中一种很有前途的结构材料，基体针晶界中的纳米颗粒和捕获点缺陷可以延缓蠕变和辐照引起的性能下降。本文采用选择性激光熔化（SLM）技术制备了含有 Y2O3 的 RAFM 钢，并仔细研究了蠕变和辐照下的微观结构演变。在相同应力和温度下，SLM形成的ODS-RAFM钢比RAFM钢具有更长的高温蠕变寿命，细化晶粒与再结晶和氧化物钉扎密切相关。 ODS-RAFM钢表现出良好的辐照稳定性，板条宽度略有增加，硬化率比RAFM钢小。在辐照过程中，ODS-RAFM钢中不断析出新的MX碳化物和Y-Ta-O氧化物，抑制晶粒长大。上述研究结果解释了RAFM钢在聚变反应堆高温和辐照环境下的微观组织演化和性能变化，验证了Y2O3纳米粒子在保持高温稳定性和抗辐照性能方面的重要作用，为未来ODS-RAFM钢全面用作核聚变反应堆包层结构材料提供了强有力的理论依据。</w:t>
      </w:r>
    </w:p>
    <w:p>
      <w:pPr>
        <w:spacing w:before="0" w:after="200" w:lineRule="auto" w:line="276"/>
      </w:pPr>
      <w:r>
        <w:rPr>
          <w:b/>
        </w:rPr>
        <w:t xml:space="preserve">Abstract (EN): </w:t>
      </w:r>
      <w:r>
        <w:t>Oxide dispersion-strengthened (ODS) steel is a promising structural material in fusion reactors, nanoparticles in matrix pin grain boundaries, and capture point defects and they delay the performance degradation caused by creep and irradiation. In this paper, RAFM steel with Y2O3 was formed by selective laser melting (SLM) and the microstructural evolution under creep and irradiation were closely studied. SLM-formed ODS-RAFM steel had a longer high-temperature creep life than RAFM steel at the same stress and temperature, the fined grains were closely related to recrystallisation and pinning of oxide. The ODS-RAFM steel exhibited great irradiation stability, the lath width slightly increased, and the hardening rate was smaller than RAFM steel. During the irradiation process, continuously precipitated new MX carbides and Y–Ta–O oxide occurred in ODS-RAFM steel, which resisted the growth of grains. The above research results explained the microstructural evolution of RAFM steel and the change of performance under high temperature and an irradiation environment of fusion reactors, which verified the significant role of Y2O3 nanoparticles in maintaining high temperature stability and irradiation resistance, hence providing a strong theoretical basis for the ODS-RAFM steel of the future to be fully used as the blanket structural material of nuclear fusion reactors.</w:t>
      </w:r>
    </w:p>
    <w:p>
      <w:pPr>
        <w:spacing w:before="120" w:after="120"/>
      </w:pPr>
      <w:r>
        <w:rPr>
          <w:sz w:val="18"/>
        </w:rPr>
        <w:t>——————————————————————————————————————————————————————————————————————</w:t>
      </w:r>
    </w:p>
    <w:p>
      <w:pPr>
        <w:spacing w:before="160" w:after="40" w:line="240" w:lineRule="auto"/>
      </w:pPr>
      <w:r>
        <w:rPr>
          <w:b/>
        </w:rPr>
        <w:t xml:space="preserve">[21] </w:t>
      </w:r>
      <w:hyperlink r:id="rId242">
        <w:r>
          <w:rPr>
            <w:color w:val="1155CC"/>
            <w:u w:val="single"/>
          </w:rPr>
          <w:t>在 LHD 中开发随时间演化的 NBCD 模拟，与中子和杂质测量一致</w:t>
        </w:r>
      </w:hyperlink>
    </w:p>
    <w:p>
      <w:pPr>
        <w:spacing w:before="0" w:after="80"/>
      </w:pPr>
      <w:r>
        <w:rPr>
          <w:i/>
          <w:sz w:val="20"/>
        </w:rPr>
        <w:t>EN: Development of time-evolving NBCD simulation in the LHD, consistent with neutron and impurity measurements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43">
        <w:r>
          <w:rPr>
            <w:color w:val="1155CC"/>
            <w:u w:val="single"/>
          </w:rPr>
          <w:t>10.1088/1741-4326/ae8281</w:t>
        </w:r>
      </w:hyperlink>
    </w:p>
    <w:p>
      <w:pPr>
        <w:spacing w:before="0" w:after="120"/>
      </w:pPr>
      <w:r>
        <w:rPr>
          <w:b/>
        </w:rPr>
        <w:t xml:space="preserve">Notes: </w:t>
      </w:r>
      <w:r>
        <w:t>abstract_source=rss_description</w:t>
      </w:r>
    </w:p>
    <w:p>
      <w:pPr>
        <w:spacing w:before="0" w:after="80" w:lineRule="auto" w:line="276"/>
      </w:pPr>
      <w:r>
        <w:rPr>
          <w:b/>
        </w:rPr>
        <w:t xml:space="preserve">摘要（ZH）: </w:t>
      </w:r>
      <w:r>
        <w:t>我们开发了大型螺旋装置（LHD）中由中性束驱动的等离子体电流的模拟代码。为了比较实验和模拟的结果，不仅必须估计束驱动电流，还必须估计其他分量。在本文中，我们集成了解决电磁感应、新古典输运（DKES/PENTA）和快离子分布函数（TASK3D-a和TASK/FP）的代码，以实现中性束电流驱动模拟。该代码已针对等离子体电流演化的分析解决方案进行了基准测试。然后该代码已应用于实际的 LHD 排放。尽管模拟等离子体电流的趋势和绝对值与测量的相似，但电流演变的时间常数不一致。通过考虑等离子体与外部线圈之间的互感，等离子体电流演化的模拟时间常数变得更接近实验时间常数。</w:t>
      </w:r>
    </w:p>
    <w:p>
      <w:pPr>
        <w:spacing w:before="0" w:after="200" w:lineRule="auto" w:line="276"/>
      </w:pPr>
      <w:r>
        <w:rPr>
          <w:b/>
        </w:rPr>
        <w:t xml:space="preserve">Abstract (EN): </w:t>
      </w:r>
      <w:r>
        <w:t>We have developed a simulation code for the plasma current driven by the neutral beam in the large helical device (LHD). To compare the results between the experiment and the simulation, not only the beam-driven current, but also the other components, must be estimated. In this paper, we have integrated the codes that solve electromagnetic induction, neoclassical transport (DKES/PENTA), and the fast-ion distribution function (TASK3D-a and TASK/FP) to achieve Neutral beam current drive simulation. The code has been benchmarked against the analytical solution for the evolution of the plasma current. Then the code has been applied to actual LHD discharges. Although the trend and the absolute value of the simulated plasma current became similar to the measured one, the time constant of the current evolution disagreed. By considering the mutual induction between the plasma and the external coils, the simulated time constant of the plasma current evolution became closer to the experimental one.</w:t>
      </w:r>
    </w:p>
    <w:p>
      <w:pPr>
        <w:spacing w:before="120" w:after="120"/>
      </w:pPr>
      <w:r>
        <w:rPr>
          <w:sz w:val="18"/>
        </w:rPr>
        <w:t>——————————————————————————————————————————————————————————————————————</w:t>
      </w:r>
    </w:p>
    <w:p>
      <w:pPr>
        <w:spacing w:before="160" w:after="40" w:line="240" w:lineRule="auto"/>
      </w:pPr>
      <w:r>
        <w:rPr>
          <w:b/>
        </w:rPr>
        <w:t xml:space="preserve">[22] </w:t>
      </w:r>
      <w:hyperlink r:id="rId244">
        <w:r>
          <w:rPr>
            <w:color w:val="1155CC"/>
            <w:u w:val="single"/>
          </w:rPr>
          <w:t>ESR2D：托卡马克中离子温度梯度模式的二维傅里叶空间全局回旋特征值代码</w:t>
        </w:r>
      </w:hyperlink>
    </w:p>
    <w:p>
      <w:pPr>
        <w:spacing w:before="0" w:after="80"/>
      </w:pPr>
      <w:r>
        <w:rPr>
          <w:i/>
          <w:sz w:val="20"/>
        </w:rPr>
        <w:t>EN: ESR2D: a two-dimensional Fourier-space global gyrokinetic eigenvalue code for the ion-temperature-gradient modes in tokamaks</w:t>
      </w:r>
    </w:p>
    <w:p>
      <w:pPr>
        <w:spacing w:before="0" w:after="120"/>
      </w:pPr>
      <w:r>
        <w:rPr>
          <w:b/>
        </w:rPr>
        <w:t xml:space="preserve">Source: </w:t>
      </w:r>
      <w:r>
        <w:t>Nuclear Fusion - latest papers</w:t>
      </w:r>
      <w:r>
        <w:t xml:space="preserve">    </w:t>
      </w:r>
      <w:r>
        <w:rPr>
          <w:b/>
        </w:rPr>
        <w:t xml:space="preserve">Pub date: </w:t>
      </w:r>
      <w:r>
        <w:t>2026-07-12 23:00:00+00:00</w:t>
      </w:r>
      <w:r>
        <w:t xml:space="preserve">    </w:t>
      </w:r>
      <w:r>
        <w:rPr>
          <w:b/>
        </w:rPr>
        <w:t xml:space="preserve">DOI: </w:t>
      </w:r>
      <w:hyperlink r:id="rId245">
        <w:r>
          <w:rPr>
            <w:color w:val="1155CC"/>
            <w:u w:val="single"/>
          </w:rPr>
          <w:t>10.1088/1741-4326/ae7f33</w:t>
        </w:r>
      </w:hyperlink>
    </w:p>
    <w:p>
      <w:pPr>
        <w:spacing w:before="0" w:after="120"/>
      </w:pPr>
      <w:r>
        <w:rPr>
          <w:b/>
        </w:rPr>
        <w:t xml:space="preserve">Notes: </w:t>
      </w:r>
      <w:r>
        <w:t>abstract_source=rss_description</w:t>
      </w:r>
    </w:p>
    <w:p>
      <w:pPr>
        <w:spacing w:before="0" w:after="80" w:lineRule="auto" w:line="276"/>
      </w:pPr>
      <w:r>
        <w:rPr>
          <w:b/>
        </w:rPr>
        <w:t xml:space="preserve">摘要（ZH）: </w:t>
      </w:r>
      <w:r>
        <w:t>二维 (2D) 傅立叶空间全局回旋特征值求解器 ESR2D 已被开发出来，用于解决托卡马克中离子温度梯度 (ITG) 模式的 2D 回旋特征值问题。由于没有对通过或捕获的离子进行简化假设，极向傅立叶空间中的二维回旋运动特征值方程已在 ESR2D 代码中导出并进行数值求解。在使用绝热电子的线性 ITG Cyclone 测试中，ESR2D 代码与回旋初始值代码 GENE、NLT 和 ORB5 的基准测试良好。发现系统中同时存在两个ITG模式的环形分支。</w:t>
      </w:r>
    </w:p>
    <w:p>
      <w:pPr>
        <w:spacing w:before="0" w:after="200" w:lineRule="auto" w:line="276"/>
      </w:pPr>
      <w:r>
        <w:rPr>
          <w:b/>
        </w:rPr>
        <w:t xml:space="preserve">Abstract (EN): </w:t>
      </w:r>
      <w:r>
        <w:t>A two-dimensional (2D) Fourier-space global gyrokinetic eigenvalue solver, ESR2D, has been developed to solve the 2D gyrokinetic eigenvalue problem for the ion-temperature-gradient (ITG) modes in tokamaks. With no simplifying assumptions made for passing or trapped ions, the 2D gyrokinetic eigenvalue equations in the poloidal Fourier space have been derived and numerically solved in the ESR2D code. In the linear ITG Cyclone test with adiabatic electrons, the ESR2D code benchmarks well against the gyrokinetic initial-value codes GENE, NLT and ORB5. It is found that two toroidal branches of ITG modes coexist in the system.</w:t>
      </w:r>
    </w:p>
    <w:p>
      <w:pPr>
        <w:spacing w:before="120" w:after="120"/>
      </w:pPr>
      <w:r>
        <w:rPr>
          <w:sz w:val="18"/>
        </w:rPr>
        <w:t>——————————————————————————————————————————————————————————————————————</w:t>
      </w:r>
    </w:p>
    <w:p>
      <w:pPr>
        <w:spacing w:before="160" w:after="40" w:line="240" w:lineRule="auto"/>
      </w:pPr>
      <w:r>
        <w:rPr>
          <w:b/>
        </w:rPr>
        <w:t xml:space="preserve">[23] </w:t>
      </w:r>
      <w:hyperlink r:id="rId246">
        <w:r>
          <w:rPr>
            <w:color w:val="1155CC"/>
            <w:u w:val="single"/>
          </w:rPr>
          <w:t>带隙工程混合共价有机框架纳米纤维气凝胶可增强光催化铀吸附</w:t>
        </w:r>
      </w:hyperlink>
    </w:p>
    <w:p>
      <w:pPr>
        <w:spacing w:before="0" w:after="80"/>
      </w:pPr>
      <w:r>
        <w:rPr>
          <w:i/>
          <w:sz w:val="20"/>
        </w:rPr>
        <w:t>EN: Bandgap Engineered Hybrid Covalent Organic Framework Nanofibrous Aerogels Enable Enhanced Photocatalytic Uranium Adsorption</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247">
        <w:r>
          <w:rPr>
            <w:color w:val="1155CC"/>
            <w:u w:val="single"/>
          </w:rPr>
          <w:t>10.1021/acsami.6c10796</w:t>
        </w:r>
      </w:hyperlink>
    </w:p>
    <w:p>
      <w:pPr>
        <w:spacing w:before="0" w:after="120"/>
      </w:pPr>
      <w:r>
        <w:rPr>
          <w:b/>
        </w:rPr>
        <w:t xml:space="preserve">Notes: </w:t>
      </w:r>
      <w:r>
        <w:t>abstract_source=pubmed</w:t>
      </w:r>
    </w:p>
    <w:p>
      <w:pPr>
        <w:spacing w:before="0" w:after="80" w:lineRule="auto" w:line="276"/>
      </w:pPr>
      <w:r>
        <w:rPr>
          <w:b/>
        </w:rPr>
        <w:t xml:space="preserve">摘要（ZH）: </w:t>
      </w:r>
      <w:r>
        <w:t>共价有机骨架（COF）在光催化应用中具有广阔的前景，包括从海水中提取铀（UES）。然而，单组分COF的性能往往受到光生电子-空穴对快速复合的限制。为了应对这一挑战，通过集成两个具有互补带隙结构和不同颗粒和纤维形状的光敏COF，构建了混合纳米纤维气凝胶（PCNF-A-x）。这种设计促进了 COF 在界面处的有效杂化，从而最大限度地降低了电荷传输电阻，并将电荷载流子寿命延长为 7.86 ns。优化后的材料在加铀天然海水中实现了高达 1023.88 mg/g 的铀 (U) 吸附容量，去除率高达 99.99%，并且具有优异的光催化稳定性（10 次循环后效率保持率约为 92.16%）。此外，28 天后，它在天然海水中的 U 吸附量为 8.60 mg/g，具有出色的选择性（Kd = 1.96 × 106 mL/g）和强大的机械性能。这项工作为高性能光催化吸附剂提供了合理的设计策略，并展示了它们在 UES 方面的巨大潜力。</w:t>
      </w:r>
    </w:p>
    <w:p>
      <w:pPr>
        <w:spacing w:before="0" w:after="200" w:lineRule="auto" w:line="276"/>
      </w:pPr>
      <w:r>
        <w:rPr>
          <w:b/>
        </w:rPr>
        <w:t xml:space="preserve">Abstract (EN): </w:t>
      </w:r>
      <w:r>
        <w:t>Covalent organic frameworks (COFs) hold great promise for photocatalytic applications, including uranium extraction from seawater (UES). However, the performance of single-component COF is often limited by the rapid recombination of photogenerated electron-hole pairs. To address this challenge, hybrid nanofibrous aerogels (PCNF-A-x) by integrating two photosensitive COFs with complementary bandgap structures and distinct particle and fiber shapes were constructed. This design promotes effective hybridization of COFs at the interface, leading to a minimized charge transfer resistance and an extended charge carrier lifetime of 7.86 ns. The optimized material achieves a remarkable uranium (U) adsorption capacity of 1023.88 mg/g in U-spiked natural seawater with a high removal rate of 99.99% and excellent photocatalytic stability (∼92.16% efficiency retention after 10 cycles). Moreover, it exhibits an attractive U adsorption amount of 8.60 mg/g from natural seawater after 28 days, coupled with exceptional selectivity (Kd = 1.96 × 106 mL/g) and robust mechanical properties. This work provides a rational design strategy for high-performance photocatalytic adsorbents and demonstrates their significant potential for UES.</w:t>
      </w:r>
    </w:p>
    <w:p>
      <w:pPr>
        <w:spacing w:before="120" w:after="120"/>
      </w:pPr>
      <w:r>
        <w:rPr>
          <w:sz w:val="18"/>
        </w:rPr>
        <w:t>——————————————————————————————————————————————————————————————————————</w:t>
      </w:r>
    </w:p>
    <w:p>
      <w:pPr>
        <w:spacing w:before="160" w:after="40" w:line="240" w:lineRule="auto"/>
      </w:pPr>
      <w:r>
        <w:rPr>
          <w:b/>
        </w:rPr>
        <w:t xml:space="preserve">[24] </w:t>
      </w:r>
      <w:hyperlink r:id="rId248">
        <w:r>
          <w:rPr>
            <w:color w:val="1155CC"/>
            <w:u w:val="single"/>
          </w:rPr>
          <w:t>通过激光偏振旋转检测螺线管等离子体湍流</w:t>
        </w:r>
      </w:hyperlink>
    </w:p>
    <w:p>
      <w:pPr>
        <w:spacing w:before="0" w:after="80"/>
      </w:pPr>
      <w:r>
        <w:rPr>
          <w:i/>
          <w:sz w:val="20"/>
        </w:rPr>
        <w:t>EN: Detecting Solenoidal Plasma Turbulence via Laser Polarization Rotation</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249">
        <w:r>
          <w:rPr>
            <w:color w:val="1155CC"/>
            <w:u w:val="single"/>
          </w:rPr>
          <w:t>10.1103/yvn5-v3qq</w:t>
        </w:r>
      </w:hyperlink>
    </w:p>
    <w:p>
      <w:pPr>
        <w:spacing w:before="0" w:after="120"/>
      </w:pPr>
      <w:r>
        <w:rPr>
          <w:b/>
        </w:rPr>
        <w:t xml:space="preserve">Notes: </w:t>
      </w:r>
      <w:r>
        <w:t>abstract_source=rss_description</w:t>
      </w:r>
    </w:p>
    <w:p>
      <w:pPr>
        <w:spacing w:before="0" w:after="80" w:lineRule="auto" w:line="276"/>
      </w:pPr>
      <w:r>
        <w:rPr>
          <w:b/>
        </w:rPr>
        <w:t xml:space="preserve">摘要（ZH）: </w:t>
      </w:r>
      <w:r>
        <w:t>作者：Kenan Qu 和 Nathaniel J. Fisch 最近的理论研究表明，螺线管湍流可以显着增强聚变反应性，但没有标准的诊断方法可以直接测量高能量密度等离子体中的螺线管流动，也没有区分螺线管湍流和压缩湍流。我们建议满足......[物理。莱特牧师。 137, 035101] 2026 年 7 月 13 日星期一发布</w:t>
      </w:r>
    </w:p>
    <w:p>
      <w:pPr>
        <w:spacing w:before="0" w:after="200" w:lineRule="auto" w:line="276"/>
      </w:pPr>
      <w:r>
        <w:rPr>
          <w:b/>
        </w:rPr>
        <w:t xml:space="preserve">Abstract (EN): </w:t>
      </w:r>
      <w:r>
        <w:t>Author(s): Kenan Qu and Nathaniel J. FischRecent theoretical studies suggest that solenoidal turbulence can significantly enhance fusion reactivity, yet no standard diagnostic exists to directly measure these solenoidal flows in high-energy-density plasmas, nor to distinguish between solenoidal and compressional turbulence. We propose a met…[Phys. Rev. Lett. 137, 035101] Published Mon Jul 13, 2026</w:t>
      </w:r>
    </w:p>
    <w:p>
      <w:pPr>
        <w:spacing w:before="120" w:after="120"/>
      </w:pPr>
      <w:r>
        <w:rPr>
          <w:sz w:val="18"/>
        </w:rPr>
        <w:t>——————————————————————————————————————————————————————————————————————</w:t>
      </w:r>
    </w:p>
    <w:p>
      <w:pPr>
        <w:spacing w:before="160" w:after="40" w:line="240" w:lineRule="auto"/>
      </w:pPr>
      <w:r>
        <w:rPr>
          <w:b/>
        </w:rPr>
        <w:t xml:space="preserve">[25] </w:t>
      </w:r>
      <w:hyperlink r:id="rId250">
        <w:r>
          <w:rPr>
            <w:color w:val="1155CC"/>
            <w:u w:val="single"/>
          </w:rPr>
          <w:t>从冷启动到可持续运行：托卡马克整个生命周期的中断预测策略</w:t>
        </w:r>
      </w:hyperlink>
    </w:p>
    <w:p>
      <w:pPr>
        <w:spacing w:before="0" w:after="80"/>
      </w:pPr>
      <w:r>
        <w:rPr>
          <w:i/>
          <w:sz w:val="20"/>
        </w:rPr>
        <w:t>EN: From cold start to sustainable operation: a strategy for disruption prediction across the tokamak lifecycle</w:t>
      </w:r>
    </w:p>
    <w:p>
      <w:pPr>
        <w:spacing w:before="0" w:after="120"/>
      </w:pPr>
      <w:r>
        <w:rPr>
          <w:b/>
        </w:rPr>
        <w:t xml:space="preserve">Source: </w:t>
      </w:r>
      <w:r>
        <w:t>Nuclear Fusion - latest papers</w:t>
      </w:r>
      <w:r>
        <w:t xml:space="preserve">    </w:t>
      </w:r>
      <w:r>
        <w:rPr>
          <w:b/>
        </w:rPr>
        <w:t xml:space="preserve">Pub date: </w:t>
      </w:r>
      <w:r>
        <w:t>2026-07-13 23:00:00+00:00</w:t>
      </w:r>
      <w:r>
        <w:t xml:space="preserve">    </w:t>
      </w:r>
      <w:r>
        <w:rPr>
          <w:b/>
        </w:rPr>
        <w:t xml:space="preserve">DOI: </w:t>
      </w:r>
      <w:hyperlink r:id="rId251">
        <w:r>
          <w:rPr>
            <w:color w:val="1155CC"/>
            <w:u w:val="single"/>
          </w:rPr>
          <w:t>10.1088/1741-4326/ae7e03</w:t>
        </w:r>
      </w:hyperlink>
    </w:p>
    <w:p>
      <w:pPr>
        <w:spacing w:before="0" w:after="120"/>
      </w:pPr>
      <w:r>
        <w:rPr>
          <w:b/>
        </w:rPr>
        <w:t xml:space="preserve">Notes: </w:t>
      </w:r>
      <w:r>
        <w:t>abstract_source=rss_description</w:t>
      </w:r>
    </w:p>
    <w:p>
      <w:pPr>
        <w:spacing w:before="0" w:after="80" w:lineRule="auto" w:line="276"/>
      </w:pPr>
      <w:r>
        <w:rPr>
          <w:b/>
        </w:rPr>
        <w:t xml:space="preserve">摘要（ZH）: </w:t>
      </w:r>
      <w:r>
        <w:t>等离子体破坏是托卡马克聚变的一个重大挑战，特别是在 ITER 等未来的大型设备中，它会造成严重的损坏。在未来托卡马克的整个生命周期中保护其安全需要一种中断预测策略，以解决从初始数据稀缺到不断变化的放电场景的一系列挑战。本文将三种不同的中断预测方法与一种策略相结合，最大限度地提高从新设备开始到后来的高性能操作阶段的保护。首先，对于新设备没有中断数据的早期阶段，我们设计了基于异常检测的中断预测器，仅需要非中断样本进行训练，从而能够防止首次放电。其次，为了随着放电场景的发展保持模型的性能，我们探索了自适应中断预测策略，使模型能够不断自我更新并跟踪不断变化的等离子体操作场景。最后，为了量化和管理中断对设备完整性的累积影响，我们引入了基于中断预算消耗（DBC）框架的运营管理。 DBC与自适应预测的集成将系统的目标从单纯的事件预测转变为主动的风险感知操作，通过在流量的DBC较低且预测不够准确时积累更多的数据，并利用这些数据自适应地针对高DBC流量训练更好的预测器。这些组件共同构成了一个全面的方法，可实现弹性中断预测</w:t>
      </w:r>
    </w:p>
    <w:p>
      <w:pPr>
        <w:spacing w:before="0" w:after="200" w:lineRule="auto" w:line="276"/>
      </w:pPr>
      <w:r>
        <w:rPr>
          <w:b/>
        </w:rPr>
        <w:t xml:space="preserve">Abstract (EN): </w:t>
      </w:r>
      <w:r>
        <w:t>Plasma disruption is a significant challenge in tokamak fusion, especially in large-size future devices like ITER, where it causes severe damage. Safeguarding future tokamaks throughout their entire lifecycle demands a disruption prediction strategy that addresses the sequential challenges from initial data scarcity to evolving discharge scenarios. This article combines three different disruption prediction methods with a strategy that maximizes the protection from the beginning of a new device to later high performance operation phase. First, for the early phase with no disruption data from the new device, we design anomaly detection-based disruption predictors that require only non-disruption samples for training, enabling protection from the first discharge. Second, to maintain the model’s performance as discharge scenarios evolve, we explore adaptive disruption prediction strategies that allow the model to continuously self-update and track evolving plasma operation scenarios. Finally, to quantify and manage the cumulative impact of disruptions on device integrity, we introduce the operation management based on disruption budget consumption (DBC) framework. The integration of DBC with adaptive prediction shifts the system’s objective from mere event forecasting to proactive risk-aware operation, by accumulating more data when the DBC of discharge is low and prediction is not accuracy enough, and utilizing the data to train better predictor adaptively for high DBC discharge. Together, these components form a comprehensive methodology, enabling resilient disruption prediction that is essential for the safe and sustainable operation of future tokamaks.</w:t>
      </w:r>
    </w:p>
    <w:p>
      <w:pPr>
        <w:spacing w:before="120" w:after="120"/>
      </w:pPr>
      <w:r>
        <w:rPr>
          <w:sz w:val="18"/>
        </w:rPr>
        <w:t>——————————————————————————————————————————————————————————————————————</w:t>
      </w:r>
    </w:p>
    <w:p>
      <w:pPr>
        <w:spacing w:before="160" w:after="40" w:line="240" w:lineRule="auto"/>
      </w:pPr>
      <w:r>
        <w:rPr>
          <w:b/>
        </w:rPr>
        <w:t xml:space="preserve">[26] </w:t>
      </w:r>
      <w:hyperlink r:id="rId252">
        <w:r>
          <w:rPr>
            <w:color w:val="1155CC"/>
            <w:u w:val="single"/>
          </w:rPr>
          <w:t>量化电阻扰动托卡马克平衡中的谐振驱动</w:t>
        </w:r>
      </w:hyperlink>
    </w:p>
    <w:p>
      <w:pPr>
        <w:spacing w:before="0" w:after="80"/>
      </w:pPr>
      <w:r>
        <w:rPr>
          <w:i/>
          <w:sz w:val="20"/>
        </w:rPr>
        <w:t>EN: Quantifying resonant drive in resistive perturbed tokamak equilibria</w:t>
      </w:r>
    </w:p>
    <w:p>
      <w:pPr>
        <w:spacing w:before="0" w:after="120"/>
      </w:pPr>
      <w:r>
        <w:rPr>
          <w:b/>
        </w:rPr>
        <w:t xml:space="preserve">Source: </w:t>
      </w:r>
      <w:r>
        <w:t>Nuclear Fusion - latest papers</w:t>
      </w:r>
      <w:r>
        <w:t xml:space="preserve">    </w:t>
      </w:r>
      <w:r>
        <w:rPr>
          <w:b/>
        </w:rPr>
        <w:t xml:space="preserve">Pub date: </w:t>
      </w:r>
      <w:r>
        <w:t>2026-07-13 23:00:00+00:00</w:t>
      </w:r>
      <w:r>
        <w:t xml:space="preserve">    </w:t>
      </w:r>
      <w:r>
        <w:rPr>
          <w:b/>
        </w:rPr>
        <w:t xml:space="preserve">DOI: </w:t>
      </w:r>
      <w:hyperlink r:id="rId253">
        <w:r>
          <w:rPr>
            <w:color w:val="1155CC"/>
            <w:u w:val="single"/>
          </w:rPr>
          <w:t>10.1088/1741-4326/ae7616</w:t>
        </w:r>
      </w:hyperlink>
    </w:p>
    <w:p>
      <w:pPr>
        <w:spacing w:before="0" w:after="120"/>
      </w:pPr>
      <w:r>
        <w:rPr>
          <w:b/>
        </w:rPr>
        <w:t xml:space="preserve">Notes: </w:t>
      </w:r>
      <w:r>
        <w:t>abstract_source=rss_description</w:t>
      </w:r>
    </w:p>
    <w:p>
      <w:pPr>
        <w:spacing w:before="0" w:after="80" w:lineRule="auto" w:line="276"/>
      </w:pPr>
      <w:r>
        <w:rPr>
          <w:b/>
        </w:rPr>
        <w:t xml:space="preserve">摘要（ZH）: </w:t>
      </w:r>
      <w:r>
        <w:t>托卡马克中的谐振驱动通常使用各种不同的指标来量化，这些指标针对外部扰动的谐振响应的不同方面。两个最直接的指标 和 被广泛使用，但它们的相对行为以前未被表征。这项工作使用 GPEC 中的电阻磁流体动力学内层模型的渐近匹配解决方案，研究了代表屏蔽电流和穿透场的这些指标在电阻扰动托卡马克平衡中的关系。与伦德奎斯特数成比例，直到饱和度较低，并且与其理想定义保持一致，但受到全局扭结结构的影响。这两个指标都显示出在同一电阻模型中产生非常相似的主要耦合模式。然而，电阻物理学在低旋转 ITER 平衡中将此主模谱转变为较低的极向模数。预计这种改变可以在实验中以谐振磁扰动线圈的最佳相对定相的形式观察到。</w:t>
      </w:r>
    </w:p>
    <w:p>
      <w:pPr>
        <w:spacing w:before="0" w:after="200" w:lineRule="auto" w:line="276"/>
      </w:pPr>
      <w:r>
        <w:rPr>
          <w:b/>
        </w:rPr>
        <w:t xml:space="preserve">Abstract (EN): </w:t>
      </w:r>
      <w:r>
        <w:t>Resonant drive in tokamaks is routinely quantified using a variety of different metrics that target different aspects of a resonant response to an external perturbation. Two of the most direct metrics, and , are widely used but their relative behavior was previously uncharacterized. This work examines how these metrics representing the shielding current and penetrated field relate in resistive perturbed tokamak equilibria using asymptotically matched solutions with a resistive magnetohydrodynamic inner layer model in GPEC. scales with Lundquist number as until saturation at low , and remains consistent with its ideal definition but is affected by global kink structure. Both metrics are shown to yield closely similar dominant coupling modes within the same resistive model. However, the resistive physics shifts this dominant mode spectrum to lower poloidal mode numbers in a low-rotation ITER equilibrium. This alteration is predicted to be observable in experiment in the form of optimal relative phasings of resonant magnetic perturbation coils.</w:t>
      </w:r>
    </w:p>
    <w:p>
      <w:pPr>
        <w:spacing w:before="120" w:after="120"/>
      </w:pPr>
      <w:r>
        <w:rPr>
          <w:sz w:val="18"/>
        </w:rPr>
        <w:t>——————————————————————————————————————————————————————————————————————</w:t>
      </w:r>
    </w:p>
    <w:p>
      <w:pPr>
        <w:spacing w:before="160" w:after="40" w:line="240" w:lineRule="auto"/>
      </w:pPr>
      <w:r>
        <w:rPr>
          <w:b/>
        </w:rPr>
        <w:t xml:space="preserve">[27] </w:t>
      </w:r>
      <w:hyperlink r:id="rId254">
        <w:r>
          <w:rPr>
            <w:color w:val="1155CC"/>
            <w:u w:val="single"/>
          </w:rPr>
          <w:t>ITER 和 JET 中未缓解的垂直位移事件期间热负荷的 3D 建模</w:t>
        </w:r>
      </w:hyperlink>
    </w:p>
    <w:p>
      <w:pPr>
        <w:spacing w:before="0" w:after="80"/>
      </w:pPr>
      <w:r>
        <w:rPr>
          <w:i/>
          <w:sz w:val="20"/>
        </w:rPr>
        <w:t>EN: 3D modelling of thermal loads during unmitigated vertical displacement events in ITER and JET</w:t>
      </w:r>
    </w:p>
    <w:p>
      <w:pPr>
        <w:spacing w:before="0" w:after="120"/>
      </w:pPr>
      <w:r>
        <w:rPr>
          <w:b/>
        </w:rPr>
        <w:t xml:space="preserve">Source: </w:t>
      </w:r>
      <w:r>
        <w:t>Nuclear Fusion - latest papers</w:t>
      </w:r>
      <w:r>
        <w:t xml:space="preserve">    </w:t>
      </w:r>
      <w:r>
        <w:rPr>
          <w:b/>
        </w:rPr>
        <w:t xml:space="preserve">Pub date: </w:t>
      </w:r>
      <w:r>
        <w:t>2026-07-13 23:00:00+00:00</w:t>
      </w:r>
      <w:r>
        <w:t xml:space="preserve">    </w:t>
      </w:r>
      <w:r>
        <w:rPr>
          <w:b/>
        </w:rPr>
        <w:t xml:space="preserve">DOI: </w:t>
      </w:r>
      <w:hyperlink r:id="rId255">
        <w:r>
          <w:rPr>
            <w:color w:val="1155CC"/>
            <w:u w:val="single"/>
          </w:rPr>
          <w:t>10.1088/1741-4326/ae80e3</w:t>
        </w:r>
      </w:hyperlink>
    </w:p>
    <w:p>
      <w:pPr>
        <w:spacing w:before="0" w:after="120"/>
      </w:pPr>
      <w:r>
        <w:rPr>
          <w:b/>
        </w:rPr>
        <w:t xml:space="preserve">Notes: </w:t>
      </w:r>
      <w:r>
        <w:t>abstract_source=rss_description</w:t>
      </w:r>
    </w:p>
    <w:p>
      <w:pPr>
        <w:spacing w:before="0" w:after="80" w:lineRule="auto" w:line="276"/>
      </w:pPr>
      <w:r>
        <w:rPr>
          <w:b/>
        </w:rPr>
        <w:t xml:space="preserve">摘要（ZH）: </w:t>
      </w:r>
      <w:r>
        <w:t>预测托卡马克中断期间的三维热负荷对于 ITER 至关重要，但目前仍处于薄弱环节。我们提出了一种基于物理的工作流程，它将垂直位移事件的 MHD 模拟与真实 3D 第一壁模型上的场线追踪和瞬态壁热响应结合起来。该方法针对铍主室装甲的 JET 放电进行了验证，再现了关键的全局动力学、非轴对称电流特征以及熔化的发生（或不存在），从而建立了对该方法的信心。然后，我们将相同的工作流程应用于具有钨 (W) 铠装的 ITER 相关条件，与新的 2024 年 ITER 重新基线一致，以评估中断热负荷及其 3D 定位。由此产生的分析证明了 ITER W 第一壁对这些事件的恢复能力，并提供了能量沉积和电流分布的预测。除了这些研究之外，该工作流程还可以对中断引起的热负荷进行逐个场景的估计，从而可以评估未来设备中这些事件的中断预算消耗。</w:t>
      </w:r>
    </w:p>
    <w:p>
      <w:pPr>
        <w:spacing w:before="0" w:after="200" w:lineRule="auto" w:line="276"/>
      </w:pPr>
      <w:r>
        <w:rPr>
          <w:b/>
        </w:rPr>
        <w:t xml:space="preserve">Abstract (EN): </w:t>
      </w:r>
      <w:r>
        <w:t>Predicting three-dimensional thermal loads during tokamak disruptions is essential for ITER yet remains weakly developed. We present a physics-based workflow that couples MHD simulations of vertical displacement events with field line tracing on a realistic 3D first wall model and a transient wall thermal response. The approach is validated against JET discharges with beryllium main chamber armour, reproducing key global dynamics, non-axisymmetric current features, and the occurrence (or absence) of melting, thereby building confidence in the methodology. We then apply the same workflow to ITER-relevant conditions with tungsten (W) armour, consistent with the new 2024 ITER re-baseline, to assess disruption heat loads and their 3D localization. The resulting analysis demonstrates the resilience of the ITER W first wall against these events and provides predictions for the energy deposition and current flow profiles. Beyond these studies, the workflow enables scenario-by-scenario estimates of disruption-induced thermal loading, allowing to assess the disruption-budget consumption for these events in future devices.</w:t>
      </w:r>
    </w:p>
    <w:p>
      <w:pPr>
        <w:spacing w:before="120" w:after="120"/>
      </w:pPr>
      <w:r>
        <w:rPr>
          <w:sz w:val="18"/>
        </w:rPr>
        <w:t>——————————————————————————————————————————————————————————————————————</w:t>
      </w:r>
    </w:p>
    <w:p>
      <w:pPr>
        <w:spacing w:before="160" w:after="40" w:line="240" w:lineRule="auto"/>
      </w:pPr>
      <w:r>
        <w:rPr>
          <w:b/>
        </w:rPr>
        <w:t xml:space="preserve">[28] </w:t>
      </w:r>
      <w:hyperlink r:id="rId256">
        <w:r>
          <w:rPr>
            <w:color w:val="1155CC"/>
            <w:u w:val="single"/>
          </w:rPr>
          <w:t>TCV 托卡马克中离子回旋发射的首次观测</w:t>
        </w:r>
      </w:hyperlink>
    </w:p>
    <w:p>
      <w:pPr>
        <w:spacing w:before="0" w:after="80"/>
      </w:pPr>
      <w:r>
        <w:rPr>
          <w:i/>
          <w:sz w:val="20"/>
        </w:rPr>
        <w:t>EN: First observations of ion cyclotron emission in the TCV tokamak</w:t>
      </w:r>
    </w:p>
    <w:p>
      <w:pPr>
        <w:spacing w:before="0" w:after="120"/>
      </w:pPr>
      <w:r>
        <w:rPr>
          <w:b/>
        </w:rPr>
        <w:t xml:space="preserve">Source: </w:t>
      </w:r>
      <w:r>
        <w:t>Nuclear Fusion - latest papers</w:t>
      </w:r>
      <w:r>
        <w:t xml:space="preserve">    </w:t>
      </w:r>
      <w:r>
        <w:rPr>
          <w:b/>
        </w:rPr>
        <w:t xml:space="preserve">Pub date: </w:t>
      </w:r>
      <w:r>
        <w:t>2026-07-13 23:00:00+00:00</w:t>
      </w:r>
      <w:r>
        <w:t xml:space="preserve">    </w:t>
      </w:r>
      <w:r>
        <w:rPr>
          <w:b/>
        </w:rPr>
        <w:t xml:space="preserve">DOI: </w:t>
      </w:r>
      <w:hyperlink r:id="rId257">
        <w:r>
          <w:rPr>
            <w:color w:val="1155CC"/>
            <w:u w:val="single"/>
          </w:rPr>
          <w:t>10.1088/1741-4326/ae7f9b</w:t>
        </w:r>
      </w:hyperlink>
    </w:p>
    <w:p>
      <w:pPr>
        <w:spacing w:before="0" w:after="120"/>
      </w:pPr>
      <w:r>
        <w:rPr>
          <w:b/>
        </w:rPr>
        <w:t xml:space="preserve">Notes: </w:t>
      </w:r>
      <w:r>
        <w:t>abstract_source=rss_description</w:t>
      </w:r>
    </w:p>
    <w:p>
      <w:pPr>
        <w:spacing w:before="0" w:after="80" w:lineRule="auto" w:line="276"/>
      </w:pPr>
      <w:r>
        <w:rPr>
          <w:b/>
        </w:rPr>
        <w:t xml:space="preserve">摘要（ZH）: </w:t>
      </w:r>
      <w:r>
        <w:t>报告了托卡马克配置变量 (TCV) 托卡马克中离子回旋发射 (ICE) 的首次观测。测量的 ICE 频率紧密跟随磁轴处的氘离子回旋加速器频率，时间变化与磁轴的平衡演化和相关位移一致。核心 ICE 主要在电子回旋共振加热 (ECRH) 和中性束注入 (NBI) 相结合的阶段观察到。在大多数放电中，二次谐波占主导地位，而在其他放电中，观察到更高次谐波（三次或四次）。经常检测到精细的光谱结构，包括分支分裂和频率啁啾，以及与来自靠近等离子体边缘的区域的回旋加速器谐波发射一致的附加模式。在并流和逆流 NBI 期间均可观察到核心 ICE。核心 ICE 相对于磁轴处离子回旋加速器谐波的频率偏移在同流和逆流注入之间反转符号，并且这种行为在反向等离子体电流的放电中得到了证实。观察到的频移在质量上与多普勒频移回旋共振论点一致。</w:t>
      </w:r>
    </w:p>
    <w:p>
      <w:pPr>
        <w:spacing w:before="0" w:after="200" w:lineRule="auto" w:line="276"/>
      </w:pPr>
      <w:r>
        <w:rPr>
          <w:b/>
        </w:rPr>
        <w:t xml:space="preserve">Abstract (EN): </w:t>
      </w:r>
      <w:r>
        <w:t>The first observations of ion cyclotron emission (ICE) in the Tokamak à Configuration Variable (TCV) tokamak are reported. The measured ICE frequency closely follows the deuterium ion cyclotron frequency at the magnetic axis, with temporal variations consistent with equilibrium evolution and associated shifts of the magnetic axis. Core ICE is observed primarily during phases with combined electron cyclotron resonance heating (ECRH) and neutral beam injection (NBI). In most discharges the second harmonic dominates, while in others higher harmonics (third or fourth) are observed. Fine spectral structure, including branch splitting and frequency chirping, is frequently detected, together with additional modes consistent with emission at cyclotron harmonics from regions closer to the plasma edge. Core ICE is observed during both co-current and counter-current NBI. The frequency offset of core ICE relative to the ion cyclotron harmonic at the magnetic axis reverses sign between co- and counter-current injection, and this behavior is confirmed in discharges with reversed plasma current. The observed frequency shifts are qualitatively consistent with Doppler-shifted cyclotron resonance arguments.</w:t>
      </w:r>
    </w:p>
    <w:p>
      <w:pPr>
        <w:spacing w:before="120" w:after="120"/>
      </w:pPr>
      <w:r>
        <w:rPr>
          <w:sz w:val="18"/>
        </w:rPr>
        <w:t>——————————————————————————————————————————————————————————————————————</w:t>
      </w:r>
    </w:p>
    <w:p>
      <w:pPr>
        <w:spacing w:before="160" w:after="40" w:line="240" w:lineRule="auto"/>
      </w:pPr>
      <w:r>
        <w:rPr>
          <w:b/>
        </w:rPr>
        <w:t xml:space="preserve">[29] </w:t>
      </w:r>
      <w:hyperlink r:id="rId258">
        <w:r>
          <w:rPr>
            <w:color w:val="1155CC"/>
            <w:u w:val="single"/>
          </w:rPr>
          <w:t>准裂变中的壳效应 $^{180}\mathrm{Hg}$：洞察裂变非对称模式</w:t>
        </w:r>
      </w:hyperlink>
    </w:p>
    <w:p>
      <w:pPr>
        <w:spacing w:before="0" w:after="80"/>
      </w:pPr>
      <w:r>
        <w:rPr>
          <w:i/>
          <w:sz w:val="20"/>
        </w:rPr>
        <w:t>EN: Shell effects in quasifission toward $^{180}\mathrm{Hg}$: Insights into fission asymmetric modes</w:t>
      </w:r>
    </w:p>
    <w:p>
      <w:pPr>
        <w:spacing w:before="0" w:after="120"/>
      </w:pPr>
      <w:r>
        <w:rPr>
          <w:b/>
        </w:rPr>
        <w:t xml:space="preserve">Source: </w:t>
      </w:r>
      <w:r>
        <w:t>Recent Articles in Phys. Rev. C</w:t>
      </w:r>
      <w:r>
        <w:t xml:space="preserve">    </w:t>
      </w:r>
      <w:r>
        <w:rPr>
          <w:b/>
        </w:rPr>
        <w:t xml:space="preserve">Pub date: </w:t>
      </w:r>
      <w:r>
        <w:t>2026-07-14 10:00:00+00:00</w:t>
      </w:r>
      <w:r>
        <w:t xml:space="preserve">    </w:t>
      </w:r>
      <w:r>
        <w:rPr>
          <w:b/>
        </w:rPr>
        <w:t xml:space="preserve">DOI: </w:t>
      </w:r>
      <w:hyperlink r:id="rId259">
        <w:r>
          <w:rPr>
            <w:color w:val="1155CC"/>
            <w:u w:val="single"/>
          </w:rPr>
          <w:t>10.1103/qdgj-bqbz</w:t>
        </w:r>
      </w:hyperlink>
    </w:p>
    <w:p>
      <w:pPr>
        <w:spacing w:before="0" w:after="120"/>
      </w:pPr>
      <w:r>
        <w:rPr>
          <w:b/>
        </w:rPr>
        <w:t xml:space="preserve">Notes: </w:t>
      </w:r>
      <w:r>
        <w:t>abstract_source=rss_description</w:t>
      </w:r>
    </w:p>
    <w:p>
      <w:pPr>
        <w:spacing w:before="0" w:after="80" w:lineRule="auto" w:line="276"/>
      </w:pPr>
      <w:r>
        <w:rPr>
          <w:b/>
        </w:rPr>
        <w:t xml:space="preserve">摘要（ZH）: </w:t>
      </w:r>
      <w:r>
        <w:t>作者：黄英格、梁豪兆、苏军背景：$^{180}\mathrm{Hg}$裂变实验揭示了锕系前区域可能存在的“新的不对称裂变模式”，对现有的裂变理论提出了挑战。在裂变和准裂变之间观察到壳效应的相似性，为广泛探索提供了可能性……[物理学。 Rev. C 114, 014618] 2026 年 7 月 14 日星期二发布</w:t>
      </w:r>
    </w:p>
    <w:p>
      <w:pPr>
        <w:spacing w:before="0" w:after="200" w:lineRule="auto" w:line="276"/>
      </w:pPr>
      <w:r>
        <w:rPr>
          <w:b/>
        </w:rPr>
        <w:t xml:space="preserve">Abstract (EN): </w:t>
      </w:r>
      <w:r>
        <w:t>Author(s): Yingge Huang (黄英格), Haozhao Liang (梁豪兆), and Jun Su (苏军)Background: The experiment of $^{180}\mathrm{Hg}$ fission revealed a possible “new asymmetric fission mode” in the preactinide region, posing challenges to current fission theory. Similarity in shell effects is observed between fission and quasifission, providing the possibility for widely exploring…[Phys. Rev. C 114, 014618] Published Tue Jul 14, 2026</w:t>
      </w:r>
    </w:p>
    <w:p>
      <w:pPr>
        <w:spacing w:before="120" w:after="120"/>
      </w:pPr>
      <w:r>
        <w:rPr>
          <w:sz w:val="18"/>
        </w:rPr>
        <w:t>——————————————————————————————————————————————————————————————————————</w:t>
      </w:r>
    </w:p>
    <w:p>
      <w:pPr>
        <w:spacing w:before="160" w:after="40" w:line="240" w:lineRule="auto"/>
      </w:pPr>
      <w:r>
        <w:rPr>
          <w:b/>
        </w:rPr>
        <w:t xml:space="preserve">[30] </w:t>
      </w:r>
      <w:hyperlink r:id="rId260">
        <w:r>
          <w:rPr>
            <w:color w:val="1155CC"/>
            <w:u w:val="single"/>
          </w:rPr>
          <w:t>Wendelstein 7-X 中湍流减少的高密度梯度等离子体中微撕裂湍流的意义</w:t>
        </w:r>
      </w:hyperlink>
    </w:p>
    <w:p>
      <w:pPr>
        <w:spacing w:before="0" w:after="80"/>
      </w:pPr>
      <w:r>
        <w:rPr>
          <w:i/>
          <w:sz w:val="20"/>
        </w:rPr>
        <w:t>EN: Significance of Microtearing Turbulence in Turbulence-Reduced High-Density-Gradient Plasmas in Wendelstein 7-X</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261">
        <w:r>
          <w:rPr>
            <w:color w:val="1155CC"/>
            <w:u w:val="single"/>
          </w:rPr>
          <w:t>10.1103/nd3p-yb9t</w:t>
        </w:r>
      </w:hyperlink>
    </w:p>
    <w:p>
      <w:pPr>
        <w:spacing w:before="0" w:after="120"/>
      </w:pPr>
      <w:r>
        <w:rPr>
          <w:b/>
        </w:rPr>
        <w:t xml:space="preserve">Notes: </w:t>
      </w:r>
      <w:r>
        <w:t>abstract_source=rss_description</w:t>
      </w:r>
    </w:p>
    <w:p>
      <w:pPr>
        <w:spacing w:before="0" w:after="80" w:lineRule="auto" w:line="276"/>
      </w:pPr>
      <w:r>
        <w:rPr>
          <w:b/>
        </w:rPr>
        <w:t xml:space="preserve">摘要（ZH）: </w:t>
      </w:r>
      <w:r>
        <w:t>作者：H. Cu-Castillo、A. Bañón Navarro、G. Merlo、F. Reimold、T. Romba、O. Ford、S. Bannmann、L. Vanó、M. Wappl、J. Geiger、A. Goodman、A. Zocco、F. Jenko 和 W7-X Team 减少湍流的 Wendelstein 7-X 的陀螺动力学模拟放电以陡峭的密度梯度、中等温度梯度和低血浆β为特征，表明微撕裂模式（MTM）湍流在传输中占主导地位。模拟的热通量和粒子通量与实验结果一致……[物理。莱特牧师。 137, 035102] 2026 年 7 月 14 日星期二发布</w:t>
      </w:r>
    </w:p>
    <w:p>
      <w:pPr>
        <w:spacing w:before="0" w:after="200" w:lineRule="auto" w:line="276"/>
      </w:pPr>
      <w:r>
        <w:rPr>
          <w:b/>
        </w:rPr>
        <w:t xml:space="preserve">Abstract (EN): </w:t>
      </w:r>
      <w:r>
        <w:t>Author(s): H. Cu-Castillo, A. Bañón Navarro, G. Merlo, F. Reimold, T. Romba, O. Ford, S. Bannmann, L. Vanó, M. Wappl, J. Geiger, A. Goodman, A. Zocco, F. Jenko, and W7-X TeamGyrokinetic simulations of a turbulence-reduced Wendelstein 7-X discharge—characterized by a steep density gradient, moderate temperature gradients, and low plasma beta—show that microtearing mode (MTM) turbulence dominates transport. The simulated heat and particle fluxes agree with experimental me…[Phys. Rev. Lett. 137, 035102] Published Tue Jul 14, 2026</w:t>
      </w:r>
    </w:p>
    <w:p>
      <w:pPr>
        <w:spacing w:before="120" w:after="120"/>
      </w:pPr>
      <w:r>
        <w:rPr>
          <w:sz w:val="18"/>
        </w:rPr>
        <w:t>——————————————————————————————————————————————————————————————————————</w:t>
      </w:r>
    </w:p>
    <w:p>
      <w:pPr>
        <w:spacing w:before="160" w:after="40" w:line="240" w:lineRule="auto"/>
      </w:pPr>
      <w:r>
        <w:rPr>
          <w:b/>
        </w:rPr>
        <w:t xml:space="preserve">[31] </w:t>
      </w:r>
      <w:hyperlink r:id="rId262">
        <w:r>
          <w:rPr>
            <w:color w:val="1155CC"/>
            <w:u w:val="single"/>
          </w:rPr>
          <w:t>根据 COMPASS 实验数据验证 GBS 代码</w:t>
        </w:r>
      </w:hyperlink>
    </w:p>
    <w:p>
      <w:pPr>
        <w:spacing w:before="0" w:after="80"/>
      </w:pPr>
      <w:r>
        <w:rPr>
          <w:i/>
          <w:sz w:val="20"/>
        </w:rPr>
        <w:t>EN: Validation of the GBS code against COMPASS experimental data</w:t>
      </w:r>
    </w:p>
    <w:p>
      <w:pPr>
        <w:spacing w:before="0" w:after="120"/>
      </w:pPr>
      <w:r>
        <w:rPr>
          <w:b/>
        </w:rPr>
        <w:t xml:space="preserve">Source: </w:t>
      </w:r>
      <w:r>
        <w:t>Nuclear Fusion - latest papers</w:t>
      </w:r>
      <w:r>
        <w:t xml:space="preserve">    </w:t>
      </w:r>
      <w:r>
        <w:rPr>
          <w:b/>
        </w:rPr>
        <w:t xml:space="preserve">Pub date: </w:t>
      </w:r>
      <w:r>
        <w:t>2026-07-14 23:00:00+00:00</w:t>
      </w:r>
      <w:r>
        <w:t xml:space="preserve">    </w:t>
      </w:r>
      <w:r>
        <w:rPr>
          <w:b/>
        </w:rPr>
        <w:t xml:space="preserve">DOI: </w:t>
      </w:r>
      <w:hyperlink r:id="rId263">
        <w:r>
          <w:rPr>
            <w:color w:val="1155CC"/>
            <w:u w:val="single"/>
          </w:rPr>
          <w:t>10.1088/1741-4326/ae8282</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这项工作首次采用三维、自洽、通量驱动、双流体全局 Braginskii 求解器 (GBS) 代码对 COMPASS 托卡马克边缘进行全尺寸湍流模拟。该模拟根据标准 L 模式 COMPASS 放电的实验数据进行了验证，覆盖了从外中板到偏滤器区域的刮除层 (SOL)。该数据集结合了四个诊断系统，并提供 43 个可观察的轮廓，包括电子温度和等离子体电势测量，从而能够在 COMPASS 中首次直接比较它们的波动和高阶统计数据。验证结果表明，对于大多数外中面可观测量，模拟与实验在剖面形状、幅度和波动水平方面具有良好的一致性。还再现了平行热通量衰减长度。在偏滤器中，平均分布在幅度上相当一致，但模拟的波动水平仍然被大大低估。高级斑点分析表明，模拟和实验主要位于鞘连接状态，部分存在于连接的理想交换状态。 COMPASS 模拟中的其余差异可能是简化参数和边界条件的结果，反映了流体湍流模型常见的局限性。总体而言，验证表明 GBS 捕获了主要的上游 SOL 湍流动力学，同时将偏滤器物理特性确定为进一步改进的主要目标。</w:t>
      </w:r>
    </w:p>
    <w:p>
      <w:pPr>
        <w:spacing w:before="0" w:after="200" w:lineRule="auto" w:line="276"/>
      </w:pPr>
      <w:r>
        <w:rPr>
          <w:b/>
        </w:rPr>
        <w:t xml:space="preserve">Abstract (EN): </w:t>
      </w:r>
      <w:r>
        <w:t>This work presents the first full-size turbulence simulation of the COMPASS tokamak edge with the three-dimensional, self-consistent, flux-driven, two-fluid Global Braginskii Solver (GBS) code. The simulation is validated against experimental data from a standard L-mode COMPASS discharge, covering the scrape-off layer (SOL) from the outer midplane to the divertor region. The dataset combines four diagnostic systems and provides 43 observable profiles, including electron temperature and plasma potential measurements that enable the first direct comparison of their fluctuations and higher-order statistics in COMPASS. The validation results show good agreement between simulation and experiment in profile shape, magnitude, and fluctuation levels for most outer midplane observables. The parallel heat-flux fall-off length is also reproduced. In the divertor, the mean profiles agree reasonably well in magnitude, but the simulated fluctuation levels remain significantly underestimated. Advanced blob analysis shows that both simulation and experiment lie mainly in the sheath-connected regime, with partial presence in the connected ideal-interchange regime. The remaining discrepancies in the COMPASS simulation are probably a consequence of simplified parameters and boundary conditions, reflecting limitations that are common to fluid turbulence models. Overall, the validation demonstrates that GBS captures the dominant upstream SOL turbulence dynamics, while identifying divertor physics as the main target for further improvement.</w:t>
      </w:r>
    </w:p>
    <w:p>
      <w:pPr>
        <w:spacing w:before="120" w:after="120"/>
      </w:pPr>
      <w:r>
        <w:rPr>
          <w:sz w:val="18"/>
        </w:rPr>
        <w:t>——————————————————————————————————————————————————————————————————————</w:t>
      </w:r>
    </w:p>
    <w:p>
      <w:pPr>
        <w:spacing w:before="160" w:after="40" w:line="240" w:lineRule="auto"/>
      </w:pPr>
      <w:r>
        <w:rPr>
          <w:b/>
        </w:rPr>
        <w:t xml:space="preserve">[32] </w:t>
      </w:r>
      <w:hyperlink r:id="rId264">
        <w:r>
          <w:rPr>
            <w:color w:val="1155CC"/>
            <w:u w:val="single"/>
          </w:rPr>
          <w:t>ITER EC上部发射器和EX容器波导系统的设计</w:t>
        </w:r>
      </w:hyperlink>
    </w:p>
    <w:p>
      <w:pPr>
        <w:spacing w:before="0" w:after="80"/>
      </w:pPr>
      <w:r>
        <w:rPr>
          <w:i/>
          <w:sz w:val="20"/>
        </w:rPr>
        <w:t>EN: The design of the EC upper launcher and EX-vessel waveguide systems for ITER</w:t>
      </w:r>
    </w:p>
    <w:p>
      <w:pPr>
        <w:spacing w:before="0" w:after="120"/>
      </w:pPr>
      <w:r>
        <w:rPr>
          <w:b/>
        </w:rPr>
        <w:t xml:space="preserve">Source: </w:t>
      </w:r>
      <w:r>
        <w:t>Nuclear Fusion - latest papers</w:t>
      </w:r>
      <w:r>
        <w:t xml:space="preserve">    </w:t>
      </w:r>
      <w:r>
        <w:rPr>
          <w:b/>
        </w:rPr>
        <w:t xml:space="preserve">Pub date: </w:t>
      </w:r>
      <w:r>
        <w:t>2026-07-14 23:00:00+00:00</w:t>
      </w:r>
      <w:r>
        <w:t xml:space="preserve">    </w:t>
      </w:r>
      <w:r>
        <w:rPr>
          <w:b/>
        </w:rPr>
        <w:t xml:space="preserve">DOI: </w:t>
      </w:r>
      <w:hyperlink r:id="rId265">
        <w:r>
          <w:rPr>
            <w:color w:val="1155CC"/>
            <w:u w:val="single"/>
          </w:rPr>
          <w:t>10.1088/1741-4326/ae80e1</w:t>
        </w:r>
      </w:hyperlink>
    </w:p>
    <w:p>
      <w:pPr>
        <w:spacing w:before="0" w:after="120"/>
      </w:pPr>
      <w:r>
        <w:rPr>
          <w:b/>
        </w:rPr>
        <w:t xml:space="preserve">Notes: </w:t>
      </w:r>
      <w:r>
        <w:t>abstract_source=rss_description</w:t>
      </w:r>
    </w:p>
    <w:p>
      <w:pPr>
        <w:spacing w:before="0" w:after="80" w:lineRule="auto" w:line="276"/>
      </w:pPr>
      <w:r>
        <w:rPr>
          <w:b/>
        </w:rPr>
        <w:t xml:space="preserve">摘要（ZH）: </w:t>
      </w:r>
      <w:r>
        <w:t>电子回旋加速器（EC）上部发射器（UL）和容器外波导（EW）是ITER EC系统的组成部分（Sanchez等人2025年对ITER IAEA FEC的ECH和CD系统的欧洲回旋加速器和电源的资格认证），在实现和维持托卡马克内核聚变所需的高温、提供等离子体加热和电流驱动以及磁流体动力学稳定方面发挥着关键作用为了 ITER 的成功运行。当前 ITER 基线配置的能量贡献融合包括四个 UL 和五组 EW。 UL 和 EW 系统目前处于欧洲与 ITER 组织之间采购协议框架下的最终设计阶段，已发布了最终设计文件包，此处描述为 2025 年 7 月进行的最终设计门审查的输入。发布的全套文件由以下部分组成：(1) 设计描述 (DD) 档案，由 UL 和 EW DD 文档组成，并由一组 3D 模型、图纸和图表支持； (2) 设计论证档案，包括一组端到端工程分析，根据适用要求验证组件的功能和结构完整性，以及两个系统的 RAMI 分析； (3) 产品生命周期档案，涵盖后续阶段的文档，包括制造、组装、安装、调试、操作、维护和退役。此外，当前正在进行的设计验证得到了支持</w:t>
      </w:r>
    </w:p>
    <w:p>
      <w:pPr>
        <w:spacing w:before="0" w:after="200" w:lineRule="auto" w:line="276"/>
      </w:pPr>
      <w:r>
        <w:rPr>
          <w:b/>
        </w:rPr>
        <w:t xml:space="preserve">Abstract (EN): </w:t>
      </w:r>
      <w:r>
        <w:t>The electron cyclotron (EC) upper launcher (UL) and ex-vessel waveguide (EW) are integral components of the ITER EC system (Sanchez et al 2025 Qualification of the European gyrotrons and power supplies of the ECH and CD system of ITER IAEA FEC), which plays a key role in achieving and maintaining the high temperatures required for nuclear fusion within the tokamak, providing plasma heating and current drive, and magnetohydrodynamics stabilization, which are crucial for ITER’s operational success. The fusion for energy contribution to the current ITER baseline configuration comprises four ULs and five sets of EWs. The UL and EW systems, currently in its final design phase under the frame of a procurement agreement between Europe and ITER organization, have released the final design documentation package, which is here described, as input to the final design gate review that took place in July 2025. The full set of documents released is composed by: (1) a design description (DD) dossier composed by a UL &amp; EW DD document and supported by a set of 3D models, drawings and diagrams; (2) a design justification dossier encompassing a set of end-to-end engineering analyses verifying the functionality and structural integrity of the components according to the applicable requirements, and the RAMI analysis of both systems; and (3) a product lifecycle dossier covering documentation for subsequent phases including manufacturing, assembly, installation, commissioning, operations, maintenance and decommissioning. Furthermore, the validation of the design is supported by currently on-going activities of prototyping and testing of the most critical components.</w:t>
      </w:r>
    </w:p>
    <w:p>
      <w:pPr>
        <w:spacing w:before="120" w:after="120"/>
      </w:pPr>
      <w:r>
        <w:rPr>
          <w:sz w:val="18"/>
        </w:rPr>
        <w:t>——————————————————————————————————————————————————————————————————————</w:t>
      </w:r>
    </w:p>
    <w:p>
      <w:pPr>
        <w:spacing w:before="160" w:after="40" w:line="240" w:lineRule="auto"/>
      </w:pPr>
      <w:r>
        <w:rPr>
          <w:b/>
        </w:rPr>
        <w:t xml:space="preserve">[33] </w:t>
      </w:r>
      <w:hyperlink r:id="rId266">
        <w:r>
          <w:rPr>
            <w:color w:val="1155CC"/>
            <w:u w:val="single"/>
          </w:rPr>
          <w:t>Alcator C-Mod 上的 EDA 和 ELMy H 模式之间的转换中近分离线等离子体和中性传输对基座的经验影响</w:t>
        </w:r>
      </w:hyperlink>
    </w:p>
    <w:p>
      <w:pPr>
        <w:spacing w:before="0" w:after="80"/>
      </w:pPr>
      <w:r>
        <w:rPr>
          <w:i/>
          <w:sz w:val="20"/>
        </w:rPr>
        <w:t>EN: Empirical impact of near-separatrix plasma and neutral transport on the pedestal in the transition between EDA and ELMy H-modes on Alcator C-Mod</w:t>
      </w:r>
    </w:p>
    <w:p>
      <w:pPr>
        <w:spacing w:before="0" w:after="120"/>
      </w:pPr>
      <w:r>
        <w:rPr>
          <w:b/>
        </w:rPr>
        <w:t xml:space="preserve">Source: </w:t>
      </w:r>
      <w:r>
        <w:t>Nuclear Fusion - latest papers</w:t>
      </w:r>
      <w:r>
        <w:t xml:space="preserve">    </w:t>
      </w:r>
      <w:r>
        <w:rPr>
          <w:b/>
        </w:rPr>
        <w:t xml:space="preserve">Pub date: </w:t>
      </w:r>
      <w:r>
        <w:t>2026-07-14 23:00:00+00:00</w:t>
      </w:r>
      <w:r>
        <w:t xml:space="preserve">    </w:t>
      </w:r>
      <w:r>
        <w:rPr>
          <w:b/>
        </w:rPr>
        <w:t xml:space="preserve">DOI: </w:t>
      </w:r>
      <w:hyperlink r:id="rId267">
        <w:r>
          <w:rPr>
            <w:color w:val="1155CC"/>
            <w:u w:val="single"/>
          </w:rPr>
          <w:t>10.1088/1741-4326/ae823f</w:t>
        </w:r>
      </w:hyperlink>
    </w:p>
    <w:p>
      <w:pPr>
        <w:spacing w:before="0" w:after="120"/>
      </w:pPr>
      <w:r>
        <w:rPr>
          <w:b/>
        </w:rPr>
        <w:t xml:space="preserve">Notes: </w:t>
      </w:r>
      <w:r>
        <w:t>abstract_source=rss_description</w:t>
      </w:r>
    </w:p>
    <w:p>
      <w:pPr>
        <w:spacing w:before="0" w:after="80" w:lineRule="auto" w:line="276"/>
      </w:pPr>
      <w:r>
        <w:rPr>
          <w:b/>
        </w:rPr>
        <w:t xml:space="preserve">摘要（ZH）: </w:t>
      </w:r>
      <w:r>
        <w:t>使用实验数据库和最近开发的预测基座模型在 Alcator C-Mod 上研究 ELMy H 模式和 EDA H 模式之间的转换。高分辨率汤姆森散射测量用于使用两个独立的拟合函数来检查分界线和基座操作空间，每个函数都专门用于分析基座或分界线和近 SOL 剖面。将基座密度 和分界线密度 与主室中性测量值进行比较。仅在 ELMy H 模式下对中性源敏感，而在 EDA H 模式下则不敏感。密度波动谱表明，准相干结构在密度较高时变得更强，并且相对于 ELMy H 模式的 ELM 间相位，EDA 中的准相干结构变得更加相干，然后在 的最高值处再次减弱。 Saarelma-Connor 基座密度预测模型针对高达 m 的 ELMy H 模式进行了验证。由电阻气球模式 (RBM) 驱动的附加传输通道 直接与碰撞湍流控制参数 成比例，并与特征 RBM 湍流波数和圆柱安全系数的平方的乘积成反比，可改善 EDA H 模式的预测，找到高达 m 的良好模型一致性。还以三个不同的 值执行 EPED 扫描。增加该比率会使剥离到膨胀分支的过渡降低。它还会在剥皮分支中增加，并在膨胀分支中减少。对于大型 ELM H 模式，发现与 EPED 预测一致</w:t>
      </w:r>
    </w:p>
    <w:p>
      <w:pPr>
        <w:spacing w:before="0" w:after="200" w:lineRule="auto" w:line="276"/>
      </w:pPr>
      <w:r>
        <w:rPr>
          <w:b/>
        </w:rPr>
        <w:t xml:space="preserve">Abstract (EN): </w:t>
      </w:r>
      <w:r>
        <w:t>The transition between the ELMy H-mode and the EDA H-mode is studied on Alcator C-Mod using an experimental database and recently-developed predictive pedestal models. High-resolution Thomson scattering measurements are used to inspect both the separatrix and pedestal operational space using two independent fit functions, each tailored to analyze either the pedestal or the separatrix and near-SOL profiles. The pedestal density, , and the separatrix density, , are compared to main chamber neutral measurements. is sensitive to neutral sources only in the ELMy H-mode regime and not in the EDA H-mode regime. Density fluctuation spectra reveal that quasi-coherent structures become stronger at higher densities and more coherent in the EDA relative to the inter-ELM phases of ELMy H-modes, before weakening again at the highest values of . The Saarelma–Connor pedestal density prediction model is validated for ELMy H-modes up to m . An additional transport channel driven by resistive ballooning modes (RBMs), , scaling directly with , a collisional turbulence control parameter, and inversely with , the product of the square of the characteristic RBM turbulence wavenumber and the cylindrical safety factor, is shown to improve the prediction for EDA H-modes, finding good model agreement up to m . EPED scans in are also performed, at three different values of . Increasing this ratio moves the peeling to ballooning branch transition to lower . It also increases in the peeling branch and decreases it in the ballooning branch. Agreement with the EPED prediction is found for large ELM H-modes. SPARC pedestal density predictions for an ELMy and an EDA/QCE-like H-mode are performed using the extension to the standalone Saarelma–Connor model and are found consistent with assumptions used in previous EPED modeling. Inclusion of significantly weakens the predicted density gradient near the separatrix, lowering by approximately 20%.</w:t>
      </w:r>
    </w:p>
    <w:p>
      <w:pPr>
        <w:spacing w:before="120" w:after="120"/>
      </w:pPr>
      <w:r>
        <w:rPr>
          <w:sz w:val="18"/>
        </w:rPr>
        <w:t>——————————————————————————————————————————————————————————————————————</w:t>
      </w:r>
    </w:p>
    <w:p>
      <w:pPr>
        <w:spacing w:before="160" w:after="40" w:line="240" w:lineRule="auto"/>
      </w:pPr>
      <w:r>
        <w:rPr>
          <w:b/>
        </w:rPr>
        <w:t xml:space="preserve">[34] </w:t>
      </w:r>
      <w:hyperlink r:id="rId268">
        <w:r>
          <w:rPr>
            <w:color w:val="1155CC"/>
            <w:u w:val="single"/>
          </w:rPr>
          <w:t>使用扩展仿星器两点模型研究岛偏滤器物理</w:t>
        </w:r>
      </w:hyperlink>
    </w:p>
    <w:p>
      <w:pPr>
        <w:spacing w:before="0" w:after="80"/>
      </w:pPr>
      <w:r>
        <w:rPr>
          <w:i/>
          <w:sz w:val="20"/>
        </w:rPr>
        <w:t>EN: Investigating island divertor physics with an extended stellarator two-point model</w:t>
      </w:r>
    </w:p>
    <w:p>
      <w:pPr>
        <w:spacing w:before="0" w:after="120"/>
      </w:pPr>
      <w:r>
        <w:rPr>
          <w:b/>
        </w:rPr>
        <w:t xml:space="preserve">Source: </w:t>
      </w:r>
      <w:r>
        <w:t>Nuclear Fusion - latest papers</w:t>
      </w:r>
      <w:r>
        <w:t xml:space="preserve">    </w:t>
      </w:r>
      <w:r>
        <w:rPr>
          <w:b/>
        </w:rPr>
        <w:t xml:space="preserve">Pub date: </w:t>
      </w:r>
      <w:r>
        <w:t>2026-07-14 23:00:00+00:00</w:t>
      </w:r>
      <w:r>
        <w:t xml:space="preserve">    </w:t>
      </w:r>
      <w:r>
        <w:rPr>
          <w:b/>
        </w:rPr>
        <w:t xml:space="preserve">DOI: </w:t>
      </w:r>
      <w:hyperlink r:id="rId269">
        <w:r>
          <w:rPr>
            <w:color w:val="1155CC"/>
            <w:u w:val="single"/>
          </w:rPr>
          <w:t>10.1088/1741-4326/ae855c</w:t>
        </w:r>
      </w:hyperlink>
    </w:p>
    <w:p>
      <w:pPr>
        <w:spacing w:before="0" w:after="120"/>
      </w:pPr>
      <w:r>
        <w:rPr>
          <w:b/>
        </w:rPr>
        <w:t xml:space="preserve">Notes: </w:t>
      </w:r>
      <w:r>
        <w:t>abstract_source=rss_description</w:t>
      </w:r>
    </w:p>
    <w:p>
      <w:pPr>
        <w:spacing w:before="0" w:after="80" w:lineRule="auto" w:line="276"/>
      </w:pPr>
      <w:r>
        <w:rPr>
          <w:b/>
        </w:rPr>
        <w:t xml:space="preserve">摘要（ZH）: </w:t>
      </w:r>
      <w:r>
        <w:t>Stangeby 的两点模型已被广泛用于深入了解托卡马克刮落层（SOL）中的相关传输过程。 Feng 已将其改编成仿星器两点模型 (STPM)，以考虑额外的垂直传输（Y. Feng 等人 2006 Nucl. Fusion46 807）。我们描述了一种特定于仿星器的回收机制，该机制不利于排气性能：扩散限制机制。我们用附加项扩展了 STPM，以研究对流功率分数、目标前面耗散的功率分数以及动量损失因子的更一般参数化的影响。我们发现增加对流功率分数对排气性能特别不利，而动量损失因子参数化是预测回收状况的关键。在此，将使用此扩展 STPM 进行的缩放与 EMC3-Eirene 模拟进行比较。使用简化的岛偏滤器几何形状，其仅限于狭窄的功率承载层。这有效地抑制了通量表面垂直方向上的跨场传输，但保留了相关的仿星器岛偏滤器特征，例如双法线传输、目标和通量管的 3D 几何形状，以及由此产生的目标阴影区域的存在。使用扩展 STPM 中从数值模拟中提取的附加参数，我们获得了该 0D 模型与 EMC3-Eirene 建模的 3D SOL 之间的定量一致性。这项工作确定了评估排气性能的关键参数</w:t>
      </w:r>
    </w:p>
    <w:p>
      <w:pPr>
        <w:spacing w:before="0" w:after="200" w:lineRule="auto" w:line="276"/>
      </w:pPr>
      <w:r>
        <w:rPr>
          <w:b/>
        </w:rPr>
        <w:t xml:space="preserve">Abstract (EN): </w:t>
      </w:r>
      <w:r>
        <w:t>The two-point model by Stangeby has been widely used to gain insight into the relevant transport processes in the tokamak scrape-off-layer (SOL). It has been adapted into a stellarator two-point model (STPM) by Feng to consider additional perpendicular transport (Y. Feng et al 2006 Nucl. Fusion46 807). We characterize a stellarator-specific recycling regime, detrimental for exhaust performance: the diffusion-limited regime. We extend the STPM with additional terms to investigate the impact of the convected power fraction, the fraction of power dissipated in front of the target, as well as a more general parametrization of momentum loss factor. We find that increasing the convected power fraction is particularly detrimental for exhaust performance, and that the momentum loss factor parametrization is key to predict the recycling regime. Herein, scalings made with this extended STPM are compared to EMC3-Eirene simulations. A simplified island divertor geometry, which is limited to a narrow power carrying layer, is used. This effectively suppresses cross field transport in the flux-surface-perpendicular direction, but retains the relevant stellarator island divertor features such as bi-normal transport, the 3D geometry of the targets and the flux tubes, as well as the resulting existence of a target shadow region. Using the additional parameters—extracted from numerical simulations—in the extended STPM, we obtain a quantitative agreement between this 0D model and the 3D SOL modeled by EMC3-Eirene. This work identifies the key parameters to assess the exhaust performance of the island divertor and ultimately the reactor-relevance of the concept.</w:t>
      </w:r>
    </w:p>
    <w:p>
      <w:pPr>
        <w:spacing w:before="120" w:after="120"/>
      </w:pPr>
      <w:r>
        <w:rPr>
          <w:sz w:val="18"/>
        </w:rPr>
        <w:t>——————————————————————————————————————————————————————————————————————</w:t>
      </w:r>
    </w:p>
    <w:p>
      <w:pPr>
        <w:spacing w:before="160" w:after="40" w:line="240" w:lineRule="auto"/>
      </w:pPr>
      <w:r>
        <w:rPr>
          <w:b/>
        </w:rPr>
        <w:t xml:space="preserve">[35] </w:t>
      </w:r>
      <w:hyperlink r:id="rId270">
        <w:r>
          <w:rPr>
            <w:color w:val="1155CC"/>
            <w:u w:val="single"/>
          </w:rPr>
          <w:t>托卡马克径向电场漂移构型依赖性和高约束接入的第一性原理解释</w:t>
        </w:r>
      </w:hyperlink>
    </w:p>
    <w:p>
      <w:pPr>
        <w:spacing w:before="0" w:after="80"/>
      </w:pPr>
      <w:r>
        <w:rPr>
          <w:i/>
          <w:sz w:val="20"/>
        </w:rPr>
        <w:t>EN: First-Principles Explanation of the Drift Configuration Dependence of the Radial Electric Field and High-Confinement Access in Tokamaks</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271">
        <w:r>
          <w:rPr>
            <w:color w:val="1155CC"/>
            <w:u w:val="single"/>
          </w:rPr>
          <w:t>10.1103/m911-g6kc</w:t>
        </w:r>
      </w:hyperlink>
    </w:p>
    <w:p>
      <w:pPr>
        <w:spacing w:before="0" w:after="120"/>
      </w:pPr>
      <w:r>
        <w:rPr>
          <w:b/>
        </w:rPr>
        <w:t xml:space="preserve">Notes: </w:t>
      </w:r>
      <w:r>
        <w:t>abstract_source=rss_description</w:t>
      </w:r>
    </w:p>
    <w:p>
      <w:pPr>
        <w:spacing w:before="0" w:after="80" w:lineRule="auto" w:line="276"/>
      </w:pPr>
      <w:r>
        <w:rPr>
          <w:b/>
        </w:rPr>
        <w:t xml:space="preserve">摘要（ZH）: </w:t>
      </w:r>
      <w:r>
        <w:t>作者：B. J. Frei、R. Bilato、O. Grover、W. Zholobenko、C. Angioni、M. Bergmann、P. Ulbl、F. Jenko 和 ASDEX 升级团队托卡马克中有利和不利漂移构型之间的高约束（$H$-模式）功率阈值差异的起源——实验上与更深的径向电场相关(${E}_{r}$) 很好地属于前者——仍未解决。使用第一原理回旋模拟……[物理。莱特牧师。 137, 035103] 2026 年 7 月 15 日星期三发布</w:t>
      </w:r>
    </w:p>
    <w:p>
      <w:pPr>
        <w:spacing w:before="0" w:after="200" w:lineRule="auto" w:line="276"/>
      </w:pPr>
      <w:r>
        <w:rPr>
          <w:b/>
        </w:rPr>
        <w:t xml:space="preserve">Abstract (EN): </w:t>
      </w:r>
      <w:r>
        <w:t>Author(s): B. J. Frei, R. Bilato, O. Grover, W. Zholobenko, C. Angioni, M. Bergmann, P. Ulbl, F. Jenko, and the ASDEX Upgrade TeamThe origin of the difference in the high-confinement ($H$-mode) power threshold between favorable and unfavorable drift configurations in tokamaks—experimentally linked to a deeper radial electric field (${E}_{r}$) well in the former—remains unresolved. Using first-principles gyrokinetic simulations…[Phys. Rev. Lett. 137, 035103] Published Wed Jul 15, 2026</w:t>
      </w:r>
    </w:p>
    <w:p>
      <w:pPr>
        <w:spacing w:before="120" w:after="120"/>
      </w:pPr>
      <w:r>
        <w:rPr>
          <w:sz w:val="18"/>
        </w:rPr>
        <w:t>——————————————————————————————————————————————————————————————————————</w:t>
      </w:r>
    </w:p>
    <w:p>
      <w:pPr>
        <w:spacing w:before="160" w:after="40" w:line="240" w:lineRule="auto"/>
      </w:pPr>
      <w:r>
        <w:rPr>
          <w:b/>
        </w:rPr>
        <w:t xml:space="preserve">[36] </w:t>
      </w:r>
      <w:hyperlink r:id="rId272">
        <w:r>
          <w:rPr>
            <w:color w:val="1155CC"/>
            <w:u w:val="single"/>
          </w:rPr>
          <w:t>观察${\mathrm{Al}}_{2}{\mathrm{O}}_{3}$上中子俘获引起的两个核反冲峰</w:t>
        </w:r>
      </w:hyperlink>
    </w:p>
    <w:p>
      <w:pPr>
        <w:spacing w:before="0" w:after="80"/>
      </w:pPr>
      <w:r>
        <w:rPr>
          <w:i/>
          <w:sz w:val="20"/>
        </w:rPr>
        <w:t>EN: Observation of two nuclear recoil peaks induced by neutron capture on ${\mathrm{Al}}_{2}{\mathrm{O}}_{3}$</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273">
        <w:r>
          <w:rPr>
            <w:color w:val="1155CC"/>
            <w:u w:val="single"/>
          </w:rPr>
          <w:t>10.1103/nt33-5z88</w:t>
        </w:r>
      </w:hyperlink>
    </w:p>
    <w:p>
      <w:pPr>
        <w:spacing w:before="0" w:after="120"/>
      </w:pPr>
      <w:r>
        <w:rPr>
          <w:b/>
        </w:rPr>
        <w:t xml:space="preserve">Notes: </w:t>
      </w:r>
      <w:r>
        <w:t>abstract_source=rss_description</w:t>
      </w:r>
    </w:p>
    <w:p>
      <w:pPr>
        <w:spacing w:before="0" w:after="80" w:lineRule="auto" w:line="276"/>
      </w:pPr>
      <w:r>
        <w:rPr>
          <w:b/>
        </w:rPr>
        <w:t xml:space="preserve">摘要（ZH）: </w:t>
      </w:r>
      <w:r>
        <w:t>作者：H. Abele 等人。 （Crab Collaboration）我们报告了在 Nucleus 合作开发的低温 ${\mathrm{Al}}_{2}{\mathrm{O}}_{3}$ 探测器中观察到的中子捕获铝引起的两个核反冲峰，该探测器用于通过相干弹性中微子核 ($\mathrm{CE}ν\mathrm{NS}$) 检测反应堆中微子…[Phys. Rev. C 114, 014621] 2026 年 7 月 15 日星期三发布</w:t>
      </w:r>
    </w:p>
    <w:p>
      <w:pPr>
        <w:spacing w:before="0" w:after="200" w:lineRule="auto" w:line="276"/>
      </w:pPr>
      <w:r>
        <w:rPr>
          <w:b/>
        </w:rPr>
        <w:t xml:space="preserve">Abstract (EN): </w:t>
      </w:r>
      <w:r>
        <w:t>Author(s): H. Abele et al. (Crab Collaboration)We report the observation of two nuclear recoil peaks induced by neutron capture on aluminum in a cryogenic ${\mathrm{Al}}_{2}{\mathrm{O}}_{3}$ detector developed by the Nucleus collaboration for the detection of reactor neutrinos via coherent elastic neutrino-nucleus ($\mathrm{CE}ν\mathrm{NS}$) pro…[Phys. Rev. C 114, 014621] Published Wed Jul 15, 2026</w:t>
      </w:r>
    </w:p>
    <w:p>
      <w:pPr>
        <w:spacing w:before="120" w:after="120"/>
      </w:pPr>
      <w:r>
        <w:rPr>
          <w:sz w:val="18"/>
        </w:rPr>
        <w:t>——————————————————————————————————————————————————————————————————————</w:t>
      </w:r>
    </w:p>
    <w:p>
      <w:pPr>
        <w:spacing w:before="160" w:after="40" w:line="240" w:lineRule="auto"/>
      </w:pPr>
      <w:r>
        <w:rPr>
          <w:b/>
        </w:rPr>
        <w:t xml:space="preserve">[37] </w:t>
      </w:r>
      <w:hyperlink r:id="rId274">
        <w:r>
          <w:rPr>
            <w:color w:val="1155CC"/>
            <w:u w:val="single"/>
          </w:rPr>
          <w:t>双正交偏振光束中共享离子声波模式驱动的前向受激布里渊散射</w:t>
        </w:r>
      </w:hyperlink>
    </w:p>
    <w:p>
      <w:pPr>
        <w:spacing w:before="0" w:after="80"/>
      </w:pPr>
      <w:r>
        <w:rPr>
          <w:i/>
          <w:sz w:val="20"/>
        </w:rPr>
        <w:t>EN: Forward stimulated Brillouin scattering driven by shared ion-acoustic wave mode in dual orthogonally polarized beams</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75">
        <w:r>
          <w:rPr>
            <w:color w:val="1155CC"/>
            <w:u w:val="single"/>
          </w:rPr>
          <w:t>10.1088/1741-4326/ae8315</w:t>
        </w:r>
      </w:hyperlink>
    </w:p>
    <w:p>
      <w:pPr>
        <w:spacing w:before="0" w:after="120"/>
      </w:pPr>
      <w:r>
        <w:rPr>
          <w:b/>
        </w:rPr>
        <w:t xml:space="preserve">Notes: </w:t>
      </w:r>
      <w:r>
        <w:t>abstract_source=rss_description</w:t>
      </w:r>
    </w:p>
    <w:p>
      <w:pPr>
        <w:spacing w:before="0" w:after="80" w:lineRule="auto" w:line="276"/>
      </w:pPr>
      <w:r>
        <w:rPr>
          <w:b/>
        </w:rPr>
        <w:t xml:space="preserve">摘要（ZH）: </w:t>
      </w:r>
      <w:r>
        <w:t>这项研究提出了一种使用两束正交偏振激光束激发前向受激布里渊散射（FSBS）的新机制。我们证明，当共享离子声波 (IAW) 模式被激发时，散射光和 IAW 之间相互作用产生的拍波可以产生 FSBS。模拟表明，所开发的 FSBS 通过驱动散射光之间的能量转移并竞争泵浦能量来抑制后向 SBS (BSBS) 和共享 IAW 模式。结果，双光束配置中的总后向散射反射率降低到与单光束入射相当的水平。这项工作不仅将 FSBS 视为一种不稳定因素，而且将其视为减轻集体不稳定因素的潜在机制。然而，它对光束传播和频移的影响也可能影响惯性约束聚变配置中的内爆对称性和能量沉积。</w:t>
      </w:r>
    </w:p>
    <w:p>
      <w:pPr>
        <w:spacing w:before="0" w:after="200" w:lineRule="auto" w:line="276"/>
      </w:pPr>
      <w:r>
        <w:rPr>
          <w:b/>
        </w:rPr>
        <w:t xml:space="preserve">Abstract (EN): </w:t>
      </w:r>
      <w:r>
        <w:t>This study proposes a novel mechanism for exciting forward stimulated Brillouin scattering (FSBS) using two orthogonally polarized laser beams. We demonstrate that, when a shared ion-acoustic wave (IAW) mode is excited, beat waves generated by the interaction between the scattered light and the IAW can seed FSBS. Simulations show that the developed FSBS suppresses backward SBS (BSBS) and the shared IAW mode by driving energy transfer between their scattered light and competing for pump energy. As a result, the total backscattering reflectivity in the dual-beam configuration is reduced to a level comparable to that of single-beam incidence. This work identifies FSBS not merely as an instability, but also as a potential mechanism for mitigating collective instability. However, its influence on beam propagation and frequency shift may also affect implosion symmetry and energy deposition in inertial confinement fusion configurations.</w:t>
      </w:r>
    </w:p>
    <w:p>
      <w:pPr>
        <w:spacing w:before="120" w:after="120"/>
      </w:pPr>
      <w:r>
        <w:rPr>
          <w:sz w:val="18"/>
        </w:rPr>
        <w:t>——————————————————————————————————————————————————————————————————————</w:t>
      </w:r>
    </w:p>
    <w:p>
      <w:pPr>
        <w:spacing w:before="160" w:after="40" w:line="240" w:lineRule="auto"/>
      </w:pPr>
      <w:r>
        <w:rPr>
          <w:b/>
        </w:rPr>
        <w:t xml:space="preserve">[38] </w:t>
      </w:r>
      <w:hyperlink r:id="rId276">
        <w:r>
          <w:rPr>
            <w:color w:val="1155CC"/>
            <w:u w:val="single"/>
          </w:rPr>
          <w:t>下一代磁等离子体约束实验中聚变功率测量的特点</w:t>
        </w:r>
      </w:hyperlink>
    </w:p>
    <w:p>
      <w:pPr>
        <w:spacing w:before="0" w:after="80"/>
      </w:pPr>
      <w:r>
        <w:rPr>
          <w:i/>
          <w:sz w:val="20"/>
        </w:rPr>
        <w:t>EN: Features of fusion power measurements in next-generation magnetic plasma confinement experiments</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77">
        <w:r>
          <w:rPr>
            <w:color w:val="1155CC"/>
            <w:u w:val="single"/>
          </w:rPr>
          <w:t>10.1088/1741-4326/ae7f9c</w:t>
        </w:r>
      </w:hyperlink>
    </w:p>
    <w:p>
      <w:pPr>
        <w:spacing w:before="0" w:after="120"/>
      </w:pPr>
      <w:r>
        <w:rPr>
          <w:b/>
        </w:rPr>
        <w:t xml:space="preserve">Notes: </w:t>
      </w:r>
      <w:r>
        <w:t>abstract_source=rss_description</w:t>
      </w:r>
    </w:p>
    <w:p>
      <w:pPr>
        <w:spacing w:before="0" w:after="80" w:lineRule="auto" w:line="276"/>
      </w:pPr>
      <w:r>
        <w:rPr>
          <w:b/>
        </w:rPr>
        <w:t xml:space="preserve">摘要（ZH）: </w:t>
      </w:r>
      <w:r>
        <w:t>聚变功率测量为任何成功的反应堆规模磁约束聚变设施提供了关键基准之一。在氘-氚燃料混合物中，中子在等离子体体积之外携带约 4/5 产生的聚变功率。因此，14 MeV 中子产额提供了机器聚变功率的主要直接测量。确定总中子产额测量不确定度的挑战可以通过多种策略来解决：在计量中子实验室中进行详细的探测器评估、使用移动中子源（通常为 252Cf）进行原位校准，以及在众所周知的放电中使用特征良好的探测器进行交叉校准。过渡到反应堆规模的装置，例如 BEST、ITER 和 DEMO，将需要使用产额为 1010–1011 s−1 及以上的中子源。多种诊断系统属于此范围：中子计数器、中子激活系统和多准直器系统。它们共同为 ITER 的情况提供了高达 10% 的精度和 1 毫秒时间分辨率的聚变功率测量，涵盖了广泛的聚变功率动态范围。考虑两种原位校准方法：（1）使用多个中子发生器（NG）位置来模拟圆形或“环形”聚变中子源来校准永久探测器组，以及（2）在校准过程中在真空容器内的不同位置使用多个临时探测器，从而使我们能够获得更多参考点，以在相同（或更少）的辐照时间下进行进一步的蒙特卡罗模型验证。本研究</w:t>
      </w:r>
    </w:p>
    <w:p>
      <w:pPr>
        <w:spacing w:before="0" w:after="200" w:lineRule="auto" w:line="276"/>
      </w:pPr>
      <w:r>
        <w:rPr>
          <w:b/>
        </w:rPr>
        <w:t xml:space="preserve">Abstract (EN): </w:t>
      </w:r>
      <w:r>
        <w:t>Fusion power measurements provide one of the key benchmarks for any successful reactor-scale magnetic confinement fusion facility. In a deuterium–tritium fuel mix, neutrons carry about 4/5 of the produced fusion power outside the plasma volume. Thus, the 14 MeV neutron yield provides the primary direct measurement of the fusion power of a machine. The challenge of determining uncertainty in total neutron yield measurements is solved using several strategies: detailed detector assessment in a metrological neutron laboratory, in situ calibration using a mobile neutron source (typically 252Cf), and cross-calibration using a well-characterized detector in a well-known discharge. Transition to reactor-scale devices, such as BEST, ITER, and DEMO, will require the use of neutron sources with yields of 1010–1011 s−1 and above. Multiple diagnostics systems fall within this scope: neutron counters, neutron activation systems, and multi-collimator systems. Together, they provide fusion power measurements with up to 10% accuracy and 1 ms time resolution for the case of ITER, across a broad dynamic range of fusion power. Two methods for in situ calibration are considered: (1) using multiple neutron generator (NG) positions to emulate a circular or ‘ring’ source of fusion neutrons for calibrating the permanent detector set, and (2) making use of multiple temporary detectors at various locations inside the vacuum vessel during calibration, thereby allowing us to obtain more reference points for further Monte Carlo model validation with the same (or less) irradiation duration. This study details the results of neutron detector characterization under laboratory conditions using compact NGs, showing that the use of powerful (up to 1011 s−1 D–T and 109 s−1 D–D) yet compact NGs with sealed tubes raises the challenge of steady-source metrological assurance, especially when considering said sources for in situ calibration.</w:t>
      </w:r>
    </w:p>
    <w:p>
      <w:pPr>
        <w:spacing w:before="120" w:after="120"/>
      </w:pPr>
      <w:r>
        <w:rPr>
          <w:sz w:val="18"/>
        </w:rPr>
        <w:t>——————————————————————————————————————————————————————————————————————</w:t>
      </w:r>
    </w:p>
    <w:p>
      <w:pPr>
        <w:spacing w:before="160" w:after="40" w:line="240" w:lineRule="auto"/>
      </w:pPr>
      <w:r>
        <w:rPr>
          <w:b/>
        </w:rPr>
        <w:t xml:space="preserve">[39] </w:t>
      </w:r>
      <w:hyperlink r:id="rId278">
        <w:r>
          <w:rPr>
            <w:color w:val="1155CC"/>
            <w:u w:val="single"/>
          </w:rPr>
          <w:t>TCV 上的无感高性能放电达到稳态</w:t>
        </w:r>
      </w:hyperlink>
    </w:p>
    <w:p>
      <w:pPr>
        <w:spacing w:before="0" w:after="80"/>
      </w:pPr>
      <w:r>
        <w:rPr>
          <w:i/>
          <w:sz w:val="20"/>
        </w:rPr>
        <w:t>EN: Non-inductive high-performance discharges on TCV on the path to steady state</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79">
        <w:r>
          <w:rPr>
            <w:color w:val="1155CC"/>
            <w:u w:val="single"/>
          </w:rPr>
          <w:t>10.1088/1741-4326/ae7f9f</w:t>
        </w:r>
      </w:hyperlink>
    </w:p>
    <w:p>
      <w:pPr>
        <w:spacing w:before="0" w:after="120"/>
      </w:pPr>
      <w:r>
        <w:rPr>
          <w:b/>
        </w:rPr>
        <w:t xml:space="preserve">Notes: </w:t>
      </w:r>
      <w:r>
        <w:t>abstract_source=rss_description</w:t>
      </w:r>
    </w:p>
    <w:p>
      <w:pPr>
        <w:spacing w:before="0" w:after="80" w:lineRule="auto" w:line="276"/>
      </w:pPr>
      <w:r>
        <w:rPr>
          <w:b/>
        </w:rPr>
        <w:t xml:space="preserve">摘要（ZH）: </w:t>
      </w:r>
      <w:r>
        <w:t>TCV 托卡马克正在进行一项扩展的实验工作，以开发与长脉冲操作兼容的场景，其特点主要是非感应驱动电流——最好是大部分自举电流。一个密切相关的目标是实现良好的血浆性能，通常通过标准化 β βN 来测量。这项工作是涉及几个欧洲托卡马克的更广泛努力的一部分，在 EUROfusion 托卡马克开发工作包 (WPTE) 的支持下，部分目的是为新的 JT-60SA 托卡马克准备先进的场景，这是有史以来运行的最大的此类设备，并将这些场景作为其任务的核心。本文报告了上一次活动中取得的令人鼓舞的进展，其特点是在多个电流弛豫时间 (Tpulse ≫ τR) 内持续进行广泛的放电，中央螺线管 (CS) 的通量贡献为零，并且接近稳态条件，βN ∼ 2 和离子温度 (Ti) 上升到与电子温度 (Te) 相同的数量级。辅助电源目前似乎是一个关键限制。随着 2027 年加热量的增加，TCV 现在有望实现完全静止、高 βN、完全无感中性束注入加热场景。在探索这种情况的边界的过程中，还重新审视了热电子（Te≫Ti）内部传输势垒（ITB）状态，并记录了12keV的温度（TCV无感放电的记录）。此外，完全无 CS 电流斜坡上升，启动 o</w:t>
      </w:r>
    </w:p>
    <w:p>
      <w:pPr>
        <w:spacing w:before="0" w:after="200" w:lineRule="auto" w:line="276"/>
      </w:pPr>
      <w:r>
        <w:rPr>
          <w:b/>
        </w:rPr>
        <w:t xml:space="preserve">Abstract (EN): </w:t>
      </w:r>
      <w:r>
        <w:t>An extended experimental effort is underway on the TCV tokamak to develop scenarios compatible with long-pulse operation, featuring mostly non-inductively driven current—preferably with a large fraction of bootstrap current. A closely related goal is to achieve good plasma performance, typically measured through the normalized beta βN. This work is part of a broader endeavor involving several European tokamaks, under the auspices of the Tokamak Exploitation Work Package (WPTE) of EUROfusion, and aimed in part at preparing advanced scenarios for the new JT-60SA tokamak, which is the largest such device ever operated and has these scenarios at the core of its mission. This paper reports on the encouraging progress achieved in the last campaign, featuring an extensive set of discharges sustained over multiple current relaxation times (Tpulse ≫ τR) with zero flux contribution from the central solenoid (CS), and approaching stationary conditions with βN ∼ 2 and ion temperature (Ti) rising towards the same order of magnitude as the electron temperature (Te). Auxiliary power currently appears to be a key limitation. With increased heating being added in 2027, there is now a realistic prospect of TCV reaching a fully stationary, high-βN, fully non-inductive neutral-beam injection-heated scenario. In the process of exploring the boundaries of this scenario, the hot-electron (Te ≫ Ti) internal-transport-barrier (ITB) regime was also revisited and temperatures of 12 keV were recorded (a record for TCV non-inductive discharges). Additionally, a fully CS-free current ramp-up, starting only 30 ms after breakdown and displaying robustly negative central magnetic shear, has also been demonstrated, with a smooth continuation into the flat-top, non-inductive, advanced-scenario phase. This scenario, which is accompanied by an electron ITB of varying strength, is also a promising step towards a possible spherical-tokamak power plant. Finally, central-solenoid-free operation in the X-point target divertor configuration has been achieved, with a view to attempting detachment in a closed divertor geometry.</w:t>
      </w:r>
    </w:p>
    <w:p>
      <w:pPr>
        <w:spacing w:before="120" w:after="120"/>
      </w:pPr>
      <w:r>
        <w:rPr>
          <w:sz w:val="18"/>
        </w:rPr>
        <w:t>——————————————————————————————————————————————————————————————————————</w:t>
      </w:r>
    </w:p>
    <w:p>
      <w:pPr>
        <w:spacing w:before="160" w:after="40" w:line="240" w:lineRule="auto"/>
      </w:pPr>
      <w:r>
        <w:rPr>
          <w:b/>
        </w:rPr>
        <w:t xml:space="preserve">[40] </w:t>
      </w:r>
      <w:hyperlink r:id="rId280">
        <w:r>
          <w:rPr>
            <w:color w:val="1155CC"/>
            <w:u w:val="single"/>
          </w:rPr>
          <w:t>揭示聚变材料的长期缺陷演化：铁和钨的分子动力学与物体动力学蒙特卡罗的动态耦合</w:t>
        </w:r>
      </w:hyperlink>
    </w:p>
    <w:p>
      <w:pPr>
        <w:spacing w:before="0" w:after="80"/>
      </w:pPr>
      <w:r>
        <w:rPr>
          <w:i/>
          <w:sz w:val="20"/>
        </w:rPr>
        <w:t>EN: Unveiling long-term defect evolution in fusion materials: a dynamic coupling of molecular dynamics with object kinetic Monte Carlo for iron and tungsten</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81">
        <w:r>
          <w:rPr>
            <w:color w:val="1155CC"/>
            <w:u w:val="single"/>
          </w:rPr>
          <w:t>10.1088/1741-4326/ae80e2</w:t>
        </w:r>
      </w:hyperlink>
    </w:p>
    <w:p>
      <w:pPr>
        <w:spacing w:before="0" w:after="120"/>
      </w:pPr>
      <w:r>
        <w:rPr>
          <w:b/>
        </w:rPr>
        <w:t xml:space="preserve">Notes: </w:t>
      </w:r>
      <w:r>
        <w:t>abstract_source=rss_description</w:t>
      </w:r>
    </w:p>
    <w:p>
      <w:pPr>
        <w:spacing w:before="0" w:after="80" w:lineRule="auto" w:line="276"/>
      </w:pPr>
      <w:r>
        <w:rPr>
          <w:b/>
        </w:rPr>
        <w:t xml:space="preserve">摘要（ZH）: </w:t>
      </w:r>
      <w:r>
        <w:t>核试验反应堆和发电厂中的材料暴露于辐射会强烈改变结构部件的微观结构和长期性能。尽管主要损伤事件发生在皮秒到纳秒的时间尺度内，但其后果可以控制实验相关辐照周期内的缺陷演变。经典分子动力学（MD）可以解决具有原子细节的碰撞级联，但其可接近的时间尺度导致剂量率远远高于实验条件。物体动力学蒙特卡罗可以达到更长的时间尺度，但它通常通过简化的缺陷插入规则来表示辐照损伤，因此忽略了级联形态以及与现有缺陷的级联相互作用的重要信息。在这项工作中，我们提出了一种将完整的 MD 级联模拟直接嵌入到物体动力学蒙特卡罗 (OKMC) 中的方法，允许以实际剂量率跟踪辐照，同时保留级联重叠的原子特征。该方法适用于核环境的两种关键材料钨和铁。我们表明，显式级联处理改变了总缺陷群体和由此产生的簇大小分布。在钨中，级联在低温下增强空位聚集，而在高温下它们也可以破坏和分割预先存在的空隙。在铁中，级联使 C15 Laves 相簇的尺寸明显减小，并导致传统 OKMC 无法捕获的簇行为，即使在室温下也是如此。这些结果</w:t>
      </w:r>
    </w:p>
    <w:p>
      <w:pPr>
        <w:spacing w:before="0" w:after="200" w:lineRule="auto" w:line="276"/>
      </w:pPr>
      <w:r>
        <w:rPr>
          <w:b/>
        </w:rPr>
        <w:t xml:space="preserve">Abstract (EN): </w:t>
      </w:r>
      <w:r>
        <w:t>Exposure of materials to radiation in nuclear test reactors and power plants can strongly modify the microstructure and long-term performance of structural parts. Although the primary damage event develops within pico- to nanosecond time scales, its consequences can govern defect evolution over experimentally relevant irradiation periods. Classical molecular dynamics (MD) can resolve collision cascades with atomistic detail, but its accessible time scale leads to dose rates that are far above experimental conditions. Object kinetic Monte Carlo can reach much longer time scales, but it usually represents irradiation damage through simplified defect insertion rules and therefore neglect important information on cascade morphology and cascade interaction with existing defects. In this work, we present a method that embeds complete MD cascade simulations directly into object kinetic Monte Carlo (OKMC), allowing irradiation to be followed at realistic dose rates while retaining the atomistic character of cascade overlap. The approach is applied to tungsten and iron, two key materials for nuclear environments. We show that explicit cascade treatment changes both the total defect populations and the resulting cluster size distributions. In tungsten, cascades enhance vacancy clustering at low temperature, whereas at elevated temperature they can also destroy and divide pre-existing voids. In iron, cascades produce a clear reduction in the size of C15 Laves-phase clusters and lead to clustering behavior that is not captured by conventional OKMC, even at room temperature. These results demonstrate that cascade overlap can introduce mechanisms that are absent from standard long time scale models, and that such mechanisms should be included as they control the microstructure evolution during irradiation.</w:t>
      </w:r>
    </w:p>
    <w:p>
      <w:pPr>
        <w:spacing w:before="120" w:after="120"/>
      </w:pPr>
      <w:r>
        <w:rPr>
          <w:sz w:val="18"/>
        </w:rPr>
        <w:t>——————————————————————————————————————————————————————————————————————</w:t>
      </w:r>
    </w:p>
    <w:p>
      <w:pPr>
        <w:spacing w:before="160" w:after="40" w:line="240" w:lineRule="auto"/>
      </w:pPr>
      <w:r>
        <w:rPr>
          <w:b/>
        </w:rPr>
        <w:t xml:space="preserve">[41] </w:t>
      </w:r>
      <w:hyperlink r:id="rId282">
        <w:r>
          <w:rPr>
            <w:color w:val="1155CC"/>
            <w:u w:val="single"/>
          </w:rPr>
          <w:t>通过共享捕获引起的频移减轻双色激光器中的受激布里渊散射</w:t>
        </w:r>
      </w:hyperlink>
    </w:p>
    <w:p>
      <w:pPr>
        <w:spacing w:before="0" w:after="80"/>
      </w:pPr>
      <w:r>
        <w:rPr>
          <w:i/>
          <w:sz w:val="20"/>
        </w:rPr>
        <w:t>EN: Mitigation of stimulated Brillouin scattering in two-color lasers via shared-trapping-induced frequency shift</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83">
        <w:r>
          <w:rPr>
            <w:color w:val="1155CC"/>
            <w:u w:val="single"/>
          </w:rPr>
          <w:t>10.1088/1741-4326/ae80e5</w:t>
        </w:r>
      </w:hyperlink>
    </w:p>
    <w:p>
      <w:pPr>
        <w:spacing w:before="0" w:after="120"/>
      </w:pPr>
      <w:r>
        <w:rPr>
          <w:b/>
        </w:rPr>
        <w:t xml:space="preserve">Notes: </w:t>
      </w:r>
      <w:r>
        <w:t>abstract_source=rss_description</w:t>
      </w:r>
    </w:p>
    <w:p>
      <w:pPr>
        <w:spacing w:before="0" w:after="80" w:lineRule="auto" w:line="276"/>
      </w:pPr>
      <w:r>
        <w:rPr>
          <w:b/>
        </w:rPr>
        <w:t xml:space="preserve">摘要（ZH）: </w:t>
      </w:r>
      <w:r>
        <w:t>提出了一种新颖的耦合机制，用于在具有大频率间隔的双色激光系统中受激布里渊散射（SBS），使用 和 光束的代表性组合。由于离子声波 (IAW) 的近线性色散，两种激光器都以相似的相速度激发 IAW。因此，高强度激光驱动的强 IAW 会引起明显的粒子捕获，进而在激光驱动的 IAW 中产生显着的非线性频移。 Vlasov 模拟的频移与我们的共享捕获引起的非线性频移理论模型显示出极好的定量一致性。这种新发现的机制抑制了由激光驱动的SBS的线性生长，从而当先前提出的两个离子衰变（TID）耦合机制（2024 Nucl.Fusion64 126020）在非线性阶段变得活跃时提供较低的初始SBS水平，并使总SBS反射率被抑制到更低的水平。该机制在明确定义的参数窗口内运行，其中激光器的 SBS 增长率介于 TID 不稳定性和由激光器驱动的较高增长率之间。对于固定的总强度，增加光的比例会导致总反射率先降低然后增加。当两个激光器驱动的 SBS 反射率变得相当时，共享捕获引起的频移机制和 TID 耦合协同作用，产生最小的总反射率。在最佳强度分数下，模拟结果</w:t>
      </w:r>
    </w:p>
    <w:p>
      <w:pPr>
        <w:spacing w:before="0" w:after="200" w:lineRule="auto" w:line="276"/>
      </w:pPr>
      <w:r>
        <w:rPr>
          <w:b/>
        </w:rPr>
        <w:t xml:space="preserve">Abstract (EN): </w:t>
      </w:r>
      <w:r>
        <w:t>A novel coupling mechanism for stimulated Brillouin scattering (SBS) in two-color laser systems with large frequency separation is proposed, using a representative combination of and beams. Owing to the near-linear dispersion of ion-acoustic waves (IAWs), both lasers excite IAWs with similar phase velocities. Consequently, the strong IAW driven by the high-intensity laser induces pronounced particle trapping, which in turn generates a significant nonlinear frequency shift in the IAW driven by the laser. The frequency shift from Vlasov simulation shows excellent quantitative agreement with our shared-trapping-induced nonlinear frequency-shift theoretical model. This newly identified mechanism suppresses the linear growth of SBS driven by the laser, thereby providing a lower initial SBS level when the previously proposed two ion decay (TID) coupling mechanism (2024 Nucl. Fusion64 126020) becomes active in the nonlinear stage, and enabling the total SBS reflectivity to be suppressed to an even lower level. The mechanism operates within a well-defined parameter window, where the SBS growth rate of the laser lies between that of the TID instability and the higher growth rate driven by the laser. For fixed total intensity, increasing the fraction of light causes the total reflectivity to first decrease and then increase. When the SBS reflectivities driven by the two lasers become comparable, the shared-trapping-induced frequency-shift mechanism and the TID coupling act cooperatively, yielding the minimum total reflectivity. At the optimal intensity fraction, the simulation results show that the total SBS reflectivity is reduced by compared with a pure laser at the same total intensity, with the instantaneous reflectivity remains no higher than that of the corresponding single-color cases throughout the simulation. These results demonstrate the potential of large-frequency-separation two-color lasers for improving laser–target coupling efficiency in future high-gain laser fusion schemes.</w:t>
      </w:r>
    </w:p>
    <w:p>
      <w:pPr>
        <w:spacing w:before="120" w:after="120"/>
      </w:pPr>
      <w:r>
        <w:rPr>
          <w:sz w:val="18"/>
        </w:rPr>
        <w:t>——————————————————————————————————————————————————————————————————————</w:t>
      </w:r>
    </w:p>
    <w:p>
      <w:pPr>
        <w:spacing w:before="160" w:after="40" w:line="240" w:lineRule="auto"/>
      </w:pPr>
      <w:r>
        <w:rPr>
          <w:b/>
        </w:rPr>
        <w:t xml:space="preserve">[42] </w:t>
      </w:r>
      <w:hyperlink r:id="rId284">
        <w:r>
          <w:rPr>
            <w:color w:val="1155CC"/>
            <w:u w:val="single"/>
          </w:rPr>
          <w:t>面向钨等离子体的组件对 EAST 中 H 模式操作空间的影响，以支持 ITER 新基准</w:t>
        </w:r>
      </w:hyperlink>
    </w:p>
    <w:p>
      <w:pPr>
        <w:spacing w:before="0" w:after="80"/>
      </w:pPr>
      <w:r>
        <w:rPr>
          <w:i/>
          <w:sz w:val="20"/>
        </w:rPr>
        <w:t>EN: Impact of tungsten plasma facing components on H-mode operational space in EAST in support of ITER new baseline</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85">
        <w:r>
          <w:rPr>
            <w:color w:val="1155CC"/>
            <w:u w:val="single"/>
          </w:rPr>
          <w:t>10.1088/1741-4326/ae81c8</w:t>
        </w:r>
      </w:hyperlink>
    </w:p>
    <w:p>
      <w:pPr>
        <w:spacing w:before="0" w:after="120"/>
      </w:pPr>
      <w:r>
        <w:rPr>
          <w:b/>
        </w:rPr>
        <w:t xml:space="preserve">Notes: </w:t>
      </w:r>
      <w:r>
        <w:t>abstract_source=rss_description</w:t>
      </w:r>
    </w:p>
    <w:p>
      <w:pPr>
        <w:spacing w:before="0" w:after="80" w:lineRule="auto" w:line="276"/>
      </w:pPr>
      <w:r>
        <w:rPr>
          <w:b/>
        </w:rPr>
        <w:t xml:space="preserve">摘要（ZH）: </w:t>
      </w:r>
      <w:r>
        <w:t>EAST 最近的实验证明了钨 (W) 作为主壁等离子体表面材料与高限制 H 模式和低硼覆盖率或无硼覆盖率的兼容性。实验在 6.0 的等离子体中进行，允许在 EAST 中访问 I 型和 II 型 ELMy H 模式，具有 W 壁和类似于 ITER 的低标准化输入扭矩。中心电子回旋加速器 (EC)、中性束注入 (NBI) 和低混合波 (LHW) 被用作辅助加热，注入等离子体的总功率范围为 3 MW 至 5 MW。即使分界线和主 W 限制器之间的距离低至 4 cm，小振幅高频 II 型 ELM 也能保持良好的 H 模式能量限制。对于 II 型 ELMy H 模式体系中的 EC+NBI 和 EC+LHW 功率组合，归一化 H 模式能量限制可达到高达 1.1 的系数。此外，对于这些 II 型 ELMy H 模式条件，已使用来自偏滤器区域的氮气吹气来实现部分分离，而不会对核心 W 浓度产生显着影响。相反，I 型 ELMy H 模式中的 EAST 操作受到主壁 W 源的强烈影响。使用 = 2 共振磁扰动 (RMP) 在 EAST 中实现 I 型 ELM 抑制可降低核心 W 水平，但代价是能量限制减少约 10%。这些结果补充了现有的 W 墙发现，为 EAST 评估 ITER 中 W 第一墙的影响提供了初步基础，如新的 ITER 基线中所提出的，并强调了</w:t>
      </w:r>
    </w:p>
    <w:p>
      <w:pPr>
        <w:spacing w:before="0" w:after="200" w:lineRule="auto" w:line="276"/>
      </w:pPr>
      <w:r>
        <w:rPr>
          <w:b/>
        </w:rPr>
        <w:t xml:space="preserve">Abstract (EN): </w:t>
      </w:r>
      <w:r>
        <w:t>Recent experiments in EAST have demonstrated the compatibility of tungsten (W) as main wall plasma facing material with high confinement H-mode with low or no boron coverage. The experiments were conducted in plasmas with 6.0, which allowed access to both type-I and type-II ELMy H-modes in EAST with a W wall and low normalized input torque similar to ITER. Central electron cyclotron (EC), neutral beam injection (NBI) and lower hybrid waves (LHW) were applied as auxiliary heating in a range of total power injected into the plasma from 3 MW to 5 MW. Small amplitude high frequency type-II ELMs allow maintaining good H-mode energy confinement even when the distance between the separatrix and the main W limiter is as low as 4 cm. The normalized H-mode energy confinement can reach factors up to 1.1 for both EC+NBI and EC+LHW power combination in the type-II ELMy H-mode regime. In addition, for these type-II ELMy H-mode conditions, nitrogen puffing from divertor region has been used to achieve partial detachment without significant impact on nor on the core W concentration. On the contrary, EAST operation in the type-I ELMy H-mode is strongly affected by the main wall W source. The use of = 2 resonant magnetic perturbations (RMPs) to achieve type-I ELM suppression in EAST reduces the core W level but at the cost of about 10% reduction on energy confinement. These results complement existing W-wall findings, providing a preliminary foundation from EAST for evaluating the impact of the W first wall in ITER, as proposed in the new ITER baseline, and highlight that the achievement of sufficient ELM control levels with low deterioration of energy confinement is key to minimize this impact.</w:t>
      </w:r>
    </w:p>
    <w:p>
      <w:pPr>
        <w:spacing w:before="120" w:after="120"/>
      </w:pPr>
      <w:r>
        <w:rPr>
          <w:sz w:val="18"/>
        </w:rPr>
        <w:t>——————————————————————————————————————————————————————————————————————</w:t>
      </w:r>
    </w:p>
    <w:p>
      <w:pPr>
        <w:spacing w:before="160" w:after="40" w:line="240" w:lineRule="auto"/>
      </w:pPr>
      <w:r>
        <w:rPr>
          <w:b/>
        </w:rPr>
        <w:t xml:space="preserve">[43] </w:t>
      </w:r>
      <w:hyperlink r:id="rId286">
        <w:r>
          <w:rPr>
            <w:color w:val="1155CC"/>
            <w:u w:val="single"/>
          </w:rPr>
          <w:t>结合全向性和分段全向性的仿星器配置优化</w:t>
        </w:r>
      </w:hyperlink>
    </w:p>
    <w:p>
      <w:pPr>
        <w:spacing w:before="0" w:after="80"/>
      </w:pPr>
      <w:r>
        <w:rPr>
          <w:i/>
          <w:sz w:val="20"/>
        </w:rPr>
        <w:t>EN: Optimization of stellarator configurations combining omnigenity and piecewise omnigenity</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87">
        <w:r>
          <w:rPr>
            <w:color w:val="1155CC"/>
            <w:u w:val="single"/>
          </w:rPr>
          <w:t>10.1088/1741-4326/ae8280</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我们提出了一种结合全向性和分段全向性（pwO）的优化仿星器配置的方法。在 OOPS 优化框架（Liu et al 2025 2502.09350）中，我们引入了一种映射技术，可以“挤压”一般的全源场以近似高场侧的 pwO。使用这种方法，我们获得了一系列结合极向全向性（PO）和 pwO 的优化配置，跨越不同的场周期和纵横比。我们进一步证明这些配置与磁井兼容。由此产生的配置表现出良好的新古典输运和自举电流特性，同时部分放松了全源性的严格限制。这些结果表明，这种配置是未来仿星反应堆的有希望的候选者。</w:t>
      </w:r>
    </w:p>
    <w:p>
      <w:pPr>
        <w:spacing w:before="0" w:after="200" w:lineRule="auto" w:line="276"/>
      </w:pPr>
      <w:r>
        <w:rPr>
          <w:b/>
        </w:rPr>
        <w:t xml:space="preserve">Abstract (EN): </w:t>
      </w:r>
      <w:r>
        <w:t>We present a method for optimizing stellarator configurations that combine omnigenity and piecewise omnigenity (pwO). Within the OOPS optimization framework (Liu et al 2025 2502.09350), we introduce a mapping technique that can ‘squeeze’ general omnigenous fields to approximate pwO on the high-field side. Using this approach, we obtain a range of optimized configurations that combine poloidal omnigenity (PO) and pwO, spanning different field periods and aspect ratios. We further show that these configurations are compatible with a magnetic well. The resulting configurations exhibit favorable neoclassical transport and bootstrap current properties while partially relaxing the strict constraints of omnigenity. These results suggest that such configurations are promising candidates for future stellarator reactors.</w:t>
      </w:r>
    </w:p>
    <w:p>
      <w:pPr>
        <w:spacing w:before="120" w:after="120"/>
      </w:pPr>
      <w:r>
        <w:rPr>
          <w:sz w:val="18"/>
        </w:rPr>
        <w:t>——————————————————————————————————————————————————————————————————————</w:t>
      </w:r>
    </w:p>
    <w:p>
      <w:pPr>
        <w:spacing w:before="160" w:after="40" w:line="240" w:lineRule="auto"/>
      </w:pPr>
      <w:r>
        <w:rPr>
          <w:b/>
        </w:rPr>
        <w:t xml:space="preserve">[44] </w:t>
      </w:r>
      <w:hyperlink r:id="rId288">
        <w:r>
          <w:rPr>
            <w:color w:val="1155CC"/>
            <w:u w:val="single"/>
          </w:rPr>
          <w:t>全钨WEST托卡马克一期和二期运行期间材料迁移和侵蚀实验概述</w:t>
        </w:r>
      </w:hyperlink>
    </w:p>
    <w:p>
      <w:pPr>
        <w:spacing w:before="0" w:after="80"/>
      </w:pPr>
      <w:r>
        <w:rPr>
          <w:i/>
          <w:sz w:val="20"/>
        </w:rPr>
        <w:t>EN: Overview of material migration and erosion experiments in the full-tungsten WEST tokamak during Phase 1 and Phase 2 operations</w:t>
      </w:r>
    </w:p>
    <w:p>
      <w:pPr>
        <w:spacing w:before="0" w:after="120"/>
      </w:pPr>
      <w:r>
        <w:rPr>
          <w:b/>
        </w:rPr>
        <w:t xml:space="preserve">Source: </w:t>
      </w:r>
      <w:r>
        <w:t>Nuclear Fusion - latest papers</w:t>
      </w:r>
      <w:r>
        <w:t xml:space="preserve">    </w:t>
      </w:r>
      <w:r>
        <w:rPr>
          <w:b/>
        </w:rPr>
        <w:t xml:space="preserve">Pub date: </w:t>
      </w:r>
      <w:r>
        <w:t>2026-07-15 23:00:00+00:00</w:t>
      </w:r>
      <w:r>
        <w:t xml:space="preserve">    </w:t>
      </w:r>
      <w:r>
        <w:rPr>
          <w:b/>
        </w:rPr>
        <w:t xml:space="preserve">DOI: </w:t>
      </w:r>
      <w:hyperlink r:id="rId289">
        <w:r>
          <w:rPr>
            <w:color w:val="1155CC"/>
            <w:u w:val="single"/>
          </w:rPr>
          <w:t>10.1088/1741-4326/ae855e</w:t>
        </w:r>
      </w:hyperlink>
    </w:p>
    <w:p>
      <w:pPr>
        <w:spacing w:before="0" w:after="120"/>
      </w:pPr>
      <w:r>
        <w:rPr>
          <w:b/>
        </w:rPr>
        <w:t xml:space="preserve">Notes: </w:t>
      </w:r>
      <w:r>
        <w:t>abstract_source=rss_description</w:t>
      </w:r>
    </w:p>
    <w:p>
      <w:pPr>
        <w:spacing w:before="0" w:after="80" w:lineRule="auto" w:line="276"/>
      </w:pPr>
      <w:r>
        <w:rPr>
          <w:b/>
        </w:rPr>
        <w:t xml:space="preserve">摘要（ZH）: </w:t>
      </w:r>
      <w:r>
        <w:t>本文概述了 WEST 托卡马克在第一阶段（2016-2021 年）和第二阶段（从 2022 年起）实验活动期间钨 (W) 的侵蚀和迁移研究，重点关注偏滤器处的面向等离子体的组件 (PFC)。在第一阶段，PFC 的严重侵蚀与其他主要聚变装置的观察结果一致，归因于等离子体中的低 Z 杂质。此外，在高场（内）和低场（外）侧偏滤器目标之间观察到强烈的不对称性，有利于内侧。在冲击点周围测量了速率&lt;0.5 nm s−1 的净侵蚀，而其余区域则以净沉积为主。最厚的沉积层（高达 50 μm）和最复杂的结构是由累积等离子体暴露约 7 小时产生的。整体侵蚀沉积模式进一步受到 WEST 强磁波纹的影响，这可能导致波纹的最大值和最小值之间几乎存在一个数量级的差异。在第二阶段，等离子体注量的增加导致沉积物厚度增长到数百微米。同时，腐蚀以恒定速率进行，在约 18 小时的等离子体时间内可以达到高达 30 µm 的值。在主室中，侵蚀比偏滤器弱，但特别是在低密度下，它会导致 W 显着迁移到堆芯中。此外，在打开 ICRF 天线时，附近限制器结构上的 W 溅射会增加 10 倍以上。建模能够捕获第一阶段中观察到的许多现象，但旅馆除外</w:t>
      </w:r>
    </w:p>
    <w:p>
      <w:pPr>
        <w:spacing w:before="0" w:after="200" w:lineRule="auto" w:line="276"/>
      </w:pPr>
      <w:r>
        <w:rPr>
          <w:b/>
        </w:rPr>
        <w:t xml:space="preserve">Abstract (EN): </w:t>
      </w:r>
      <w:r>
        <w:t>This paper gives an overview of erosion and migration studies of tungsten (W) in the WEST tokamak during its Phase 1 (2016–2021) and Phase 2 (from 2022) experimental campaigns with a focus on plasma-facing components (PFCs) at the divertor. In Phase 1, gross erosion of PFCs is in line with observations from other major fusion devices and attributed to low-Z impurities in the plasma. In addition, a strong asymmetry is observed between the high- (inner) and low-field (outer) side divertor targets, in favour of the inner side. Net erosion at rates of &lt;0.5 nm s−1 is measured around the strike points while the remaining areas are dominated by net deposition. The thickest deposited layers (up to 50 μm) with the most complex structures result from a cumulated plasma exposure of ∼7 h. The overall erosion-deposition pattern is further influenced by the strong magnetic ripple of WEST, which can result in almost an order of magnitude difference between the maxima and minima of the ripple. In Phase 2, increasing plasma fluence leads to the deposits growing to hundreds of micrometres in thickness. At the same time, erosion proceeds at a constant rate and can reach values up to 30 µm in ∼18 h of plasma time. In the main chamber, erosion is weaker than at the divertor but especially at low densities it can result in notable transport of W into the core. In addition, upon switching on the ICRF antennas, W sputtering on the close-by limiter structures can increase by a factor of more than 10. Modelling is able to catch many of the observed phenomena in Phase 1, with the exception of the inner–outer asymmetry and the formation of the thick deposits. In contrast, the patterns during the high-fluence operations in Phase 2 require more work to be reproduced.</w:t>
      </w:r>
    </w:p>
    <w:p>
      <w:pPr>
        <w:spacing w:before="120" w:after="120"/>
      </w:pPr>
      <w:r>
        <w:rPr>
          <w:sz w:val="18"/>
        </w:rPr>
        <w:t>——————————————————————————————————————————————————————————————————————</w:t>
      </w:r>
    </w:p>
    <w:p>
      <w:pPr>
        <w:spacing w:before="160" w:after="40" w:line="240" w:lineRule="auto"/>
      </w:pPr>
      <w:r>
        <w:rPr>
          <w:b/>
        </w:rPr>
        <w:t xml:space="preserve">[45] </w:t>
      </w:r>
      <w:hyperlink r:id="rId290">
        <w:r>
          <w:rPr>
            <w:color w:val="1155CC"/>
            <w:u w:val="single"/>
          </w:rPr>
          <w:t>将放射性分子带到餐桌上</w:t>
        </w:r>
      </w:hyperlink>
    </w:p>
    <w:p>
      <w:pPr>
        <w:spacing w:before="0" w:after="80"/>
      </w:pPr>
      <w:r>
        <w:rPr>
          <w:i/>
          <w:sz w:val="20"/>
        </w:rPr>
        <w:t>EN: Bringing radioactive molecules to the table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291">
        <w:r>
          <w:rPr>
            <w:color w:val="1155CC"/>
            <w:u w:val="single"/>
          </w:rPr>
          <w:t>10.1126/science.aej2688</w:t>
        </w:r>
      </w:hyperlink>
    </w:p>
    <w:p>
      <w:pPr>
        <w:spacing w:before="0" w:after="120"/>
      </w:pPr>
      <w:r>
        <w:rPr>
          <w:b/>
        </w:rPr>
        <w:t xml:space="preserve">Notes: </w:t>
      </w:r>
      <w:r>
        <w:t>abstract_source=crossref</w:t>
      </w:r>
    </w:p>
    <w:p>
      <w:pPr>
        <w:spacing w:before="0" w:after="80" w:lineRule="auto" w:line="276"/>
      </w:pPr>
      <w:r>
        <w:rPr>
          <w:b/>
        </w:rPr>
        <w:t xml:space="preserve">摘要（ZH）: </w:t>
      </w:r>
      <w:r>
        <w:t>紧凑的放射性分子源可以实现基础物理的新测试</w:t>
      </w:r>
    </w:p>
    <w:p>
      <w:pPr>
        <w:spacing w:before="0" w:after="200" w:lineRule="auto" w:line="276"/>
      </w:pPr>
      <w:r>
        <w:rPr>
          <w:b/>
        </w:rPr>
        <w:t xml:space="preserve">Abstract (EN): </w:t>
      </w:r>
      <w:r>
        <w:t>A compact source of radioactive molecules could enable new tests of fundamental physics</w:t>
      </w:r>
    </w:p>
    <w:p>
      <w:pPr>
        <w:spacing w:before="120" w:after="120"/>
      </w:pPr>
      <w:r>
        <w:rPr>
          <w:sz w:val="18"/>
        </w:rPr>
        <w:t>——————————————————————————————————————————————————————————————————————</w:t>
      </w:r>
    </w:p>
    <w:p>
      <w:pPr>
        <w:spacing w:before="160" w:after="40" w:line="240" w:lineRule="auto"/>
      </w:pPr>
      <w:r>
        <w:rPr>
          <w:b/>
        </w:rPr>
        <w:t xml:space="preserve">[46] </w:t>
      </w:r>
      <w:hyperlink r:id="rId292">
        <w:r>
          <w:rPr>
            <w:color w:val="1155CC"/>
            <w:u w:val="single"/>
          </w:rPr>
          <w:t>冷放射性分子的制备和光谱学</w:t>
        </w:r>
      </w:hyperlink>
    </w:p>
    <w:p>
      <w:pPr>
        <w:spacing w:before="0" w:after="80"/>
      </w:pPr>
      <w:r>
        <w:rPr>
          <w:i/>
          <w:sz w:val="20"/>
        </w:rPr>
        <w:t>EN: Production and spectroscopy of cold radioactive molecules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293">
        <w:r>
          <w:rPr>
            <w:color w:val="1155CC"/>
            <w:u w:val="single"/>
          </w:rPr>
          <w:t>10.1126/science.aea9413</w:t>
        </w:r>
      </w:hyperlink>
    </w:p>
    <w:p>
      <w:pPr>
        <w:spacing w:before="0" w:after="120"/>
      </w:pPr>
      <w:r>
        <w:rPr>
          <w:b/>
        </w:rPr>
        <w:t xml:space="preserve">Notes: </w:t>
      </w:r>
      <w:r>
        <w:t>abstract_source=crossref</w:t>
      </w:r>
    </w:p>
    <w:p>
      <w:pPr>
        <w:spacing w:before="0" w:after="80" w:lineRule="auto" w:line="276"/>
      </w:pPr>
      <w:r>
        <w:rPr>
          <w:b/>
        </w:rPr>
        <w:t xml:space="preserve">摘要（ZH）: </w:t>
      </w:r>
      <w:r>
        <w:t>具有重放射性原子核的分子对基础核物理和粒子物理具有极高的敏感性。然而，这些原子核的数量有限，这对它们在精确测量中的使用提出了挑战。在这里，我们展示了一氢氧化镭、一氘氧化镭和一氟化物分子的气相合成、低温冷却和高分辨率激光光谱（</w:t>
      </w:r>
      <w:r>
        <w:rPr>
          <w:vertAlign w:val="subscript"/>
        </w:rPr>
        <w:t>226</w:t>
      </w:r>
      <w:r>
        <w:t>拉OH,</w:t>
      </w:r>
      <w:r>
        <w:rPr>
          <w:vertAlign w:val="subscript"/>
        </w:rPr>
        <w:t>226</w:t>
      </w:r>
      <w:r>
        <w:t>拉OD，和</w:t>
      </w:r>
      <w:r>
        <w:rPr>
          <w:vertAlign w:val="subscript"/>
        </w:rPr>
        <w:t>226</w:t>
      </w:r>
      <w:r>
        <w:t>RaF）通过结合痕量放射性目标生产方案、低温缓冲气体中的光学驱动化学和低本底光谱检测方法在桌面设备中进行。分子在实验室框架中冷却，创造的条件与当前许多分子精密测量和量子信息实验的起点相同。这种方法可以很容易地应用于广泛的物种，并建立外来核分子量子传感的关键能力。</w:t>
      </w:r>
    </w:p>
    <w:p>
      <w:pPr>
        <w:spacing w:before="0" w:after="200" w:lineRule="auto" w:line="276"/>
      </w:pPr>
      <w:r>
        <w:rPr>
          <w:b/>
        </w:rPr>
        <w:t xml:space="preserve">Abstract (EN): </w:t>
      </w:r>
      <w:r>
        <w:t>Molecules with heavy, radioactive nuclei promise extreme sensitivity to fundamental nuclear and particle physics. However, these nuclei are available in limited quantities, which challenges their use in precision measurements. Here we demonstrate the gas-phase synthesis, cryogenic cooling, and high-resolution laser spectroscopy of radium monohydroxide, monodeuteroxide, and monofluoride molecules (</w:t>
      </w:r>
      <w:r>
        <w:rPr>
          <w:vertAlign w:val="subscript"/>
        </w:rPr>
        <w:t>226</w:t>
      </w:r>
      <w:r>
        <w:t>RaOH,</w:t>
      </w:r>
      <w:r>
        <w:rPr>
          <w:vertAlign w:val="subscript"/>
        </w:rPr>
        <w:t>226</w:t>
      </w:r>
      <w:r>
        <w:t>RaOD, and</w:t>
      </w:r>
      <w:r>
        <w:rPr>
          <w:vertAlign w:val="subscript"/>
        </w:rPr>
        <w:t>226</w:t>
      </w:r>
      <w:r>
        <w:t>RaF) in a tabletop apparatus by combining trace radioactive target production protocols, optically driven chemistry in a cryogenic buffer gas, and low-background spectroscopic detection methods. The molecules are cooled in the lab frame, creating conditions that are the same starting points as those for many current molecular precision measurement and quantum information experiments. This approach can be readily applied to a wide range of species and establishes key capabilities for molecular quantum sensing of exotic nuclei.</w:t>
      </w:r>
    </w:p>
    <w:p>
      <w:pPr>
        <w:spacing w:before="120" w:after="120"/>
      </w:pPr>
      <w:r>
        <w:rPr>
          <w:sz w:val="18"/>
        </w:rPr>
        <w:t>——————————————————————————————————————————————————————————————————————</w:t>
      </w:r>
    </w:p>
    <w:p>
      <w:pPr>
        <w:spacing w:before="160" w:after="40" w:line="240" w:lineRule="auto"/>
      </w:pPr>
      <w:r>
        <w:rPr>
          <w:b/>
        </w:rPr>
        <w:t xml:space="preserve">[47] </w:t>
      </w:r>
      <w:hyperlink r:id="rId294">
        <w:r>
          <w:rPr>
            <w:color w:val="1155CC"/>
            <w:u w:val="single"/>
          </w:rPr>
          <w:t>托卡马克瞬态 X 点涡驱动辐射偏滤器的动力学路径</w:t>
        </w:r>
      </w:hyperlink>
    </w:p>
    <w:p>
      <w:pPr>
        <w:spacing w:before="0" w:after="80"/>
      </w:pPr>
      <w:r>
        <w:rPr>
          <w:i/>
          <w:sz w:val="20"/>
        </w:rPr>
        <w:t>EN: Dynamical Pathway to Radiative Divertor Driven by Transient X-Point Vortex in Tokamaks</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295">
        <w:r>
          <w:rPr>
            <w:color w:val="1155CC"/>
            <w:u w:val="single"/>
          </w:rPr>
          <w:t>10.1103/b6df-fg97</w:t>
        </w:r>
      </w:hyperlink>
    </w:p>
    <w:p>
      <w:pPr>
        <w:spacing w:before="0" w:after="120"/>
      </w:pPr>
      <w:r>
        <w:rPr>
          <w:b/>
        </w:rPr>
        <w:t xml:space="preserve">Notes: </w:t>
      </w:r>
      <w:r>
        <w:t>abstract_source=rss_description</w:t>
      </w:r>
    </w:p>
    <w:p>
      <w:pPr>
        <w:spacing w:before="0" w:after="80" w:lineRule="auto" w:line="276"/>
      </w:pPr>
      <w:r>
        <w:rPr>
          <w:b/>
        </w:rPr>
        <w:t xml:space="preserve">摘要（ZH）: </w:t>
      </w:r>
      <w:r>
        <w:t>作者：H. Yang、N. Fedorczak、G. Ciraolo、E. Serre、H. Bufferand、L. Fèvre、E. Havlickova、N. Lemoine、N. Rivals、P. Tamain、WEST 团队和 WPTE 团队最近在稳态托卡马克（WEST）钨-W 环境的 L 模式等离子体中进行的 X 点辐射器（XPR）实验托卡马克表明，稳定的辐射环可以在 X 点上方持续大约 70 秒，时间尺度不受内在等离子体物理的限制，这证明了比较…[物理。莱特牧师。 137, 035104] 2026 年 7 月 16 日星期四发布</w:t>
      </w:r>
    </w:p>
    <w:p>
      <w:pPr>
        <w:spacing w:before="0" w:after="200" w:lineRule="auto" w:line="276"/>
      </w:pPr>
      <w:r>
        <w:rPr>
          <w:b/>
        </w:rPr>
        <w:t xml:space="preserve">Abstract (EN): </w:t>
      </w:r>
      <w:r>
        <w:t>Author(s): H. Yang, N. Fedorczak, G. Ciraolo, E. Serre, H. Bufferand, L. Fèvre, E. Havlickova, N. Lemoine, N. Rivals, P. Tamain, the WEST team, and the WPTE teamRecent X-point radiator (XPR) experiments in L-mode plasmas of the tungsten-W Environment in Steady-state Tokamak (WEST) tokamak show that a stable radiative ring can be sustained above the X point for approximately 70 s, on timescales not limited by intrinsic plasma physics, demonstrating the compa…[Phys. Rev. Lett. 137, 035104] Published Thu Jul 16, 2026</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296">
        <w:r>
          <w:rPr>
            <w:color w:val="1155CC"/>
            <w:u w:val="single"/>
          </w:rPr>
          <w:t>氢能连接欧洲：不同补贴政策下跨境管道联盟的成本分配分析</w:t>
        </w:r>
      </w:hyperlink>
    </w:p>
    <w:p>
      <w:pPr>
        <w:spacing w:before="0" w:after="80"/>
      </w:pPr>
      <w:r>
        <w:rPr>
          <w:i/>
          <w:sz w:val="20"/>
        </w:rPr>
        <w:t>EN: Connecting Europe through hydrogen: Cost allocation analysis of cross-border pipeline coalitions under varying subsidy policies</w:t>
      </w:r>
    </w:p>
    <w:p>
      <w:pPr>
        <w:spacing w:before="0" w:after="120"/>
      </w:pPr>
      <w:r>
        <w:rPr>
          <w:b/>
        </w:rPr>
        <w:t xml:space="preserve">Source: </w:t>
      </w:r>
      <w:r>
        <w:t>ScienceDirect Publication: Energy Policy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97">
        <w:r>
          <w:rPr>
            <w:color w:val="1155CC"/>
            <w:u w:val="single"/>
          </w:rPr>
          <w:t>减轻质子交换膜水电解槽中铱阳极氢引起的降解</w:t>
        </w:r>
      </w:hyperlink>
    </w:p>
    <w:p>
      <w:pPr>
        <w:spacing w:before="0" w:after="80"/>
      </w:pPr>
      <w:r>
        <w:rPr>
          <w:i/>
          <w:sz w:val="20"/>
        </w:rPr>
        <w:t>EN: Mitigating Hydrogen-Induced Degradation of Iridium Anodes in Proton Exchange Membrane Water Electrolyzers</w:t>
      </w:r>
    </w:p>
    <w:p>
      <w:pPr>
        <w:spacing w:before="0" w:after="120"/>
      </w:pPr>
      <w:r>
        <w:rPr>
          <w:b/>
        </w:rPr>
        <w:t xml:space="preserve">Source: </w:t>
      </w:r>
      <w:r>
        <w:t>ACS Energy Letters: Latest Articles (ACS Publications)</w:t>
      </w:r>
      <w:r>
        <w:t xml:space="preserve">    </w:t>
      </w:r>
      <w:r>
        <w:rPr>
          <w:b/>
        </w:rPr>
        <w:t xml:space="preserve">Pub date: </w:t>
      </w:r>
      <w:r>
        <w:t>2026-07-11 00:00:00+00:00</w:t>
      </w:r>
      <w:r>
        <w:t xml:space="preserve">    </w:t>
      </w:r>
      <w:r>
        <w:rPr>
          <w:b/>
        </w:rPr>
        <w:t xml:space="preserve">DOI: </w:t>
      </w:r>
      <w:hyperlink r:id="rId298">
        <w:r>
          <w:rPr>
            <w:color w:val="1155CC"/>
            <w:u w:val="single"/>
          </w:rPr>
          <w:t>10.1021/acsenergylett.6c01650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99">
        <w:r>
          <w:rPr>
            <w:color w:val="1155CC"/>
            <w:u w:val="single"/>
          </w:rPr>
          <w:t>质子供体的空间位阻调节非水电解质中的非均相电化学氮还原反应选择性</w:t>
        </w:r>
      </w:hyperlink>
    </w:p>
    <w:p>
      <w:pPr>
        <w:spacing w:before="0" w:after="80"/>
      </w:pPr>
      <w:r>
        <w:rPr>
          <w:i/>
          <w:sz w:val="20"/>
        </w:rPr>
        <w:t>EN: Steric Hindrance of Proton Donors Modulates Heterogeneous Electrochemical Nitrogen Reduction Reaction Selectivity in Nonaqueous Electrolytes</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300">
        <w:r>
          <w:rPr>
            <w:color w:val="1155CC"/>
            <w:u w:val="single"/>
          </w:rPr>
          <w:t>10.1021/jacs.6c07080</w:t>
        </w:r>
      </w:hyperlink>
    </w:p>
    <w:p>
      <w:pPr>
        <w:spacing w:before="0" w:after="120"/>
      </w:pPr>
      <w:r>
        <w:rPr>
          <w:b/>
        </w:rPr>
        <w:t xml:space="preserve">Notes: </w:t>
      </w:r>
      <w:r>
        <w:t>abstract_source=pubmed</w:t>
      </w:r>
    </w:p>
    <w:p>
      <w:pPr>
        <w:spacing w:before="0" w:after="80" w:lineRule="auto" w:line="276"/>
      </w:pPr>
      <w:r>
        <w:rPr>
          <w:b/>
        </w:rPr>
        <w:t xml:space="preserve">摘要（ZH）: </w:t>
      </w:r>
      <w:r>
        <w:t>水性电解质中的电化学氮还原反应 (NRR) 受到阴极电位处吸附的 H (*H) 的早期积累的严重限制，这会抑制 N2 吸附 (*N2) 并促进析氢反应 (HER)。含有分子质子供体的非水电解质提供了一种缓解这种竞争的途径，但抑制 HER 而不相对减慢 NRR 的分子设计原理仍然不明确。在这里，密度泛函理论计算、电势相关自由能分析和微动力学模型表明，质子供体空间位阻选择性地控制乙腈中 Ru(0001) 上的界面质子耦合电子转移 (PCET)。增加供体空间体积大大提高了 HER Volmer 步骤的障碍，同时仅微弱地干扰了决定速率的 *N2 质子化步骤。这种不对称性源于质子受体的几何形状：质子转移到平面金属位点需要靠近表面的供体途径，并且越来越多地被大体积取代基阻挡，而吸附的*N2的远端N原子从表面突出并且仍然相对容易接近。与该图一致，HER 的有效对称因子随着供体空间体积的增加而减小，从而抑制 HER 的势垒高度和电位响应。微动力学模拟预测，大体积的质子供体会扩大阴极电位窗口，在该窗口上保持高 NRR 法拉第效率，而内在的 NRR 活性在很大程度上仍受到催化剂的限制。这些发现确定了捐助者</w:t>
      </w:r>
    </w:p>
    <w:p>
      <w:pPr>
        <w:spacing w:before="0" w:after="200" w:lineRule="auto" w:line="276"/>
      </w:pPr>
      <w:r>
        <w:rPr>
          <w:b/>
        </w:rPr>
        <w:t xml:space="preserve">Abstract (EN): </w:t>
      </w:r>
      <w:r>
        <w:t>The electrochemical nitrogen reduction reaction (NRR) in aqueous electrolytes is severely limited by the early buildup of adsorbed H (*H) at cathodic potentials, which suppresses N2 adsorption (*N2) and promotes the hydrogen evolution reaction (HER). Nonaqueous electrolytes containing molecular proton donors offer a route to mitigate this competition, but molecular design principles that suppress the HER without comparably slowing the NRR remain poorly defined. Here, density functional theory calculations, potential-dependent free energy analysis, and microkinetic modeling show that proton donor steric hindrance selectively gates interfacial proton-coupled electron transfer (PCET) on Ru(0001) in acetonitrile. Increasing donor steric bulk substantially raises the barrier for the HER Volmer step, while only weakly perturbing the rate-determining *N2 protonation step. This asymmetry originates from the proton acceptor geometry: proton transfer to a flat metal site requires a close donor approach to the surface and is increasingly blocked by bulky substituents, whereas the distal N atom of adsorbed *N2 protrudes from the surface and remains comparatively accessible. Consistent with this picture, the effective symmetry factor for the HER decreases with donor steric bulk, suppressing the HER in both the barrier height and potential response. Microkinetic simulations predict that bulky proton donors widen the cathodic potential window over which high NRR faradaic efficiency is maintained, while intrinsic NRR activity remains largely catalyst-limited. These findings identify donor-acceptor accessibility as a molecular design principle for selective interfacial PCET in nonaqueous electrocatalysis.</w:t>
      </w:r>
    </w:p>
    <w:p>
      <w:pPr>
        <w:spacing w:before="120" w:after="120"/>
      </w:pPr>
      <w:r>
        <w:rPr>
          <w:sz w:val="18"/>
        </w:rPr>
        <w:t>——————————————————————————————————————————————————————————————————————</w:t>
      </w:r>
    </w:p>
    <w:p>
      <w:pPr>
        <w:spacing w:before="160" w:after="40" w:line="240" w:lineRule="auto"/>
      </w:pPr>
      <w:r>
        <w:rPr>
          <w:b/>
        </w:rPr>
        <w:t xml:space="preserve">[4] </w:t>
      </w:r>
      <w:hyperlink r:id="rId170">
        <w:r>
          <w:rPr>
            <w:color w:val="1155CC"/>
            <w:u w:val="single"/>
          </w:rPr>
          <w:t>具有电力、冷却、加热和氢中心的多载体能源系统的双层随机规划和能源管理</w:t>
        </w:r>
      </w:hyperlink>
    </w:p>
    <w:p>
      <w:pPr>
        <w:spacing w:before="0" w:after="80"/>
      </w:pPr>
      <w:r>
        <w:rPr>
          <w:i/>
          <w:sz w:val="20"/>
        </w:rPr>
        <w:t>EN: Bi-level stochastic planning and energy management of a multi-carrier energy system with electrical, cooling, heating, and hydrogen hubs</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301">
        <w:r>
          <w:rPr>
            <w:color w:val="1155CC"/>
            <w:u w:val="single"/>
          </w:rPr>
          <w:t>具有状态变迁和内生层级形成的氢能基础设施演化规划模型：以京津冀地区为例</w:t>
        </w:r>
      </w:hyperlink>
    </w:p>
    <w:p>
      <w:pPr>
        <w:spacing w:before="0" w:after="80"/>
      </w:pPr>
      <w:r>
        <w:rPr>
          <w:i/>
          <w:sz w:val="20"/>
        </w:rPr>
        <w:t>EN: An evolutionary planning model for hydrogen infrastructure with state transitions and endogenous hierarchy formation: A case study of the Beijing-Tianjin-Hebei region</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02">
        <w:r>
          <w:rPr>
            <w:color w:val="1155CC"/>
            <w:u w:val="single"/>
          </w:rPr>
          <w:t>使用堆栈硬件在 80 和 95 °C 下测试聚合物电解质膜燃料电池的降解</w:t>
        </w:r>
      </w:hyperlink>
    </w:p>
    <w:p>
      <w:pPr>
        <w:spacing w:before="0" w:after="80"/>
      </w:pPr>
      <w:r>
        <w:rPr>
          <w:i/>
          <w:sz w:val="20"/>
        </w:rPr>
        <w:t>EN: Degradation of polymer-electrolyte membrane fuel cells tested at 80 and 95 °C using stack hardware</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03">
        <w:r>
          <w:rPr>
            <w:color w:val="1155CC"/>
            <w:u w:val="single"/>
          </w:rPr>
          <w:t>通过燃料电池提供可持续电力：固定和运输领域的应用和前景</w:t>
        </w:r>
      </w:hyperlink>
    </w:p>
    <w:p>
      <w:pPr>
        <w:spacing w:before="0" w:after="80"/>
      </w:pPr>
      <w:r>
        <w:rPr>
          <w:i/>
          <w:sz w:val="20"/>
        </w:rPr>
        <w:t>EN: Sustainable power through fuel cells: Applications and prospects in stationary and transportation sectors</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304">
        <w:r>
          <w:rPr>
            <w:color w:val="1155CC"/>
            <w:u w:val="single"/>
          </w:rPr>
          <w:t>聚光下阴离子交换膜光电化学水分解反应器的光热协同和气泡动力学</w:t>
        </w:r>
      </w:hyperlink>
    </w:p>
    <w:p>
      <w:pPr>
        <w:spacing w:before="0" w:after="80"/>
      </w:pPr>
      <w:r>
        <w:rPr>
          <w:i/>
          <w:sz w:val="20"/>
        </w:rPr>
        <w:t>EN: Photo-thermal synergy and bubble dynamics in an anion exchange membrane photoelectrochemical water splitting reactor under concentrated light</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05">
        <w:r>
          <w:rPr>
            <w:color w:val="1155CC"/>
            <w:u w:val="single"/>
          </w:rPr>
          <w:t>多目标优化驱动的差压质子交换膜电解槽和水电解系统的跨级耦合分析</w:t>
        </w:r>
      </w:hyperlink>
    </w:p>
    <w:p>
      <w:pPr>
        <w:spacing w:before="0" w:after="80"/>
      </w:pPr>
      <w:r>
        <w:rPr>
          <w:i/>
          <w:sz w:val="20"/>
        </w:rPr>
        <w:t>EN: A cross-level coupled analysis of a differential-pressure PEM electrolysis cell and a water electrolysis system driven by multi-objective optimisation</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06">
        <w:r>
          <w:rPr>
            <w:color w:val="1155CC"/>
            <w:u w:val="single"/>
          </w:rPr>
          <w:t>异质固体废物热解制氢的数据驱动视角：综合综述</w:t>
        </w:r>
      </w:hyperlink>
    </w:p>
    <w:p>
      <w:pPr>
        <w:spacing w:before="0" w:after="80"/>
      </w:pPr>
      <w:r>
        <w:rPr>
          <w:i/>
          <w:sz w:val="20"/>
        </w:rPr>
        <w:t>EN: Data-driven perspectives on pyrolysis of heterogeneous solid waste for hydrogen production: A comprehensive review</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07">
        <w:r>
          <w:rPr>
            <w:color w:val="1155CC"/>
            <w:u w:val="single"/>
          </w:rPr>
          <w:t>高湿度下 PEMFC 电压行为的阴极工作条件降维框架：双指数方法</w:t>
        </w:r>
      </w:hyperlink>
    </w:p>
    <w:p>
      <w:pPr>
        <w:spacing w:before="0" w:after="80"/>
      </w:pPr>
      <w:r>
        <w:rPr>
          <w:i/>
          <w:sz w:val="20"/>
        </w:rPr>
        <w:t>EN: Dimensionality reduction framework of cathode operating conditions for PEMFC voltage behavior under high humidity: A two-index approach</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08">
        <w:r>
          <w:rPr>
            <w:color w:val="1155CC"/>
            <w:u w:val="single"/>
          </w:rPr>
          <w:t>导电金属氧化物上单组分分子催化剂光电化学 H 2 析出中的界面电荷转移路径</w:t>
        </w:r>
      </w:hyperlink>
    </w:p>
    <w:p>
      <w:pPr>
        <w:spacing w:before="0" w:after="80"/>
      </w:pPr>
      <w:r>
        <w:rPr>
          <w:i/>
          <w:sz w:val="20"/>
        </w:rPr>
        <w:t>EN: Interfacial Charge Transfer Pathways in Photoelectrochemical H 2 Evolution by a Single-Component Molecular Catalyst on a Conductive Metal Oxide</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309">
        <w:r>
          <w:rPr>
            <w:color w:val="1155CC"/>
            <w:u w:val="single"/>
          </w:rPr>
          <w:t>10.1021/jacs.6c06408</w:t>
        </w:r>
      </w:hyperlink>
    </w:p>
    <w:p>
      <w:pPr>
        <w:spacing w:before="0" w:after="120"/>
      </w:pPr>
      <w:r>
        <w:rPr>
          <w:b/>
        </w:rPr>
        <w:t xml:space="preserve">Notes: </w:t>
      </w:r>
      <w:r>
        <w:t>abstract_source=pubmed</w:t>
      </w:r>
    </w:p>
    <w:p>
      <w:pPr>
        <w:spacing w:before="0" w:after="80" w:lineRule="auto" w:line="276"/>
      </w:pPr>
      <w:r>
        <w:rPr>
          <w:b/>
        </w:rPr>
        <w:t xml:space="preserve">摘要（ZH）: </w:t>
      </w:r>
      <w:r>
        <w:t>染料敏化光电合成电池传统上结合了光敏染料来收集光和催化剂以在半导体上产生化学燃料。在这项工作中，一种既能吸收光又能形成燃料的光活性催化剂[Cp*Ir(4,4'-Y2-bpy)Cl][Cl]（Cp* = 五甲基环戊二烯基，bpy = 2,2'-联吡啶，Y = CH2PO3H2）固定在介孔锡掺杂氧化铟（ITO）电极上，无需额外的催化剂即可在水中光电化学析氢。光敏剂或牺牲还原剂。光谱电化学表明单点析氢机制涉及向 ITO 注入电荷，这与溶液中观察到的双金属机制相反。照明下的循环伏安法和变电位计时电流法通过 Ir 氢化物激发态和导电 ITO 电极之间的界面电子转移探测竞争路径。马库斯理论框架为来自电势相关量子产率测量的竞争界面电子转移路径提供重组能量。与利用 p 型半导体的光电极相比，光驱动的导电氧化物析氢催化具有高法拉第效率和电流密度。通过揭示控制光催化效率的主要电子转移途径，本研究建立了混合分子光电催化剂的设计原则。</w:t>
      </w:r>
    </w:p>
    <w:p>
      <w:pPr>
        <w:spacing w:before="0" w:after="200" w:lineRule="auto" w:line="276"/>
      </w:pPr>
      <w:r>
        <w:rPr>
          <w:b/>
        </w:rPr>
        <w:t xml:space="preserve">Abstract (EN): </w:t>
      </w:r>
      <w:r>
        <w:t>Dye-sensitized photoelectrosynthesis cells traditionally combine a photosensitizing dye to harvest light and a catalyst to generate chemical fuels on a semiconductor. In this work, a photoactive catalyst capable of both light absorption and fuel formation, [Cp*Ir(4,4'-Y2-bpy)Cl][Cl] (Cp* = pentamethylcyclopentadienyl, bpy = 2,2'-bipyridine, Y = CH2PO3H2), is anchored to a mesoporous tin-doped indium oxide (ITO) electrode and facilitates photoelectrochemical H2 evolution in water without the need for additional photosensitizers or sacrificial reductants. Spectroelectrochemistry indicates a single-site H2 evolution mechanism involving charge injection to ITO, in contrast to the bimetallic mechanism observed in solution. Cyclic voltammetry and variable-potential chronoamperometry under illumination probe competing pathways via interfacial electron transfer between the Ir hydride excited state and the conductive ITO electrode. A Marcus theory framework provides reorganization energies for competing interfacial electron transfer pathways from potential-dependent quantum yield measurements. The light-driven H2 evolution catalysis on conducting oxide proceeds with high Faradaic efficiency and current densities comparable to photoelectrodes utilizing p-type semiconductors. By uncovering the principal electron transfer pathways that govern photocatalytic efficiency, this study establishes design principles for hybrid molecular photoelectrocatalysts.</w:t>
      </w:r>
    </w:p>
    <w:p>
      <w:pPr>
        <w:spacing w:before="120" w:after="120"/>
      </w:pPr>
      <w:r>
        <w:rPr>
          <w:sz w:val="18"/>
        </w:rPr>
        <w:t>——————————————————————————————————————————————————————————————————————</w:t>
      </w:r>
    </w:p>
    <w:p>
      <w:pPr>
        <w:spacing w:before="160" w:after="40" w:line="240" w:lineRule="auto"/>
      </w:pPr>
      <w:r>
        <w:rPr>
          <w:b/>
        </w:rPr>
        <w:t xml:space="preserve">[13] </w:t>
      </w:r>
      <w:hyperlink r:id="rId310">
        <w:r>
          <w:rPr>
            <w:color w:val="1155CC"/>
            <w:u w:val="single"/>
          </w:rPr>
          <w:t>设计具有分级孔隙度的纳米花状 Fe-N-C 阴极，以减轻 PEMFC 中的氧传输阻力</w:t>
        </w:r>
      </w:hyperlink>
    </w:p>
    <w:p>
      <w:pPr>
        <w:spacing w:before="0" w:after="80"/>
      </w:pPr>
      <w:r>
        <w:rPr>
          <w:i/>
          <w:sz w:val="20"/>
        </w:rPr>
        <w:t>EN: Engineering a Nanoflower-like Fe-N-C Cathode with Hierarchical Porosity to Mitigate Oxygen Transport Resistance in PEMFCs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311">
        <w:r>
          <w:rPr>
            <w:color w:val="1155CC"/>
            <w:u w:val="single"/>
          </w:rPr>
          <w:t>10.1021/acsami.6c04273</w:t>
        </w:r>
      </w:hyperlink>
    </w:p>
    <w:p>
      <w:pPr>
        <w:spacing w:before="0" w:after="120"/>
      </w:pPr>
      <w:r>
        <w:rPr>
          <w:b/>
        </w:rPr>
        <w:t xml:space="preserve">Notes: </w:t>
      </w:r>
      <w:r>
        <w:t>abstract_source=pubmed</w:t>
      </w:r>
    </w:p>
    <w:p>
      <w:pPr>
        <w:spacing w:before="0" w:after="80" w:lineRule="auto" w:line="276"/>
      </w:pPr>
      <w:r>
        <w:rPr>
          <w:b/>
        </w:rPr>
        <w:t xml:space="preserve">摘要（ZH）: </w:t>
      </w:r>
      <w:r>
        <w:t>Fe-N-C 氧还原催化剂虽然有望作为质子交换膜燃料电池 (PEMFC) 中昂贵的铂的替代品，但其氧传输阻力很大。这种阻力源于传统催化剂的主要微孔性，它限制了氧气进入活性位点并加剧电极溢流。为了克服这一瓶颈，我们报告了一种形态工程策略，通过构建由具有分层多孔结构的堆叠超薄纳米片组成的纳米花状 Fe-N-C 催化剂。电子显微镜和压汞孔隙率测定法证实，这种独特的结构具有互连的超薄纳米片和丰富的大孔，共同建立了有效的气体传输途径。结果，氧传输阻力从 56 急剧降低至 9.08 s m-1，同时增强的疏水性改善了电极内的水管理。当集成到实际的质子交换膜燃料电池中时，纳米花状结构催化剂的峰值功率密度达到1.15 W cm-2，显着优于传统催化剂（0.725 W cm-2）。这项工作表明，合理的结构调控可以有效解决质量传输限制，为质子交换膜燃料电池的高性能、非贵金属阴极催化剂提供了一条可行的途径。</w:t>
      </w:r>
    </w:p>
    <w:p>
      <w:pPr>
        <w:spacing w:before="0" w:after="200" w:lineRule="auto" w:line="276"/>
      </w:pPr>
      <w:r>
        <w:rPr>
          <w:b/>
        </w:rPr>
        <w:t xml:space="preserve">Abstract (EN): </w:t>
      </w:r>
      <w:r>
        <w:t>Fe-N-C oxygen reduction catalysts, while promising as alternatives to costly platinum in proton exchange membrane fuel cells (PEMFCs), suffer from significant oxygen transport resistance. This resistance stems from the predominant microporosity of conventional catalysts, which restricts oxygen access to active sites and exacerbates electrode flooding. To overcome this bottleneck, we report a morphology-engineering strategy by constructing a nanoflower-like Fe-N-C catalyst composed of stacked ultrathin nanosheets with a hierarchically porous architecture. Electron microscopy and mercury intrusion porosimetry confirm that this unique structure features interconnected ultrathin nanosheets and abundant macropores, which collectively establish efficient gas-transport pathways. As a result, the oxygen transport resistance is dramatically reduced from 56 to 9.08 s m-1, while enhanced hydrophobicity improves water management within the electrode. When integrated into a practical PEMFC, the nanoflower-like structured catalyst achieves a peak power density of 1.15 W cm-2, significantly outperforming the conventional catalyst (0.725 W cm-2). This work demonstrates that rational structural regulation can effectively address mass-transport limitations, providing a feasible route toward high-performance, non-precious metal cathode catalysts for PEMFCs.</w:t>
      </w:r>
    </w:p>
    <w:p>
      <w:pPr>
        <w:spacing w:before="120" w:after="120"/>
      </w:pPr>
      <w:r>
        <w:rPr>
          <w:sz w:val="18"/>
        </w:rPr>
        <w:t>——————————————————————————————————————————————————————————————————————</w:t>
      </w:r>
    </w:p>
    <w:p>
      <w:pPr>
        <w:spacing w:before="160" w:after="40" w:line="240" w:lineRule="auto"/>
      </w:pPr>
      <w:r>
        <w:rPr>
          <w:b/>
        </w:rPr>
        <w:t xml:space="preserve">[14] </w:t>
      </w:r>
      <w:hyperlink r:id="rId312">
        <w:r>
          <w:rPr>
            <w:color w:val="1155CC"/>
            <w:u w:val="single"/>
          </w:rPr>
          <w:t>全固态约束合成氮掺杂碳锚定 PtFe 合金用于酸性氧还原</w:t>
        </w:r>
      </w:hyperlink>
    </w:p>
    <w:p>
      <w:pPr>
        <w:spacing w:before="0" w:after="80"/>
      </w:pPr>
      <w:r>
        <w:rPr>
          <w:i/>
          <w:sz w:val="20"/>
        </w:rPr>
        <w:t>EN: All-Solid-State Confinement Synthesis of PtFe Alloy Anchored on N-Doped Carbon for Acidic Oxygen Reduction</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313">
        <w:r>
          <w:rPr>
            <w:color w:val="1155CC"/>
            <w:u w:val="single"/>
          </w:rPr>
          <w:t>10.1021/acsami.6c07261</w:t>
        </w:r>
      </w:hyperlink>
    </w:p>
    <w:p>
      <w:pPr>
        <w:spacing w:before="0" w:after="120"/>
      </w:pPr>
      <w:r>
        <w:rPr>
          <w:b/>
        </w:rPr>
        <w:t xml:space="preserve">Notes: </w:t>
      </w:r>
      <w:r>
        <w:t>abstract_source=pubmed</w:t>
      </w:r>
    </w:p>
    <w:p>
      <w:pPr>
        <w:spacing w:before="0" w:after="80" w:lineRule="auto" w:line="276"/>
      </w:pPr>
      <w:r>
        <w:rPr>
          <w:b/>
        </w:rPr>
        <w:t xml:space="preserve">摘要（ZH）: </w:t>
      </w:r>
      <w:r>
        <w:t>铂基合金催化剂已被确立为实用质子交换膜燃料电池（PEMFC）中高活性和稳健的氧还原反应（ORR）电催化剂。然而，通过低成本、无溶剂和尺寸可控的合成方案制造这种低铂负载量的催化剂仍然是一个有待探索的开放空间。在此，我们将 ZIF-8 前驱体的全固态合成与直接限制热解相结合，以将 PtFe 合金纳米颗粒均匀锚定在 ZIF-8 衍生的氮掺杂碳（PtFe/NC）上。所得仅含 1.59 wt% Pt 的 PtFe/NC 催化剂表现出 0.897 V 的半波电位和 2.34 A mgPt-1（@0.90 V，无 iR）的质量活性，比商业 20 wt% Pt/C (0.14 A mgPt-1) 的性能高出 17 倍。我们已经证实 Fe 掺杂可以有效限制 Pt 的生长颗粒。同时，将Fe原子整合到Pt晶格中导致3.6%的晶格压缩，相应地使d带中心下移并优化了对反应中间体的吸附强度，从而促进氧的释放并显着增强催化活性。</w:t>
      </w:r>
    </w:p>
    <w:p>
      <w:pPr>
        <w:spacing w:before="0" w:after="200" w:lineRule="auto" w:line="276"/>
      </w:pPr>
      <w:r>
        <w:rPr>
          <w:b/>
        </w:rPr>
        <w:t xml:space="preserve">Abstract (EN): </w:t>
      </w:r>
      <w:r>
        <w:t>Pt-based alloy catalysts have been established as highly active and robust oxygen reduction reaction (ORR) electrocatalysts in the practical proton exchange membrane fuel cell (PEMFC). Nevertheless, fabricating such catalysts with low Pt loading via low-cost, solvent-free, and size-controllable synthetic protocols remains an open space to be explored. Herein, we combined an all-solid-state synthesis of ZIF-8 precursor with a direct confined pyrolysis for the uniform anchoring of PtFe alloy nanoparticles on nitrogen-doped carbon derived from ZIF-8 (PtFe/NC). The resulting PtFe/NC catalyst with only 1.59 wt % Pt exhibits a remarkable half-wave potential of 0.897 V and a mass activity of 2.34 A mgPt-1 (@0.90 V, iR-free), outperforming commercial 20 wt % Pt/C (0.14 A mgPt-1) by a factor of 17. We have confirmed that Fe doping can effectively restrict the growth of Pt particles. Meanwhile, integrating Fe atoms into the Pt lattice results in a 3.6% lattice compression, which correspondingly downshifts the d-band center and optimizes the adsorption strength toward reaction intermediates, thereby facilitating oxygen release and significantly enhances the catalytic activity.</w:t>
      </w:r>
    </w:p>
    <w:p>
      <w:pPr>
        <w:spacing w:before="120" w:after="120"/>
      </w:pPr>
      <w:r>
        <w:rPr>
          <w:sz w:val="18"/>
        </w:rPr>
        <w:t>——————————————————————————————————————————————————————————————————————</w:t>
      </w:r>
    </w:p>
    <w:p>
      <w:pPr>
        <w:spacing w:before="160" w:after="40" w:line="240" w:lineRule="auto"/>
      </w:pPr>
      <w:r>
        <w:rPr>
          <w:b/>
        </w:rPr>
        <w:t xml:space="preserve">[15] </w:t>
      </w:r>
      <w:hyperlink r:id="rId314">
        <w:r>
          <w:rPr>
            <w:color w:val="1155CC"/>
            <w:u w:val="single"/>
          </w:rPr>
          <w:t>可视化非铱催化剂中酸性析氧反应的双位点协同催化</w:t>
        </w:r>
      </w:hyperlink>
    </w:p>
    <w:p>
      <w:pPr>
        <w:spacing w:before="0" w:after="80"/>
      </w:pPr>
      <w:r>
        <w:rPr>
          <w:i/>
          <w:sz w:val="20"/>
        </w:rPr>
        <w:t>EN: Visualizing dual-sites synergistic catalysis in non-iridium catalysts for acidic oxygen evolution reaction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了解固/液电化学界面的电子转移对于破译协同催化至关重要，但阐明金属掺杂剂如何介导相邻活性中心之间的电荷转移仍然具有挑战性。在这里，我们将一系列金属掺杂剂（Cu、Mn、W）掺入 RuO2 中，以研究双位点（M-Ru）电子转移如何影响催化活性和稳定性。结合原位表征和理论模拟，我们发现Mn掺杂增强了Ru 4d-O 2p轨道耦合并建立了单向电子转移，在高电压下使Ru过氧化并加速性能退化。相比之下，W掺杂调节Ru 4d-和O 2p-带中心以减少轨道重叠，削弱Ru-O共价并实现双向电子转移。作为电压门控电子调节器，W 位点动态地转换角色：在低电势下，它充当电子受体，激活 Ru 位点并促进水解离，而在高电势下，它充当电子供体，抑制 Ru 过氧化。这种机制赋予催化剂良好的稳定性，在 500 mA cm⁻² 下运行 300 小时，活性衰减可以忽略不计。</w:t>
      </w:r>
    </w:p>
    <w:p>
      <w:pPr>
        <w:spacing w:before="0" w:after="200" w:lineRule="auto" w:line="276"/>
      </w:pPr>
      <w:r>
        <w:rPr>
          <w:b/>
        </w:rPr>
        <w:t xml:space="preserve">Abstract (EN): </w:t>
      </w:r>
      <w:r>
        <w:t>Understanding electron transfer at the solid/liquid electrochemical interface is critical for deciphering synergistic catalysis, yet elucidating how metal dopants mediate charge transfer between adjacent active centers remains challenging. Here, we incorporate a series of metal dopants (Cu, Mn, W) into RuO2 to investigate how dual-site (M–Ru) electron transfer affects catalytic activity and stability. Combining in situ characterization with theoretical simulations, we reveal that Mn doping intensifies Ru 4d–O 2p orbital coupling and establishes unidirectional electron transfer, which peroxidizes Ru under high voltage and accelerates performance degradation. In contrast, W doping modulates the Ru 4d- and O 2p-band centers to reduce orbital overlap, weakening Ru–O covalency and enabling bidirectional electron transfer. Functioning as a voltage-gated electron regulator, the W site dynamically switches roles: at low potentials it acts as an electron acceptor to activate Ru sites and promote water dissociation, while at high potentials it serves as an electron donor to suppress Ru peroxidation. This mechanism endows the catalyst with good stability, showing negligible activity decay during 300 hours of operation at 500 mA cm⁻².</w:t>
      </w:r>
    </w:p>
    <w:p>
      <w:pPr>
        <w:spacing w:before="120" w:after="120"/>
      </w:pPr>
      <w:r>
        <w:rPr>
          <w:sz w:val="18"/>
        </w:rPr>
        <w:t>——————————————————————————————————————————————————————————————————————</w:t>
      </w:r>
    </w:p>
    <w:p>
      <w:pPr>
        <w:spacing w:before="160" w:after="40" w:line="240" w:lineRule="auto"/>
      </w:pPr>
      <w:r>
        <w:rPr>
          <w:b/>
        </w:rPr>
        <w:t xml:space="preserve">[16] </w:t>
      </w:r>
      <w:hyperlink r:id="rId315">
        <w:r>
          <w:rPr>
            <w:color w:val="1155CC"/>
            <w:u w:val="single"/>
          </w:rPr>
          <w:t>作者更正：用于高温聚合物电解质膜燃料电池的铜离子交联薄膜</w:t>
        </w:r>
      </w:hyperlink>
    </w:p>
    <w:p>
      <w:pPr>
        <w:spacing w:before="0" w:after="80"/>
      </w:pPr>
      <w:r>
        <w:rPr>
          <w:i/>
          <w:sz w:val="20"/>
        </w:rPr>
        <w:t>EN: Author Correction: Thin membranes with Cu-ion crosslinking for high temperature polymer electrolyte membrane fuel cells</w:t>
      </w:r>
    </w:p>
    <w:p>
      <w:pPr>
        <w:spacing w:before="0" w:after="120"/>
      </w:pPr>
      <w:r>
        <w:rPr>
          <w:b/>
        </w:rPr>
        <w:t xml:space="preserve">Source: </w:t>
      </w:r>
      <w:r>
        <w:t>Nature Energy</w:t>
      </w:r>
      <w:r>
        <w:t xml:space="preserve">    </w:t>
      </w:r>
      <w:r>
        <w:rPr>
          <w:b/>
        </w:rPr>
        <w:t xml:space="preserve">Pub date: </w:t>
      </w:r>
      <w:r>
        <w:t>2026-07-14 00:00:00+00:00</w:t>
      </w:r>
      <w:r>
        <w:t xml:space="preserve">    </w:t>
      </w:r>
      <w:r>
        <w:rPr>
          <w:b/>
        </w:rPr>
        <w:t xml:space="preserve">DOI: </w:t>
      </w:r>
      <w:hyperlink r:id="rId316">
        <w:r>
          <w:rPr>
            <w:color w:val="1155CC"/>
            <w:u w:val="single"/>
          </w:rPr>
          <w:t>10.1038/s41560-026-02119-1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17">
        <w:r>
          <w:rPr>
            <w:color w:val="1155CC"/>
            <w:u w:val="single"/>
          </w:rPr>
          <w:t>解决中国电解氢需求的水资源限制</w:t>
        </w:r>
      </w:hyperlink>
    </w:p>
    <w:p>
      <w:pPr>
        <w:spacing w:before="0" w:after="80"/>
      </w:pPr>
      <w:r>
        <w:rPr>
          <w:i/>
          <w:sz w:val="20"/>
        </w:rPr>
        <w:t>EN: Addressing water resource constraints for electrolytic hydrogen demand in China</w:t>
      </w:r>
    </w:p>
    <w:p>
      <w:pPr>
        <w:spacing w:before="0" w:after="120"/>
      </w:pPr>
      <w:r>
        <w:rPr>
          <w:b/>
        </w:rPr>
        <w:t xml:space="preserve">Source: </w:t>
      </w:r>
      <w:r>
        <w:t>Nature Sustainability</w:t>
      </w:r>
      <w:r>
        <w:t xml:space="preserve">    </w:t>
      </w:r>
      <w:r>
        <w:rPr>
          <w:b/>
        </w:rPr>
        <w:t xml:space="preserve">Pub date: </w:t>
      </w:r>
      <w:r>
        <w:t>2026-07-14 00:00:00+00:00</w:t>
      </w:r>
      <w:r>
        <w:t xml:space="preserve">    </w:t>
      </w:r>
      <w:r>
        <w:rPr>
          <w:b/>
        </w:rPr>
        <w:t xml:space="preserve">DOI: </w:t>
      </w:r>
      <w:hyperlink r:id="rId318">
        <w:r>
          <w:rPr>
            <w:color w:val="1155CC"/>
            <w:u w:val="single"/>
          </w:rPr>
          <w:t>10.1038/s41893-026-01894-9</w:t>
        </w:r>
      </w:hyperlink>
    </w:p>
    <w:p>
      <w:pPr>
        <w:spacing w:before="0" w:after="120"/>
      </w:pPr>
      <w:r>
        <w:rPr>
          <w:b/>
        </w:rPr>
        <w:t xml:space="preserve">Notes: </w:t>
      </w:r>
      <w:r>
        <w:t>abstract_source=nature_html</w:t>
      </w:r>
    </w:p>
    <w:p>
      <w:pPr>
        <w:spacing w:before="0" w:after="80" w:lineRule="auto" w:line="276"/>
      </w:pPr>
      <w:r>
        <w:rPr>
          <w:b/>
        </w:rPr>
        <w:t xml:space="preserve">摘要（ZH）: </w:t>
      </w:r>
      <w:r>
        <w:t>电解氢是化石燃料的可持续替代品，可实现净零排放，但其生产面临水资源挑战。作为最大的氢消费国，中国的目标是到 2050 年将可再生氢产量扩大到 40-75 Mt yr−1。在这里，我们揭示了中国 2,853 个县级城市电解氢需求的水约束的时空分布。然后，我们提出针对特定城市的解决方案来解决这些水资源限制，并模拟相关的碳和成本影响。我们发现，水资源限制了 2030 年和 2050 年预计电解氢需求的 30% 左右，而更严格的用水限制使这一比例进一步加剧至 50% 以上。这种水资源限制可能会导致 2050 年碳减排机会达到约 174-299 MtCO2e。我们确定了针对特定城市的成本最低策略，主要基于使用再生水进行电解氢生产。该策略可以释放 99% 的水资源受限缓解机会，而到 2050 年，成本仅比使用天然水高出约 20%。</w:t>
      </w:r>
    </w:p>
    <w:p>
      <w:pPr>
        <w:spacing w:before="0" w:after="200" w:lineRule="auto" w:line="276"/>
      </w:pPr>
      <w:r>
        <w:rPr>
          <w:b/>
        </w:rPr>
        <w:t xml:space="preserve">Abstract (EN): </w:t>
      </w:r>
      <w:r>
        <w:t>Electrolytic hydrogen is a sustainable alternative to fossil fuels for achieving net-zero emissions, but its production confronts water resource challenges. As the largest hydrogen consumer, China aims to scale up renewable-based hydrogen production to 40–75 Mt yr−1 by 2050. Here we uncover the spatiotemporal profiles of water constraints for the electrolytic hydrogen demand across 2,853 county-level cities of China. We then propose city-specific solutions to address these water constraints and model associated carbon and cost implications. We find that water resources constrain ~30% of projected electrolytic hydrogen demand in 2030 and 2050, which is exacerbated to over 50% by stricter water usage limits. Such water constraints risk carbon mitigation opportunities of ~174–299 MtCO2e in 2050. We identify a city-specific cost-minimum strategy, primarily based on using reclaimed water for electrolytic hydrogen production. This strategy can unlock 99% of water-constrained mitigation opportunities, with costs only ~20% higher than using natural water in 2050.</w:t>
      </w:r>
    </w:p>
    <w:p>
      <w:pPr>
        <w:spacing w:before="120" w:after="120"/>
      </w:pPr>
      <w:r>
        <w:rPr>
          <w:sz w:val="18"/>
        </w:rPr>
        <w:t>——————————————————————————————————————————————————————————————————————</w:t>
      </w:r>
    </w:p>
    <w:p>
      <w:pPr>
        <w:spacing w:before="160" w:after="40" w:line="240" w:lineRule="auto"/>
      </w:pPr>
      <w:r>
        <w:rPr>
          <w:b/>
        </w:rPr>
        <w:t xml:space="preserve">[18] </w:t>
      </w:r>
      <w:hyperlink r:id="rId319">
        <w:r>
          <w:rPr>
            <w:color w:val="1155CC"/>
            <w:u w:val="single"/>
          </w:rPr>
          <w:t>机器学习辅助开发 CO 2 加氢高性能乙醇合成催化剂</w:t>
        </w:r>
      </w:hyperlink>
    </w:p>
    <w:p>
      <w:pPr>
        <w:spacing w:before="0" w:after="80"/>
      </w:pPr>
      <w:r>
        <w:rPr>
          <w:i/>
          <w:sz w:val="20"/>
        </w:rPr>
        <w:t>EN: Machine Learning-Assisted Development of High-Performance Ethanol Synthesis Catalysts via CO 2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320">
        <w:r>
          <w:rPr>
            <w:color w:val="1155CC"/>
            <w:u w:val="single"/>
          </w:rPr>
          <w:t>10.1021/jacs.6c06886</w:t>
        </w:r>
      </w:hyperlink>
    </w:p>
    <w:p>
      <w:pPr>
        <w:spacing w:before="0" w:after="120"/>
      </w:pPr>
      <w:r>
        <w:rPr>
          <w:b/>
        </w:rPr>
        <w:t xml:space="preserve">Notes: </w:t>
      </w:r>
      <w:r>
        <w:t>abstract_source=pubmed</w:t>
      </w:r>
    </w:p>
    <w:p>
      <w:pPr>
        <w:spacing w:before="0" w:after="80" w:lineRule="auto" w:line="276"/>
      </w:pPr>
      <w:r>
        <w:rPr>
          <w:b/>
        </w:rPr>
        <w:t xml:space="preserve">摘要（ZH）: </w:t>
      </w:r>
      <w:r>
        <w:t>高性能催化剂的发现和开发对于所有催化领域都至关重要，需要先进的技术和创新方法。最近，机器学习 (ML) 在加速这一过程方面显示出了希望，但其能力和发现真正新颖催化剂的例子仍然有限。在这项研究中，我们描述了一种超越传统元素库的机器学习方法，结合了以前未研究过的元素，以开发通过二氧化碳加氢合成乙醇的高效催化剂。从 58 种催化剂的初始数据集（在 240-400 °C 反应温度范围内获得的 274 个数据点）开始，我们对闭环发现系统（ML 预测 + 实验验证）进行了 24 次迭代，测试了总共 555 种催化剂（2477 个数据点），并构建了一个大型实验数据集。通过这种数据驱动的方法发现了 50 多种具有优异活性的催化剂。多元素Pd(0.8)-Au(0.3)/K(2.5)-Sr(1)-Fe(20)-Zn(4)-Cd(2)-Yb(1)-Re(1)/CeO2(25%)-ZrO2催化剂（括号中的数字代表重量百分比（wt %））被认为是最有效的乙醇合成催化剂（乙醇时空产率：8.2 mmol） gcat-1 h-1，反应条件为360 ℃、4 MPa、12 L gcat-1 h-1，H2/CO2 = 3/1，CO2 转化率为 57.6%，乙醇选择性为 23.2%。综合表征，包括原位/操作技术，例如 X 射线吸收光谱 (XAS)、常压 X 射线光电子能谱 (AP-XPS)、</w:t>
      </w:r>
    </w:p>
    <w:p>
      <w:pPr>
        <w:spacing w:before="0" w:after="200" w:lineRule="auto" w:line="276"/>
      </w:pPr>
      <w:r>
        <w:rPr>
          <w:b/>
        </w:rPr>
        <w:t xml:space="preserve">Abstract (EN): </w:t>
      </w:r>
      <w:r>
        <w:t>The discovery and development of high-performance catalysts, which is crucial across all catalysis areas, requires advanced technologies and innovative approaches. Recently, machine learning (ML) has shown promise in accelerating this process, but its capability and examples of discovery of truly novel catalysts have remained limited. In this study, we describe an ML approach that goes beyond the traditional element pool, incorporating elements that have not been previously studied, to develop highly efficient catalysts for ethanol synthesis via CO2 hydrogenation. Starting with an initial data set of 58 catalysts (274 data points obtained at reaction temperatures ranging from 240-400 °C), we conducted 24 iterations of a closed-loop discovery system (ML predictions + experimental validation), testing a total of 555 catalysts (2477 data points), and building a large experimental data set. More than 50 catalysts with superior activity were discovered through this data-driven approach. The multielemental Pd(0.8)-Au(0.3)/K(2.5)-Sr(1)-Fe(20)-Zn(4)-Cd(2)-Yb(1)-Re(1)/CeO2(25%)-ZrO2 catalyst, where the numbers in parentheses represent weight percent (wt %), was identified as the most effective catalyst for ethanol synthesis (ethanol space-time yield: 8.2 mmol gcat-1 h-1 with a CO2 conversion of 57.6% and an ethanol selectivity of 23.2% under reaction conditions of 360 °C, 4 MPa, 12 L gcat-1 h-1, H2/CO2 = 3/1). Comprehensive characterizations, including in situ/operando techniques such as X-ray absorption spectroscopy (XAS), ambient-pressure X-ray photoelectron spectroscopy (AP-XPS), and diffuse reflectance infrared Fourier transform spectroscopy (DRIFTS), enable us to highlight the critical roles of each constituting element in improving ethanol synthesis efficiency.</w:t>
      </w:r>
    </w:p>
    <w:p>
      <w:pPr>
        <w:spacing w:before="120" w:after="120"/>
      </w:pPr>
      <w:r>
        <w:rPr>
          <w:sz w:val="18"/>
        </w:rPr>
        <w:t>——————————————————————————————————————————————————————————————————————</w:t>
      </w:r>
    </w:p>
    <w:p>
      <w:pPr>
        <w:spacing w:before="160" w:after="40" w:line="240" w:lineRule="auto"/>
      </w:pPr>
      <w:r>
        <w:rPr>
          <w:b/>
        </w:rPr>
        <w:t xml:space="preserve">[19] </w:t>
      </w:r>
      <w:hyperlink r:id="rId321">
        <w:r>
          <w:rPr>
            <w:color w:val="1155CC"/>
            <w:u w:val="single"/>
          </w:rPr>
          <w:t>基于电池电压和电化学阻抗谱的100kW质子交换膜水电解槽电堆电池性能不一致性研究</w:t>
        </w:r>
      </w:hyperlink>
    </w:p>
    <w:p>
      <w:pPr>
        <w:spacing w:before="0" w:after="80"/>
      </w:pPr>
      <w:r>
        <w:rPr>
          <w:i/>
          <w:sz w:val="20"/>
        </w:rPr>
        <w:t>EN: Investigation on inconsistency of cell performance for 100 kW PEM water electrolyzer stacks based on cell voltage and electrochemical impedance spectroscopy</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22">
        <w:r>
          <w:rPr>
            <w:color w:val="1155CC"/>
            <w:u w:val="single"/>
          </w:rPr>
          <w:t>将原位监测的膜电极组件参数与外部特性相结合，用于质子交换膜燃料电池的跨尺度耐久性评估</w:t>
        </w:r>
      </w:hyperlink>
    </w:p>
    <w:p>
      <w:pPr>
        <w:spacing w:before="0" w:after="80"/>
      </w:pPr>
      <w:r>
        <w:rPr>
          <w:i/>
          <w:sz w:val="20"/>
        </w:rPr>
        <w:t>EN: Integrating in-situ monitored membrane electrode assembly parameters with external characteristics for cross-scale durability evaluation of proton exchange membrane fuel cell</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23">
        <w:r>
          <w:rPr>
            <w:color w:val="1155CC"/>
            <w:u w:val="single"/>
          </w:rPr>
          <w:t>工程生物衍生碳点介体用于水氧化中质子耦合电子转移的可持续控制</w:t>
        </w:r>
      </w:hyperlink>
    </w:p>
    <w:p>
      <w:pPr>
        <w:spacing w:before="0" w:after="80"/>
      </w:pPr>
      <w:r>
        <w:rPr>
          <w:i/>
          <w:sz w:val="20"/>
        </w:rPr>
        <w:t>EN: Engineering Bio-Derived Carbon Dot Mediators for Sustainable Steering of Proton-Coupled Electron Transfer in Water Oxidation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324">
        <w:r>
          <w:rPr>
            <w:color w:val="1155CC"/>
            <w:u w:val="single"/>
          </w:rPr>
          <w:t>10.1021/acsami.6c08087</w:t>
        </w:r>
      </w:hyperlink>
    </w:p>
    <w:p>
      <w:pPr>
        <w:spacing w:before="0" w:after="120"/>
      </w:pPr>
      <w:r>
        <w:rPr>
          <w:b/>
        </w:rPr>
        <w:t xml:space="preserve">Notes: </w:t>
      </w:r>
      <w:r>
        <w:t>abstract_source=pubmed</w:t>
      </w:r>
    </w:p>
    <w:p>
      <w:pPr>
        <w:spacing w:before="0" w:after="80" w:lineRule="auto" w:line="276"/>
      </w:pPr>
      <w:r>
        <w:rPr>
          <w:b/>
        </w:rPr>
        <w:t xml:space="preserve">摘要（ZH）: </w:t>
      </w:r>
      <w:r>
        <w:t>析氧反应（OER）过程中质子和电子转移的动力学解耦是人工光合作用的基本瓶颈，导致高过电势和催化剂降解。受光系统II中氢键网络的质子中继功能的启发，我们报告了一种可持续策略，利用万古霉素衍生的碳点（Van-Cdots）在CoFe层状双氢氧化物（LDH）电催化剂上设计人工质子转移途径。 Van-Cdots 创建了一个扩展的界面氢键网络，可主动引导质子耦合电子转移 (PCET) 机制。动力学同位素效应测量揭示了从原始 CoFe-LDH 的初级 KIE (2.00) 到 Van-Cdots/CoFe-LDH 杂化物的次级 KIE (≤1.49) 的显着转变，最终消除了速率决定步骤中的质子转移。 pH 依赖性动力学表明从协同 PCET 途径到非协同机制的转变，分数反应级数 (0.20-0.58) 表明 Grotthuss 型质子跳跃。质子库存研究为多个质子位点（Z = 2.508）的参与提供了定量证据，其分馏因子极低（φ = 0.076），低势垒氢键的特征接近自然光合作用中推断的氢键。 Gerischer 阻抗谱证实质子交换动力学超过了自然扩散，建立了化学-电化学-化学机制。优化的混合实现了塔菲尔斜率的大幅降低 (146 mV dec-1) 和增强的 s</w:t>
      </w:r>
    </w:p>
    <w:p>
      <w:pPr>
        <w:spacing w:before="0" w:after="200" w:lineRule="auto" w:line="276"/>
      </w:pPr>
      <w:r>
        <w:rPr>
          <w:b/>
        </w:rPr>
        <w:t xml:space="preserve">Abstract (EN): </w:t>
      </w:r>
      <w:r>
        <w:t>The kinetic decoupling of proton and electron transfer during the oxygen evolution reaction (OER) represents a fundamental bottleneck in artificial photosynthesis, leading to high overpotentials and catalyst degradation. Inspired by the proton-relay function of the hydrogen-bond network in photosystem II, we report a sustainable strategy to engineer an artificial proton-transfer pathway on CoFe layered double hydroxide (LDH) electrocatalysts using vancomycin-derived carbon dots (Van-Cdots). The Van-Cdots create an extended interfacial hydrogen-bond network that actively steers the proton-coupled electron transfer (PCET) mechanism. Kinetic isotope effect measurements reveal a striking transition from a primary KIE (2.00) for pristine CoFe-LDH to a secondary KIE (≤1.49) for the Van-Cdots/CoFe-LDH hybrid, definitively removing proton transfer from the rate-determining step. pH-dependent kinetics demonstrate a shift from a concerted PCET pathway to a non-concerted mechanism, with fractional reaction orders (0.20-0.58) indicative of Grotthuss-type proton hopping. Proton inventory studies provide quantitative evidence for participation of multiple protonic sites (Z = 2.508) with an exceptionally low fractionation factor (φ = 0.076), characteristic of low-barrier hydrogen bonds approaching those inferred in natural photosynthesis. Gerischer impedance spectroscopy confirms that proton-exchange kinetics outpace natural diffusion, establishing a chemical-electrochemical-chemical mechanism. The optimized hybrid achieves a substantially reduced Tafel slope (146 mV dec-1) and enhanced stability. This work establishes bio-derived carbon dots as a sustainable, integrable platform for engineering proton-relay interfaces, bridging a critical gap between synthetic electrocatalysis and nature's integrated design.</w:t>
      </w:r>
    </w:p>
    <w:p>
      <w:pPr>
        <w:spacing w:before="120" w:after="120"/>
      </w:pPr>
      <w:r>
        <w:rPr>
          <w:sz w:val="18"/>
        </w:rPr>
        <w:t>——————————————————————————————————————————————————————————————————————</w:t>
      </w:r>
    </w:p>
    <w:p>
      <w:pPr>
        <w:spacing w:before="160" w:after="40" w:line="240" w:lineRule="auto"/>
      </w:pPr>
      <w:r>
        <w:rPr>
          <w:b/>
        </w:rPr>
        <w:t xml:space="preserve">[22] </w:t>
      </w:r>
      <w:hyperlink r:id="rId325">
        <w:r>
          <w:rPr>
            <w:color w:val="1155CC"/>
            <w:u w:val="single"/>
          </w:rPr>
          <w:t>一种多功能电催化剂，用于同时析氢和葡萄糖电化学加氢生成山梨醇的甲酸盐生产</w:t>
        </w:r>
      </w:hyperlink>
    </w:p>
    <w:p>
      <w:pPr>
        <w:spacing w:before="0" w:after="80"/>
      </w:pPr>
      <w:r>
        <w:rPr>
          <w:i/>
          <w:sz w:val="20"/>
        </w:rPr>
        <w:t>EN: A Multifunctional Electrocatalyst for Formate Production with Concurrent Hydrogen Evolution and Electrochemical Hydrogenation of Glucose to Sorbitol</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326">
        <w:r>
          <w:rPr>
            <w:color w:val="1155CC"/>
            <w:u w:val="single"/>
          </w:rPr>
          <w:t>10.1021/acsami.6c07887</w:t>
        </w:r>
      </w:hyperlink>
    </w:p>
    <w:p>
      <w:pPr>
        <w:spacing w:before="0" w:after="120"/>
      </w:pPr>
      <w:r>
        <w:rPr>
          <w:b/>
        </w:rPr>
        <w:t xml:space="preserve">Notes: </w:t>
      </w:r>
      <w:r>
        <w:t>abstract_source=pubmed</w:t>
      </w:r>
    </w:p>
    <w:p>
      <w:pPr>
        <w:spacing w:before="0" w:after="80" w:lineRule="auto" w:line="276"/>
      </w:pPr>
      <w:r>
        <w:rPr>
          <w:b/>
        </w:rPr>
        <w:t xml:space="preserve">摘要（ZH）: </w:t>
      </w:r>
      <w:r>
        <w:t>生物质葡萄糖的电化学增值为有价值的化学品和绿色氢的可持续联产提供了一条有前途的途径，但取决于经济高效的多功能催化剂的开发。在这里，我们报告了一种不含贵金属的核壳催化剂 Cu@CoFe2O4，它可以在单个系统中驱动阳极葡萄糖氧化和阴极析氢或葡萄糖氢化。在碱性介质 (1 M KOH) 中，该催化剂在 1.3 V vs RHE 下，葡萄糖转化率为 97.5%，对甲酸盐的法拉第效率 (FE) 为 91.2%，同时能够以 100% FE 析出氢气。在中性电解质 (0.1 M Na2SO4) 中，同一电极促进葡萄糖选择性电化学还原为山梨醇，FE 为 87.5%，在 -0.4 V vs RHE 下转化率为 76%。实验和计算分析表明，富含 Cu 的核心/富含 CoFe2O4 的壳状异质结构增强了电荷转移并提供了互补的活性位点，有助于观察到的葡萄糖氧化和氢化途径的活性。这项工作突出了用于生物质转化和可持续制氢的多功能、地球丰富的电催化平台。</w:t>
      </w:r>
    </w:p>
    <w:p>
      <w:pPr>
        <w:spacing w:before="0" w:after="200" w:lineRule="auto" w:line="276"/>
      </w:pPr>
      <w:r>
        <w:rPr>
          <w:b/>
        </w:rPr>
        <w:t xml:space="preserve">Abstract (EN): </w:t>
      </w:r>
      <w:r>
        <w:t>Electrochemical valorization of biomass-derived glucose offers a promising route for the sustainable coproduction of valuable chemicals and green hydrogen, yet hinges on the development of cost-effective, multifunctional catalysts. Here, we report a noble metal-free core-shell catalyst, Cu@CoFe2O4, that drives both anodic glucose oxidation and cathodic hydrogen evolution or glucose hydrogenation in a single system. In alkaline media (1 M KOH), the catalyst achieves a glucose conversion of 97.5% with a Faradaic efficiency (FE) of 91.2% toward formate at 1.3 V vs RHE, while enabling hydrogen evolution with 100% FE. In a neutral electrolyte (0.1 M Na2SO4), the same electrode facilitates the selective electrochemical reduction of glucose to sorbitol with an FE of 87.5% and 76% conversion at -0.4 V vs RHE. Experimental and computational analyses suggest that the Cu-rich core/CoFe2O4-rich shell-like heterostructure enhances charge transfer and provides complementary active sites, contributing to the observed activity toward both glucose oxidation and hydrogenation pathways. This work highlights a versatile, earth-abundant electrocatalytic platform for biomass conversion and sustainable hydrogen generation.</w:t>
      </w:r>
    </w:p>
    <w:p>
      <w:pPr>
        <w:spacing w:before="120" w:after="120"/>
      </w:pPr>
      <w:r>
        <w:rPr>
          <w:sz w:val="18"/>
        </w:rPr>
        <w:t>——————————————————————————————————————————————————————————————————————</w:t>
      </w:r>
    </w:p>
    <w:p>
      <w:pPr>
        <w:spacing w:before="160" w:after="40" w:line="240" w:lineRule="auto"/>
      </w:pPr>
      <w:r>
        <w:rPr>
          <w:b/>
        </w:rPr>
        <w:t xml:space="preserve">[23] </w:t>
      </w:r>
      <w:hyperlink r:id="rId327">
        <w:r>
          <w:rPr>
            <w:color w:val="1155CC"/>
            <w:u w:val="single"/>
          </w:rPr>
          <w:t>特定生物原料对通过甲醇喷射生产氢强化生物燃料的工艺设计和技术经济性能的影响</w:t>
        </w:r>
      </w:hyperlink>
    </w:p>
    <w:p>
      <w:pPr>
        <w:spacing w:before="0" w:after="80"/>
      </w:pPr>
      <w:r>
        <w:rPr>
          <w:i/>
          <w:sz w:val="20"/>
        </w:rPr>
        <w:t>EN: Impact of specific biogenic feedstocks on process design and techno-economic performance in hydrogen-enhanced biofuel production via Methanol-to-Jet</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8">
        <w:r>
          <w:rPr>
            <w:color w:val="1155CC"/>
            <w:u w:val="single"/>
          </w:rPr>
          <w:t>用于高效节能气体分离的可扩展准纯 MOF 膜</w:t>
        </w:r>
      </w:hyperlink>
    </w:p>
    <w:p>
      <w:pPr>
        <w:spacing w:before="0" w:after="80"/>
      </w:pPr>
      <w:r>
        <w:rPr>
          <w:i/>
          <w:sz w:val="20"/>
        </w:rPr>
        <w:t>EN: Scalable quasi-pure MOF membranes for energy-efficient gas separations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329">
        <w:r>
          <w:rPr>
            <w:color w:val="1155CC"/>
            <w:u w:val="single"/>
          </w:rPr>
          <w:t>10.1038/s41586-026-10655-9</w:t>
        </w:r>
      </w:hyperlink>
    </w:p>
    <w:p>
      <w:pPr>
        <w:spacing w:before="0" w:after="120"/>
      </w:pPr>
      <w:r>
        <w:rPr>
          <w:b/>
        </w:rPr>
        <w:t xml:space="preserve">Notes: </w:t>
      </w:r>
      <w:r>
        <w:t>abstract_source=nature_html</w:t>
      </w:r>
    </w:p>
    <w:p>
      <w:pPr>
        <w:spacing w:before="0" w:after="80" w:lineRule="auto" w:line="276"/>
      </w:pPr>
      <w:r>
        <w:rPr>
          <w:b/>
        </w:rPr>
        <w:t xml:space="preserve">摘要（ZH）: </w:t>
      </w:r>
      <w:r>
        <w:t>金属有机骨架 (MOF) 膜在解决能源密集型气体分离的能源问题方面具有巨大潜力1,2,3,4,5。导出方便的可扩展协议对于将基于 MOF 的膜成功转化和部署到实际应用中至关重要6,7,8。在这里，我们报告了一种新的膜结构，即准纯 MOF 膜（&gt; 90 vol% MOF），可使用行业可靠的溶液加工技术进行大规模制造，并提供接近相关纯 MOF 膜的分离性能，充分发挥 MOF 的内在潜力。这一进步是通过合并相方法实现的，该方法将 MOF 和聚合物融合成单个伪连续相，并提供具有类似聚合物表面特性的 MOF，即使在极端固体浓度下也能实现流变控制的絮凝网络。代表性基准 MOF（ZIF-67、CALF-20 和 CuBDC）被制成准纯膜，并对其基本分离进行了评估，包括丙烯/丙烷、乙烯/乙烷、碳捕获和氢气纯化。工业工厂实现了准纯 (110) 取向 ZIF-67 膜的连续卷对卷制造，展示了工业相关性。对于丙烯/丙烷分离，这些膜的丙烯渗透性约为 160 barrer，混合气体选择性约为 100，足以生产聚合物级丙烯，根据技术经济分析，与蒸馏相比，纯化成本降低 80%。这项研究解决了绩效之间长期存在的差距</w:t>
      </w:r>
    </w:p>
    <w:p>
      <w:pPr>
        <w:spacing w:before="0" w:after="200" w:lineRule="auto" w:line="276"/>
      </w:pPr>
      <w:r>
        <w:rPr>
          <w:b/>
        </w:rPr>
        <w:t xml:space="preserve">Abstract (EN): </w:t>
      </w:r>
      <w:r>
        <w:t>Metal–organic framework (MOF) membranes offer great potential to address the energy penalties of energy-intensive gas separations1,2,3,4,5. Deriving convenient scalable protocols is essential for the successful translation and deployment of MOF-based membranes into practical applications6,7,8. Here we report a new membrane architecture, the quasi-pure MOF membrane (&gt;90 vol% MOF), manufacturable at scale using industry-reliable solution-processing techniques and offering separation performance approaching that of associated pure MOF membranes, fully realizing the MOF intrinsic potential. This advance is enabled by a merged-phase approach fusing MOFs and polymers into a single pseudo-continuous phase and proffering MOFs with polymer-like surface properties, allowing rheologically controlled flocculated networks even at extreme solid concentrations. Representative benchmark MOFs (ZIF-67, CALF-20 and CuBDC) were fabricated into quasi-pure membranes and evaluated for essential separations, including propylene/propane, ethylene/ethane, carbon capture and hydrogen purification. Demonstrating industrial relevance, continuous roll-to-roll fabrication of quasi-pure (110)-oriented ZIF-67 membranes was achieved at an industrial plant. For propylene/propane separation, these membranes achieve a propylene permeability of about 160 barrer and mixed-gas selectivity of about 100—sufficient to produce polymer-grade propylene, offering an 80% purification cost reduction compared with distillation based on techno-economic analysis. This study addresses the long-standing gap between performance and scalability of crystalline membranes for demanding molecular separations.</w:t>
      </w:r>
    </w:p>
    <w:p>
      <w:pPr>
        <w:spacing w:before="120" w:after="120"/>
      </w:pPr>
      <w:r>
        <w:rPr>
          <w:sz w:val="18"/>
        </w:rPr>
        <w:t>——————————————————————————————————————————————————————————————————————</w:t>
      </w:r>
    </w:p>
    <w:p>
      <w:pPr>
        <w:spacing w:before="160" w:after="40" w:line="240" w:lineRule="auto"/>
      </w:pPr>
      <w:r>
        <w:rPr>
          <w:b/>
        </w:rPr>
        <w:t xml:space="preserve">[25] </w:t>
      </w:r>
      <w:hyperlink r:id="rId330">
        <w:r>
          <w:rPr>
            <w:color w:val="1155CC"/>
            <w:u w:val="single"/>
          </w:rPr>
          <w:t>内置电场的原子尺度成像揭示了 Fe-O v 对析氧反应的协同增强作用</w:t>
        </w:r>
      </w:hyperlink>
    </w:p>
    <w:p>
      <w:pPr>
        <w:spacing w:before="0" w:after="80"/>
      </w:pPr>
      <w:r>
        <w:rPr>
          <w:i/>
          <w:sz w:val="20"/>
        </w:rPr>
        <w:t>EN: Atomic-Scale Imaging of Built-In Electric Field Reveals Fe–O v Synergistic Enhancement for Oxygen Evolution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331">
        <w:r>
          <w:rPr>
            <w:color w:val="1155CC"/>
            <w:u w:val="single"/>
          </w:rPr>
          <w:t>10.1021/jacs.6c10106</w:t>
        </w:r>
      </w:hyperlink>
    </w:p>
    <w:p>
      <w:pPr>
        <w:spacing w:before="0" w:after="120"/>
      </w:pPr>
      <w:r>
        <w:rPr>
          <w:b/>
        </w:rPr>
        <w:t xml:space="preserve">Notes: </w:t>
      </w:r>
      <w:r>
        <w:t>abstract_source=pubmed</w:t>
      </w:r>
    </w:p>
    <w:p>
      <w:pPr>
        <w:spacing w:before="0" w:after="80" w:lineRule="auto" w:line="276"/>
      </w:pPr>
      <w:r>
        <w:rPr>
          <w:b/>
        </w:rPr>
        <w:t xml:space="preserve">摘要（ZH）: </w:t>
      </w:r>
      <w:r>
        <w:t>水分解催化剂内内置电场的成像困难阻碍了获取视觉证据以建立电子结构和催化行为之间的直接关系。在此，我们对铁掺杂和氧空位 (Ov) 共修饰的钴镍双金属氧化物进行建模，利用微分相衬扫描透射电子显微镜在原子水平上建立了 Fe 和 Ov 协同效应所产生的增强内置电场的清晰、全面的图像。研究表明，异质铁离子可以引入额外的电子传导路径，从而增强整体电场强度。 Ov 充当吸收站，吸引电子并导致电子密度局部积累，而 Fe 和 Ov 协同诱导强大且均匀的内置电场，从而增强电荷迁移。原位光谱进一步揭示，Fe掺杂通过增强电场促进OH*中间体吸附，而氧空位诱导局域电场促进晶格氧氧化机制。 NiCo2-xFexOδ充分利用Fe-Ov协同效应，在阳极析氧反应（OER）中实现长期稳定性和高催化活性。我们预计这项工作可以阐明阳离子-阴离子共调节和内置电场之间的相互作用，为高性能 OER 电催化剂提供合理的设计策略。</w:t>
      </w:r>
    </w:p>
    <w:p>
      <w:pPr>
        <w:spacing w:before="0" w:after="200" w:lineRule="auto" w:line="276"/>
      </w:pPr>
      <w:r>
        <w:rPr>
          <w:b/>
        </w:rPr>
        <w:t xml:space="preserve">Abstract (EN): </w:t>
      </w:r>
      <w:r>
        <w:t>Imaging difficulties of the built-in electric field within water-splitting catalysts have hampered the acquisition of visual evidence for establishing the direct relationship between electronic structure and catalytic behavior. Herein, modeling on a cobalt-nickel bimetallic oxide comodified by iron doping and oxygen vacancies (Ov), we establish an explicit and comprehensive picture of the enhanced built-in electric field arising from the synergy effect of Fe and Ov at the atomic-level by utilizing differential phase-contrast scanning transmission electron microscopy. Heterogeneous Fe ions are revealed to introduce additional electronic conduction pathways for enhancing the overall electric field intensity. While Ov acted as absorption stations for attracting electrons and leading to a localized accumulation of electron density, Fe and Ov synergistically induce a strong and uniform built-in electric field, thereby enhancing charge migration. In situ spectroscopies further reveal that Fe doping promotes OH* intermediate adsorption by enhancing electric fields, and oxygen vacancies induce localized electric fields to facilitate the lattice oxygen oxidation mechanism. NiCo2-xFexOδ fully exploits the Fe-Ov synergistic effect to achieve long-term stability and high catalytic activity in the anodic oxygen evolution reaction (OER). We anticipate this work can elucidate the interplay between cation-anion coregulation and the built-in electric field, offering a rational design strategy for high-performance OER electrocatalysts.</w:t>
      </w:r>
    </w:p>
    <w:p>
      <w:pPr>
        <w:spacing w:before="120" w:after="120"/>
      </w:pPr>
      <w:r>
        <w:rPr>
          <w:sz w:val="18"/>
        </w:rPr>
        <w:t>——————————————————————————————————————————————————————————————————————</w:t>
      </w:r>
    </w:p>
    <w:p>
      <w:pPr>
        <w:spacing w:before="160" w:after="40" w:line="240" w:lineRule="auto"/>
      </w:pPr>
      <w:r>
        <w:rPr>
          <w:b/>
        </w:rPr>
        <w:t xml:space="preserve">[26] </w:t>
      </w:r>
      <w:hyperlink r:id="rId332">
        <w:r>
          <w:rPr>
            <w:color w:val="1155CC"/>
            <w:u w:val="single"/>
          </w:rPr>
          <w:t>电子燃料可以将电池材料需求削减多达 9 倍，但给英国净零运输带来新的困境</w:t>
        </w:r>
      </w:hyperlink>
    </w:p>
    <w:p>
      <w:pPr>
        <w:spacing w:before="0" w:after="80"/>
      </w:pPr>
      <w:r>
        <w:rPr>
          <w:i/>
          <w:sz w:val="20"/>
        </w:rPr>
        <w:t>EN: E-fuels can cut battery material demand by up to 9-fold but create new dilemmas for UK net-zero transport</w:t>
      </w:r>
    </w:p>
    <w:p>
      <w:pPr>
        <w:spacing w:before="0" w:after="120"/>
      </w:pPr>
      <w:r>
        <w:rPr>
          <w:b/>
        </w:rPr>
        <w:t xml:space="preserve">Source: </w:t>
      </w:r>
      <w:r>
        <w:t>One Earth</w:t>
      </w:r>
      <w:r>
        <w:t xml:space="preserve">    </w:t>
      </w:r>
      <w:r>
        <w:rPr>
          <w:b/>
        </w:rPr>
        <w:t xml:space="preserve">Pub date: </w:t>
      </w:r>
      <w:r>
        <w:t>2026-07-15 00:00:00+00:00</w:t>
      </w:r>
      <w:r>
        <w:t xml:space="preserve">    </w:t>
      </w:r>
      <w:r>
        <w:rPr>
          <w:b/>
        </w:rPr>
        <w:t xml:space="preserve">DOI: </w:t>
      </w:r>
      <w:hyperlink r:id="rId333">
        <w:r>
          <w:rPr>
            <w:color w:val="1155CC"/>
            <w:u w:val="single"/>
          </w:rPr>
          <w:t>10.1016/j.oneear.2026.101773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34">
        <w:r>
          <w:rPr>
            <w:color w:val="1155CC"/>
            <w:u w:val="single"/>
          </w:rPr>
          <w:t>PEMFC电堆阴极气体扩散层在2000 h大功率恒流条件下的降解机理：PTFE驱动的多尺度协同效应</w:t>
        </w:r>
      </w:hyperlink>
    </w:p>
    <w:p>
      <w:pPr>
        <w:spacing w:before="0" w:after="80"/>
      </w:pPr>
      <w:r>
        <w:rPr>
          <w:i/>
          <w:sz w:val="20"/>
        </w:rPr>
        <w:t>EN: Degradation mechanism of the cathode gas diffusion layer in PEMFC stack under 2000 h heavy-duty constant-current condition: PTFE driven multi-scale synergistic effect</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35">
        <w:r>
          <w:rPr>
            <w:color w:val="1155CC"/>
            <w:u w:val="single"/>
          </w:rPr>
          <w:t>晶体对称性降低对质子隧道效应的影响</w:t>
        </w:r>
      </w:hyperlink>
    </w:p>
    <w:p>
      <w:pPr>
        <w:spacing w:before="0" w:after="80"/>
      </w:pPr>
      <w:r>
        <w:rPr>
          <w:i/>
          <w:sz w:val="20"/>
        </w:rPr>
        <w:t>EN: Impact of crystal symmetry lowering on proton tunneling</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大量研究集中在钒基材料用于氢（H）储存和分离的技术应用上。然而，对氢扩散的基本理解，特别是晶体对称性在其量子行为中的作用，仍然不完整。在这里，我们通过结构分析、跳跃率测量和量子计算的组合方法研究外延钒 (V) 薄膜中的 H 扩散。 H 深度分布和晶格位点占用的核反应分析表明，H 迁移在单轴应变 β 相八面体 (Oz) 位点之间在 70 K 左右开始。由 H 分布变化驱动的电阻随时间的演变使得能够定量估计扩散系数。在 65 K 以上，H 表现出热激活跳跃，激活能为 148 meV。相比之下，在立方 α 相中，即使在较低温度下，H 跳跃仍然明显更快。量子态计算表明，在 α 相中，H 基态由于隧道效应而在四面体位置上离域，而在 β 相中，单轴应变抑制隧道效应，导致 Oz 位置周围的局域化。这些发现表明，晶体对称性在量子隧道效应中起着至关重要的作用，并且与 H 诱导的势能景观调制一起控制着相位相关的 H 跳跃行为。</w:t>
      </w:r>
    </w:p>
    <w:p>
      <w:pPr>
        <w:spacing w:before="0" w:after="200" w:lineRule="auto" w:line="276"/>
      </w:pPr>
      <w:r>
        <w:rPr>
          <w:b/>
        </w:rPr>
        <w:t xml:space="preserve">Abstract (EN): </w:t>
      </w:r>
      <w:r>
        <w:t>Considerable research has focused on the technological applications of vanadium-based materials for hydrogen (H) storage and separation. However, a fundamental understanding of H diffusion, particularly the role of crystal symmetry in its quantum behavior, remains incomplete. Here, we investigate H diffusion in an epitaxial vanadium (V) thin film through a combined approach involving structure analysis, hopping rate measurements, and quantum calculations. Nuclear reaction analysis of H depth profiles and lattice-site occupancy shows that H migration initiates around 70 K between the octahedral (Oz) sites in the uniaxially strained β-phase. The time evolution of electrical resistance, driven by changes in H distribution, enables quantitative estimation of the diffusion coefficient. Above 65 K, H exhibits thermally activated hopping with an activation energy of 148 meV. In contrast, in the cubic α-phase, H hopping remains significantly faster even at lower temperatures. Quantum state calculations reveal that, in the α-phase, H ground states are delocalized over tetrahedral sites due to tunneling, whereas in the β-phase, uniaxial strain suppresses tunneling, leading to localization around the Oz sites. These findings demonstrate that crystal symmetry plays a crucial role in quantum tunneling and, together with H-induced modulation of the potential energy landscape, governs phase-dependent H hopping behavior.</w:t>
      </w:r>
    </w:p>
    <w:p>
      <w:pPr>
        <w:spacing w:before="120" w:after="120"/>
      </w:pPr>
      <w:r>
        <w:rPr>
          <w:sz w:val="18"/>
        </w:rPr>
        <w:t>——————————————————————————————————————————————————————————————————————</w:t>
      </w:r>
    </w:p>
    <w:p>
      <w:pPr>
        <w:spacing w:before="160" w:after="40" w:line="240" w:lineRule="auto"/>
      </w:pPr>
      <w:r>
        <w:rPr>
          <w:b/>
        </w:rPr>
        <w:t xml:space="preserve">[29] </w:t>
      </w:r>
      <w:hyperlink r:id="rId336">
        <w:r>
          <w:rPr>
            <w:color w:val="1155CC"/>
            <w:u w:val="single"/>
          </w:rPr>
          <w:t>高性能燃料电池的单粒子原子尺度应变梯度工程</w:t>
        </w:r>
      </w:hyperlink>
    </w:p>
    <w:p>
      <w:pPr>
        <w:spacing w:before="0" w:after="80"/>
      </w:pPr>
      <w:r>
        <w:rPr>
          <w:i/>
          <w:sz w:val="20"/>
        </w:rPr>
        <w:t>EN: Single-particle atomic-scale strain-gradient engineering for high-performance fuel cells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实际的电化学能量转换需要电催化剂在空间上不同的活性位点协调多个基本步骤，但在单个异质颗粒内对这种特定位点反应性进行原子级控制仍然具有挑战性。在这里，我们提出并实现了原子尺度梯度应变作为多相电催化的设计概念。使用 Pd@Pt 核壳四面体作为模型系统，我们在单个 3-4 原子层 Pt {111} 外延壳上构建了连续的晶格应变梯度，其中晶格失配驱动的压缩从边缘到中心区域松弛。这种单粒子应变梯度的范围约为-8%至-2%，通过动力学可及的中间再分布，在空间上将高度压缩位点的*O2激活与中等压缩位点的*OH减弱联系起来。该催化剂表现出具有竞争力的氧还原反应性能，相对于可逆氢电极，0.9 V 下的质量和比活性为 2.19 A mgPt-1 和 3.01 mA cm-2，同时在 20 k 次循环后仍保持 91% 的活性。在膜电极组件中，它们在 H2-O2 中实现了 0.57 A mgPt-1，峰值功率密度为 2.10 W cm-2，在 H2-空气中达到 1.16 W cm-2，20 k 次循环后性能保持率超过 90%。</w:t>
      </w:r>
    </w:p>
    <w:p>
      <w:pPr>
        <w:spacing w:before="0" w:after="200" w:lineRule="auto" w:line="276"/>
      </w:pPr>
      <w:r>
        <w:rPr>
          <w:b/>
        </w:rPr>
        <w:t xml:space="preserve">Abstract (EN): </w:t>
      </w:r>
      <w:r>
        <w:t>Practical electrochemical energy conversion requires electrocatalysts that coordinate multiple elementary steps at spatially distinct active sites, yet atomic-level control of such site-specific reactivity within a single heterogeneous particle remains challenging. Here we propose and realize atomic-scale gradient strain as a design concept for heterogeneous electrocatalysis. Using Pd@Pt core-shell tetrahedra as a model system, we construct a continuous lattice-strain gradient across individual 3–4 atomic-layer Pt {111} epitaxial shells, where lattice-mismatch-driven compression relaxes from edges to center regions. This single-particle strain gradient, spanning approximately −8% to −2%, spatially links *O2 activation at highly compressed sites with *OH weakening at moderately compressed sites through kinetically accessible intermediate redistribution. The catalysts exhibit competitive oxygen reduction reaction performance, with mass and specific activities of 2.19 A mgPt⁻1 and 3.01 mA cm⁻2 at 0.9 V vs reversible hydrogen electrode, while retaining 91% activity after 20 k cycles. In membrane electrode assemblies, they achieve 0.57 A mgPt⁻1, and peak power densities of 2.10 W cm⁻2 in H2 − O2 and 1.16 W cm⁻2 in H2−air, with over 90% performance retention after 20 k cycles.</w:t>
      </w:r>
    </w:p>
    <w:p>
      <w:pPr>
        <w:spacing w:before="120" w:after="120"/>
      </w:pPr>
      <w:r>
        <w:rPr>
          <w:sz w:val="18"/>
        </w:rPr>
        <w:t>——————————————————————————————————————————————————————————————————————</w:t>
      </w:r>
    </w:p>
    <w:p>
      <w:pPr>
        <w:spacing w:before="160" w:after="40" w:line="240" w:lineRule="auto"/>
      </w:pPr>
      <w:r>
        <w:rPr>
          <w:b/>
        </w:rPr>
        <w:t xml:space="preserve">[30] </w:t>
      </w:r>
      <w:hyperlink r:id="rId337">
        <w:r>
          <w:rPr>
            <w:color w:val="1155CC"/>
            <w:u w:val="single"/>
          </w:rPr>
          <w:t>将联氨程序化封装在聚硝基框架内，以实现卓越的自氧化还原系统</w:t>
        </w:r>
      </w:hyperlink>
    </w:p>
    <w:p>
      <w:pPr>
        <w:spacing w:before="0" w:after="80"/>
      </w:pPr>
      <w:r>
        <w:rPr>
          <w:i/>
          <w:sz w:val="20"/>
        </w:rPr>
        <w:t>EN: Programmatic encapsulation of hydrazine within polynitro frameworks for superior self-redox systems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338">
        <w:r>
          <w:rPr>
            <w:color w:val="1155CC"/>
            <w:u w:val="single"/>
          </w:rPr>
          <w:t>10.1126/sciadv.aee8120</w:t>
        </w:r>
      </w:hyperlink>
    </w:p>
    <w:p>
      <w:pPr>
        <w:spacing w:before="0" w:after="120"/>
      </w:pPr>
      <w:r>
        <w:rPr>
          <w:b/>
        </w:rPr>
        <w:t xml:space="preserve">Notes: </w:t>
      </w:r>
      <w:r>
        <w:t>abstract_source=crossref</w:t>
      </w:r>
    </w:p>
    <w:p>
      <w:pPr>
        <w:spacing w:before="0" w:after="80" w:lineRule="auto" w:line="276"/>
      </w:pPr>
      <w:r>
        <w:rPr>
          <w:b/>
        </w:rPr>
        <w:t xml:space="preserve">摘要（ZH）: </w:t>
      </w:r>
      <w:r>
        <w:t>肼（N）的可控储存与高效应用</w:t>
      </w:r>
      <w:r>
        <w:rPr>
          <w:vertAlign w:val="subscript"/>
        </w:rPr>
        <w:t>2</w:t>
      </w:r>
      <w:r>
        <w:t>H</w:t>
      </w:r>
      <w:r>
        <w:rPr>
          <w:vertAlign w:val="subscript"/>
        </w:rPr>
        <w:t>4</w:t>
      </w:r>
      <w:r>
        <w:t>），一种重要但危险的化学品，仍然是一个持续的挑战。在此，我们报告了一系列多硝基框架（PNF）、PNF-4、PNF-5和PNF-6，它们实现了四、五和六N的分子精确和可编程封装</w:t>
      </w:r>
      <w:r>
        <w:rPr>
          <w:vertAlign w:val="subscript"/>
        </w:rPr>
        <w:t>2</w:t>
      </w:r>
      <w:r>
        <w:t>H</w:t>
      </w:r>
      <w:r>
        <w:rPr>
          <w:vertAlign w:val="subscript"/>
        </w:rPr>
        <w:t>4</w:t>
      </w:r>
      <w:r>
        <w:t>分别为每个晶胞的分子。主体框架的结构重构促进了这种精确的负载，主体框架通过广泛的氢键（PNF-6 中多达 36 对）固定客体分子。因此，受限中性 N</w:t>
      </w:r>
      <w:r>
        <w:rPr>
          <w:vertAlign w:val="subscript"/>
        </w:rPr>
        <w:t>2</w:t>
      </w:r>
      <w:r>
        <w:t>H</w:t>
      </w:r>
      <w:r>
        <w:rPr>
          <w:vertAlign w:val="subscript"/>
        </w:rPr>
        <w:t>4</w:t>
      </w:r>
      <w:r>
        <w:t>表现出创纪录的高热稳定性，在 201°C 时开始分解。此外，燃料的整合（N</w:t>
      </w:r>
      <w:r>
        <w:rPr>
          <w:vertAlign w:val="subscript"/>
        </w:rPr>
        <w:t>2</w:t>
      </w:r>
      <w:r>
        <w:t>H</w:t>
      </w:r>
      <w:r>
        <w:rPr>
          <w:vertAlign w:val="subscript"/>
        </w:rPr>
        <w:t>4</w:t>
      </w:r>
      <w:r>
        <w:t>）和氧化剂（硝基）创建了优越的自氧化还原系统，从而增强了含有 PNF-6 的配方的推进性能。该工作为N2的精准、安全、高能存储提供了有效策略</w:t>
      </w:r>
      <w:r>
        <w:rPr>
          <w:vertAlign w:val="subscript"/>
        </w:rPr>
        <w:t>2</w:t>
      </w:r>
      <w:r>
        <w:t>H</w:t>
      </w:r>
      <w:r>
        <w:rPr>
          <w:vertAlign w:val="subscript"/>
        </w:rPr>
        <w:t>4</w:t>
      </w:r>
      <w:r>
        <w:t>适用于先进的航空航天应用，同时还提供了以前未知的见解，将反应性小分子集成到多功能系统的自适应框架中。</w:t>
      </w:r>
    </w:p>
    <w:p>
      <w:pPr>
        <w:spacing w:before="0" w:after="200" w:lineRule="auto" w:line="276"/>
      </w:pPr>
      <w:r>
        <w:rPr>
          <w:b/>
        </w:rPr>
        <w:t xml:space="preserve">Abstract (EN): </w:t>
      </w:r>
      <w:r>
        <w:t>The controllable storage and efficient application of hydrazine (N</w:t>
      </w:r>
      <w:r>
        <w:rPr>
          <w:vertAlign w:val="subscript"/>
        </w:rPr>
        <w:t>2</w:t>
      </w:r>
      <w:r>
        <w:t>H</w:t>
      </w:r>
      <w:r>
        <w:rPr>
          <w:vertAlign w:val="subscript"/>
        </w:rPr>
        <w:t>4</w:t>
      </w:r>
      <w:r>
        <w:t>), a vital yet hazardous chemical, remains a continuous challenge. Herein, we report a series of polynitro frameworks (PNFs), PNF-4, PNF-5, and PNF-6, that achieve molecularly precise and programmable encapsulation of four, five, and six N</w:t>
      </w:r>
      <w:r>
        <w:rPr>
          <w:vertAlign w:val="subscript"/>
        </w:rPr>
        <w:t>2</w:t>
      </w:r>
      <w:r>
        <w:t>H</w:t>
      </w:r>
      <w:r>
        <w:rPr>
          <w:vertAlign w:val="subscript"/>
        </w:rPr>
        <w:t>4</w:t>
      </w:r>
      <w:r>
        <w:t>molecules per unit cell, respectively. This precise loading is facilitated by a structural reconfiguration of the host framework, which immobilizes guest molecules via extensive hydrogen bonds—up to 36 pairs in PNF-6. Consequently, the confined neutral N</w:t>
      </w:r>
      <w:r>
        <w:rPr>
          <w:vertAlign w:val="subscript"/>
        </w:rPr>
        <w:t>2</w:t>
      </w:r>
      <w:r>
        <w:t>H</w:t>
      </w:r>
      <w:r>
        <w:rPr>
          <w:vertAlign w:val="subscript"/>
        </w:rPr>
        <w:t>4</w:t>
      </w:r>
      <w:r>
        <w:t>exhibits record-high thermal stability, with decomposition initiating at 201°C. Furthermore, the integration of fuel (N</w:t>
      </w:r>
      <w:r>
        <w:rPr>
          <w:vertAlign w:val="subscript"/>
        </w:rPr>
        <w:t>2</w:t>
      </w:r>
      <w:r>
        <w:t>H</w:t>
      </w:r>
      <w:r>
        <w:rPr>
          <w:vertAlign w:val="subscript"/>
        </w:rPr>
        <w:t>4</w:t>
      </w:r>
      <w:r>
        <w:t>) and oxidizer (nitro groups) creates a superior self-redox system, which enhances the propulsion performance of formulation containing PNF-6. This work provides an effective strategy for the precise, safe, and high-energy storage of N</w:t>
      </w:r>
      <w:r>
        <w:rPr>
          <w:vertAlign w:val="subscript"/>
        </w:rPr>
        <w:t>2</w:t>
      </w:r>
      <w:r>
        <w:t>H</w:t>
      </w:r>
      <w:r>
        <w:rPr>
          <w:vertAlign w:val="subscript"/>
        </w:rPr>
        <w:t>4</w:t>
      </w:r>
      <w:r>
        <w:t>for advanced aerospace applications while also offering previously unidentified insights for integrating reactive, small molecules into adaptive frameworks for multifunctional systems.</w:t>
      </w:r>
    </w:p>
    <w:p>
      <w:pPr>
        <w:spacing w:before="120" w:after="120"/>
      </w:pPr>
      <w:r>
        <w:rPr>
          <w:sz w:val="18"/>
        </w:rPr>
        <w:t>——————————————————————————————————————————————————————————————————————</w:t>
      </w:r>
    </w:p>
    <w:p>
      <w:pPr>
        <w:spacing w:before="160" w:after="40" w:line="240" w:lineRule="auto"/>
      </w:pPr>
      <w:r>
        <w:rPr>
          <w:b/>
        </w:rPr>
        <w:t xml:space="preserve">[31] </w:t>
      </w:r>
      <w:hyperlink r:id="rId39">
        <w:r>
          <w:rPr>
            <w:color w:val="1155CC"/>
            <w:u w:val="single"/>
          </w:rPr>
          <w:t>从无线单片叶子光化学联产氢气和化学品</w:t>
        </w:r>
      </w:hyperlink>
    </w:p>
    <w:p>
      <w:pPr>
        <w:spacing w:before="0" w:after="80"/>
      </w:pPr>
      <w:r>
        <w:rPr>
          <w:i/>
          <w:sz w:val="20"/>
        </w:rPr>
        <w:t>EN: Photochemical coproduction of hydrogen and chemicals from a wireless monolithic leaf</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40">
        <w:r>
          <w:rPr>
            <w:color w:val="1155CC"/>
            <w:u w:val="single"/>
          </w:rPr>
          <w:t>10.1126/sciadv.aed7830</w:t>
        </w:r>
      </w:hyperlink>
    </w:p>
    <w:p>
      <w:pPr>
        <w:spacing w:before="0" w:after="120"/>
      </w:pPr>
      <w:r>
        <w:rPr>
          <w:b/>
        </w:rPr>
        <w:t xml:space="preserve">Notes: </w:t>
      </w:r>
      <w:r>
        <w:t>abstract_source=pubmed</w:t>
      </w:r>
    </w:p>
    <w:p>
      <w:pPr>
        <w:spacing w:before="0" w:after="80" w:lineRule="auto" w:line="276"/>
      </w:pPr>
      <w:r>
        <w:rPr>
          <w:b/>
        </w:rPr>
        <w:t xml:space="preserve">摘要（ZH）: </w:t>
      </w:r>
      <w:r>
        <w:t>集光吸收和催化于一体的人造树叶通过直接将阳光转化为燃料，为可再生电力的间歇性提供了解决方案。在这里，我们设计了一种无线单片叶片，它将隧道氧化物钝化接触硅底部吸收器与缺陷控制钒酸铋 (BiVO4) 顶部吸收器集成在一起，用于氢和化学品的光化学联产。纳米多孔 BiVO4 和微锥体硅的组合通过互补能带结构和几何纳米纹理扩展光捕获，确保高光电压。富含氧空位的表面还原无定形 BiVO4 壳可改善选择性甘油氧化的空穴传输和催化活性，从而实现无偏压操作。作为一种基于无偏压光电催化的独立光化学二极管，无线单片叶子仅在阳光下即可连续共同产生氢气和 C3 化学物质，达到每小时每平方米 395.9 毫摩尔和 91.68 毫摩尔的速率。这项工作重点介绍了吸收剂和界面工程，以实现高效、耐用的人造树叶，以实现可持续的氢气和增值化学品生产。</w:t>
      </w:r>
    </w:p>
    <w:p>
      <w:pPr>
        <w:spacing w:before="0" w:after="200" w:lineRule="auto" w:line="276"/>
      </w:pPr>
      <w:r>
        <w:rPr>
          <w:b/>
        </w:rPr>
        <w:t xml:space="preserve">Abstract (EN): </w:t>
      </w:r>
      <w:r>
        <w:t>Artificial leaves integrating light absorption and catalysis provide a solution to the intermittency of renewable electricity by directly converting sunlight into fuels. Here, we design a wireless monolithic leaf that integrates a tunnel oxide passivating contact Si bottom absorber with a defect-controlled bismuth vanadate (BiVO4) top absorber for photochemical coproduction of hydrogen and chemicals. The combination of nanoporous BiVO4 and micropyramidal silicon ensures a high photovoltage by extending light harvesting through complementary band structures and geometric nanotexturing. A surface-reduced amorphous BiVO4 shell rich in oxygen vacancies improves hole transport and catalytic activity for selective glycerol oxidation, enabling bias-free operation. As a standalone photochemical diode that builds on bias-free photoelectrocatalysis, the wireless monolithic leaf continuously coproduces hydrogen and C3 chemicals solely under sunlight, achieving rates of 395.9 and 91.68 millimoles per square meter per hour. This work highlights absorber and interface engineering for efficient, durable artificial leaves toward sustainable hydrogen and value-added chemical production.</w:t>
      </w:r>
    </w:p>
    <w:p>
      <w:pPr>
        <w:spacing w:before="120" w:after="120"/>
      </w:pPr>
      <w:r>
        <w:rPr>
          <w:sz w:val="18"/>
        </w:rPr>
        <w:t>——————————————————————————————————————————————————————————————————————</w:t>
      </w:r>
    </w:p>
    <w:p>
      <w:pPr>
        <w:spacing w:before="160" w:after="40" w:line="240" w:lineRule="auto"/>
      </w:pPr>
      <w:r>
        <w:rPr>
          <w:b/>
        </w:rPr>
        <w:t xml:space="preserve">[32] </w:t>
      </w:r>
      <w:hyperlink r:id="rId339">
        <w:r>
          <w:rPr>
            <w:color w:val="1155CC"/>
            <w:u w:val="single"/>
          </w:rPr>
          <w:t>通过接触电催化从海水中稳定和可持续生产氢气的氢键网络</w:t>
        </w:r>
      </w:hyperlink>
    </w:p>
    <w:p>
      <w:pPr>
        <w:spacing w:before="0" w:after="80"/>
      </w:pPr>
      <w:r>
        <w:rPr>
          <w:i/>
          <w:sz w:val="20"/>
        </w:rPr>
        <w:t>EN: Hydrogen Bond Networks for Stable and Sustainable Production of Hydrogen From Seawater via Contact‐Electro‐Catalysis</w:t>
      </w:r>
    </w:p>
    <w:p>
      <w:pPr>
        <w:spacing w:before="0" w:after="120"/>
      </w:pPr>
      <w:r>
        <w:rPr>
          <w:b/>
        </w:rPr>
        <w:t xml:space="preserve">Source: </w:t>
      </w:r>
      <w:r>
        <w:t>Wiley: Advanced Materials: Table of Contents</w:t>
      </w:r>
      <w:r>
        <w:t xml:space="preserve">    </w:t>
      </w:r>
      <w:r>
        <w:rPr>
          <w:b/>
        </w:rPr>
        <w:t xml:space="preserve">Pub date: </w:t>
      </w:r>
      <w:r>
        <w:t>2026-07-15 08:49:05+00:00</w:t>
      </w:r>
      <w:r>
        <w:t xml:space="preserve">    </w:t>
      </w:r>
      <w:r>
        <w:rPr>
          <w:b/>
        </w:rPr>
        <w:t xml:space="preserve">DOI: </w:t>
      </w:r>
      <w:hyperlink r:id="rId340">
        <w:r>
          <w:rPr>
            <w:color w:val="1155CC"/>
            <w:u w:val="single"/>
          </w:rPr>
          <w:t>10.1002/adma.74017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海水制氢提供了获取清洁能源的可持续途径，同时缓解了淡水资源的短缺。然而，腐蚀性海洋环境对传统金属基催化剂提出了重大挑战。在这里，我们提出了一种采用非金属氟化 SiO2 的接触电催化（CEC）策略</w:t>
      </w:r>
      <w:r>
        <w:rPr>
          <w:vertAlign w:val="subscript"/>
        </w:rPr>
        <w:t>2</w:t>
      </w:r>
      <w:r>
        <w:t>(F-SiO2</w:t>
      </w:r>
      <w:r>
        <w:rPr>
          <w:vertAlign w:val="subscript"/>
        </w:rPr>
        <w:t>2</w:t>
      </w:r>
      <w:r>
        <w:t>）通过机械搅拌有效地从海水中提取氢气。与传统的氟碳聚合物很难通过与离子液体接触而带电相比，F-SiO</w:t>
      </w:r>
      <w:r>
        <w:rPr>
          <w:vertAlign w:val="subscript"/>
        </w:rPr>
        <w:t>2</w:t>
      </w:r>
      <w:r>
        <w:t>组仍然可以保持高 CE 性能，从而表现出 2.91 倍的 H</w:t>
      </w:r>
      <w:r>
        <w:rPr>
          <w:vertAlign w:val="subscript"/>
        </w:rPr>
        <w:t>2</w:t>
      </w:r>
      <w:r>
        <w:t>产量。机理研究表明 F-SiO 上氢键网络的离子排斥</w:t>
      </w:r>
      <w:r>
        <w:rPr>
          <w:vertAlign w:val="subscript"/>
        </w:rPr>
        <w:t>2</w:t>
      </w:r>
      <w:r>
        <w:t>/水界面应该是这种性能增强的主要原因。在使用渤海真实海水的实际应用中，F-SiO</w:t>
      </w:r>
      <w:r>
        <w:rPr>
          <w:vertAlign w:val="subscript"/>
        </w:rPr>
        <w:t>2</w:t>
      </w:r>
      <w:r>
        <w:t>基于 CEC 的连续超声处理 1000 小时期间可提供稳定的氢气产量。我们预计该策略不仅可以为利用海洋中无限的机械能从海水中原位制氢提供一个可持续的平台，而且还可以为改善液固接触起电（CE）（特别是在高盐度条件下）提供可行的途径。</w:t>
      </w:r>
    </w:p>
    <w:p>
      <w:pPr>
        <w:spacing w:before="0" w:after="200" w:lineRule="auto" w:line="276"/>
      </w:pPr>
      <w:r>
        <w:rPr>
          <w:b/>
        </w:rPr>
        <w:t xml:space="preserve">Abstract (EN): </w:t>
      </w:r>
      <w:r>
        <w:t>Hydrogen production from seawater offers a sustainable pathway to obtain clean energy while alleviating the shortage of freshwater resources. However, the corrosive marine environment presents a significant challenge for conventional metal‐based catalysts. Here, we propose a contact‐electro‐catalysis (CEC) strategy that employs nonmetallic fluorinated SiO</w:t>
      </w:r>
      <w:r>
        <w:rPr>
          <w:vertAlign w:val="subscript"/>
        </w:rPr>
        <w:t>2</w:t>
      </w:r>
      <w:r>
        <w:t>(F‐SiO</w:t>
      </w:r>
      <w:r>
        <w:rPr>
          <w:vertAlign w:val="subscript"/>
        </w:rPr>
        <w:t>2</w:t>
      </w:r>
      <w:r>
        <w:t>) for effectively extracting hydrogen from seawater by mechanical agitations. In contrast to conventional fluorocarbon polymers that can hardly be electrified by contact with ionic liquids, F‐SiO</w:t>
      </w:r>
      <w:r>
        <w:rPr>
          <w:vertAlign w:val="subscript"/>
        </w:rPr>
        <w:t>2</w:t>
      </w:r>
      <w:r>
        <w:t>group could still maintain high CE performance and thus exhibit 2.91 times higher H</w:t>
      </w:r>
      <w:r>
        <w:rPr>
          <w:vertAlign w:val="subscript"/>
        </w:rPr>
        <w:t>2</w:t>
      </w:r>
      <w:r>
        <w:t>yield. Mechanistic investigations reveal that ion exclusion by hydrogen bond networks at F‐SiO</w:t>
      </w:r>
      <w:r>
        <w:rPr>
          <w:vertAlign w:val="subscript"/>
        </w:rPr>
        <w:t>2</w:t>
      </w:r>
      <w:r>
        <w:t>/water interface should be the dominant reason for such performance enhancement. In practical applications using real seawater from Bohai sea, the F‐SiO</w:t>
      </w:r>
      <w:r>
        <w:rPr>
          <w:vertAlign w:val="subscript"/>
        </w:rPr>
        <w:t>2</w:t>
      </w:r>
      <w:r>
        <w:t>‐based CEC delivers a stable hydrogen yield during a continuous ultrasonication for 1000 h. We expect this strategy could not only provide a sustainable platform for in situ hydrogen production from seawater by utilizing unlimited mechanical energy in the ocean, but also enable a feasible route for improving the liquid‐solid contact‐electrification (CE) especially under high salinity conditions.</w:t>
      </w:r>
    </w:p>
    <w:p>
      <w:pPr>
        <w:spacing w:before="120" w:after="120"/>
      </w:pPr>
      <w:r>
        <w:rPr>
          <w:sz w:val="18"/>
        </w:rPr>
        <w:t>——————————————————————————————————————————————————————————————————————</w:t>
      </w:r>
    </w:p>
    <w:p>
      <w:pPr>
        <w:spacing w:before="160" w:after="40" w:line="240" w:lineRule="auto"/>
      </w:pPr>
      <w:r>
        <w:rPr>
          <w:b/>
        </w:rPr>
        <w:t xml:space="preserve">[33] </w:t>
      </w:r>
      <w:hyperlink r:id="rId341">
        <w:r>
          <w:rPr>
            <w:color w:val="1155CC"/>
            <w:u w:val="single"/>
          </w:rPr>
          <w:t>通过 S 桥键合破坏界面氢键网络以实现海水防垢制氢</w:t>
        </w:r>
      </w:hyperlink>
    </w:p>
    <w:p>
      <w:pPr>
        <w:spacing w:before="0" w:after="80"/>
      </w:pPr>
      <w:r>
        <w:rPr>
          <w:i/>
          <w:sz w:val="20"/>
        </w:rPr>
        <w:t>EN: Disrupting Interfacial Hydrogen‐Bond Networks via S‐Bridge Bonding for Anti‐Scaling Hydrogen Production in Seawater</w:t>
      </w:r>
    </w:p>
    <w:p>
      <w:pPr>
        <w:spacing w:before="0" w:after="120"/>
      </w:pPr>
      <w:r>
        <w:rPr>
          <w:b/>
        </w:rPr>
        <w:t xml:space="preserve">Source: </w:t>
      </w:r>
      <w:r>
        <w:t>Wiley: Advanced Energy Materials: Table of Contents</w:t>
      </w:r>
      <w:r>
        <w:t xml:space="preserve">    </w:t>
      </w:r>
      <w:r>
        <w:rPr>
          <w:b/>
        </w:rPr>
        <w:t xml:space="preserve">Pub date: </w:t>
      </w:r>
      <w:r>
        <w:t>2026-07-15 08:55:00+00:00</w:t>
      </w:r>
      <w:r>
        <w:t xml:space="preserve">    </w:t>
      </w:r>
      <w:r>
        <w:rPr>
          <w:b/>
        </w:rPr>
        <w:t xml:space="preserve">DOI: </w:t>
      </w:r>
      <w:hyperlink r:id="rId342">
        <w:r>
          <w:rPr>
            <w:color w:val="1155CC"/>
            <w:u w:val="single"/>
          </w:rPr>
          <w:t>10.1002/aenm.71307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电解海水制氢是一种很有前景的能源转型途径，但其效率受到缓慢的水解离、氢解吸动力学和阴极侧沉淀问题的限制。为了应对这些挑战，通过构建通过 S 桥键互连的 Pt/NiS 结构，开发了一种高效析氢电催化剂，从而实现了强协同电子转移。原位表征和理论分析表明，S 桥调节 NiS 和 Pt 之间的电荷分布，增强强金属-基底相互作用 (SMSI)，从而破坏刚性氢键网络，加速 NiS 上的水解离，并促进 H* 转移到 Pt。此外，在中性海水中，破坏的氢键网络还增加了水的流动性并降低了气泡的表面张力，促进了较小气泡的形成和释放，并防止了镁/钙氢氧化物沉淀物堵塞活性位点。因此，该催化剂在碱性和中性海水中具有优异的稳定性。在阴离子交换膜水电解槽 (AEMWE) 中，Pt/NiS||S-NiFe LDH 系统在 100 mA cm 电流下可提供 1.71 V 的低电池电压</w:t>
      </w:r>
      <w:r>
        <w:t xml:space="preserve"> </w:t>
      </w:r>
      <w:r>
        <w:t>−2</w:t>
      </w:r>
      <w:r>
        <w:t xml:space="preserve"> </w:t>
      </w:r>
      <w:r>
        <w:t>具有竞争力的氢气生产成本为 1.07 美元 GGE</w:t>
      </w:r>
      <w:r>
        <w:t xml:space="preserve"> </w:t>
      </w:r>
      <w:r>
        <w:t>−1</w:t>
      </w:r>
      <w:r>
        <w:t xml:space="preserve"> </w:t>
      </w:r>
      <w:r>
        <w:t>，展示了其卓越的活性、稳定性和效率。</w:t>
      </w:r>
    </w:p>
    <w:p>
      <w:pPr>
        <w:spacing w:before="0" w:after="200" w:lineRule="auto" w:line="276"/>
      </w:pPr>
      <w:r>
        <w:rPr>
          <w:b/>
        </w:rPr>
        <w:t xml:space="preserve">Abstract (EN): </w:t>
      </w:r>
      <w:r>
        <w:t>Electrolyzing seawater for hydrogen production is a promising route toward energy transition, yet its efficiency is limited by sluggish water dissociation, hydrogen desorption kinetics, and cathode‐side precipitation issues. To address these challenges, a highly efficient hydrogen evolution electrocatalyst was developed by constructing a Pt/NiS structure interconnected through S bridge bonds, enabling strong synergistic electron transfer. In situ characterizations and theoretical analyses reveal that the S bridges modulate charge distribution between NiS and Pt and enhance strong metal‐substrate interactions (SMSI), which disrupt rigid hydrogen‐bond networks, accelerate water dissociation on NiS, and facilitate H* transfer to Pt. Furthermore, in neutral seawater, the disrupted hydrogen‐bond network also increases water mobility and lowers bubble surface tension, promoting the formation and release of smaller bubbles and preventing active‐site blockage by Mg/Ca hydroxide precipitates. As a result, the catalyst achieves excellent stability in alkaline and neutral seawater. In an anion exchange membrane water electrolyzer (AEMWE), the Pt/NiS||S‐NiFe LDH system delivers a low cell voltage of 1.71 V at 100 mA cm</w:t>
      </w:r>
      <w:r>
        <w:t xml:space="preserve"> </w:t>
      </w:r>
      <w:r>
        <w:t>−2</w:t>
      </w:r>
      <w:r>
        <w:t xml:space="preserve"> </w:t>
      </w:r>
      <w:r>
        <w:t>and a competitive hydrogen production cost of $1.07 GGE</w:t>
      </w:r>
      <w:r>
        <w:t xml:space="preserve"> </w:t>
      </w:r>
      <w:r>
        <w:t>−1</w:t>
      </w:r>
      <w:r>
        <w:t xml:space="preserve"> </w:t>
      </w:r>
      <w:r>
        <w:t>, demonstrating its outstanding activity, stability, and efficiency.</w:t>
      </w:r>
    </w:p>
    <w:p>
      <w:pPr>
        <w:spacing w:before="120" w:after="120"/>
      </w:pPr>
      <w:r>
        <w:rPr>
          <w:sz w:val="18"/>
        </w:rPr>
        <w:t>——————————————————————————————————————————————————————————————————————</w:t>
      </w:r>
    </w:p>
    <w:p>
      <w:pPr>
        <w:spacing w:before="160" w:after="40" w:line="240" w:lineRule="auto"/>
      </w:pPr>
      <w:r>
        <w:rPr>
          <w:b/>
        </w:rPr>
        <w:t xml:space="preserve">[34] </w:t>
      </w:r>
      <w:hyperlink r:id="rId343">
        <w:r>
          <w:rPr>
            <w:color w:val="1155CC"/>
            <w:u w:val="single"/>
          </w:rPr>
          <w:t>不混溶金属调控的表面偏析使核壳 Bi-PtMn 催化剂在直接甲醇燃料电池中具有基准性能</w:t>
        </w:r>
      </w:hyperlink>
    </w:p>
    <w:p>
      <w:pPr>
        <w:spacing w:before="0" w:after="80"/>
      </w:pPr>
      <w:r>
        <w:rPr>
          <w:i/>
          <w:sz w:val="20"/>
        </w:rPr>
        <w:t>EN: Immiscible Metal‐Regulated Surface Segregation Enables Core–Shell Bi–PtMn Catalysts With Benchmark Performance in Direct Methanol Fuel Cells</w:t>
      </w:r>
    </w:p>
    <w:p>
      <w:pPr>
        <w:spacing w:before="0" w:after="120"/>
      </w:pPr>
      <w:r>
        <w:rPr>
          <w:b/>
        </w:rPr>
        <w:t xml:space="preserve">Source: </w:t>
      </w:r>
      <w:r>
        <w:t>Wiley: Advanced Materials: Table of Contents</w:t>
      </w:r>
      <w:r>
        <w:t xml:space="preserve">    </w:t>
      </w:r>
      <w:r>
        <w:rPr>
          <w:b/>
        </w:rPr>
        <w:t xml:space="preserve">Pub date: </w:t>
      </w:r>
      <w:r>
        <w:t>2026-07-15 11:01:50+00:00</w:t>
      </w:r>
      <w:r>
        <w:t xml:space="preserve">    </w:t>
      </w:r>
      <w:r>
        <w:rPr>
          <w:b/>
        </w:rPr>
        <w:t xml:space="preserve">DOI: </w:t>
      </w:r>
      <w:hyperlink r:id="rId344">
        <w:r>
          <w:rPr>
            <w:color w:val="1155CC"/>
            <w:u w:val="single"/>
          </w:rPr>
          <w:t>10.1002/adma.74062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Bi-Pt系综效应赋予Bi-Pt基催化剂在甲醇氧化反应（MOR）中具有显着的CO耐受性，但对Bi-Pt表面结构缺乏精确的原子级控制导致了内在的活性-选择性权衡。在此，我们提出了一种简单的不混溶金属诱导的表面偏析策略来构建核壳 Bi-PtMn 催化剂，该催化剂同时实现了出色的 MOR 性能和对无 CO 途径的高选择性。利用 Mn 和 Bi 之间的不混溶性，可以精确调节表面偏析的 Bi，从而形成具有有序 L1 的明确核壳结构</w:t>
      </w:r>
      <w:r>
        <w:rPr>
          <w:vertAlign w:val="subscript"/>
        </w:rPr>
        <w:t>0</w:t>
      </w:r>
      <w:r>
        <w:t>‐PtMn 核和 PtBi 壳。该催化剂的基准质量活性为 61.81 A mg</w:t>
      </w:r>
      <w:r>
        <w:t xml:space="preserve"> </w:t>
      </w:r>
      <w:r>
        <w:t>铂</w:t>
      </w:r>
      <w:r>
        <w:t xml:space="preserve"> </w:t>
      </w:r>
      <w:r>
        <w:t>−1</w:t>
      </w:r>
      <w:r>
        <w:t xml:space="preserve"> </w:t>
      </w:r>
      <w:r>
        <w:t>，分别是Bi-Pt和Pt/C的4.0和16.2倍。此外，作为直接甲醇燃料电池的实用阳极电催化剂，该催化剂的峰值功率密度达到294.21 mW cm</w:t>
      </w:r>
      <w:r>
        <w:t xml:space="preserve"> </w:t>
      </w:r>
      <w:r>
        <w:t>−2</w:t>
      </w:r>
      <w:r>
        <w:t xml:space="preserve"> </w:t>
      </w:r>
      <w:r>
        <w:t>0.5 mg 超低铂负载量</w:t>
      </w:r>
      <w:r>
        <w:t xml:space="preserve"> </w:t>
      </w:r>
      <w:r>
        <w:t>铂</w:t>
      </w:r>
      <w:r>
        <w:t xml:space="preserve"> </w:t>
      </w:r>
      <w:r>
        <w:t>厘米</w:t>
      </w:r>
      <w:r>
        <w:t xml:space="preserve"> </w:t>
      </w:r>
      <w:r>
        <w:t>−2</w:t>
      </w:r>
      <w:r>
        <w:t xml:space="preserve"> </w:t>
      </w:r>
      <w:r>
        <w:t>。理论计算和动力学同位素效应 (KIE) 测量证实，Mn 通过促进 C─H 键断裂来降低速率决定步骤的势垒。这项工作为电催化剂的原子级表面工程提供了基于不混溶金属热力学的设计原理。</w:t>
      </w:r>
    </w:p>
    <w:p>
      <w:pPr>
        <w:spacing w:before="0" w:after="200" w:lineRule="auto" w:line="276"/>
      </w:pPr>
      <w:r>
        <w:rPr>
          <w:b/>
        </w:rPr>
        <w:t xml:space="preserve">Abstract (EN): </w:t>
      </w:r>
      <w:r>
        <w:t>Although the Bi–Pt ensemble effect endows Bi–Pt‐based catalysts with remarkable CO tolerance in the methanol oxidation reaction (MOR), the lack of precise atomic‐level control over Bi–Pt surface structures leads to an intrinsic activity–selectivity trade‐off. Herein, we propose a facile immiscible‐metal‐induced surface‐segregation strategy to construct a core–shell Bi–PtMn catalyst that simultaneously achieves outstanding MOR performance and high selectivity toward the CO‐free pathway. Exploiting the immiscibility between Mn and Bi enables precise regulation of surface‐segregated Bi, leading to a well‐defined core–shell structure with an ordered L1</w:t>
      </w:r>
      <w:r>
        <w:rPr>
          <w:vertAlign w:val="subscript"/>
        </w:rPr>
        <w:t>0</w:t>
      </w:r>
      <w:r>
        <w:t>‐PtMn core and a PtBi shell. The catalyst delivers benchmark mass activity of 61.81 A mg</w:t>
      </w:r>
      <w:r>
        <w:t xml:space="preserve"> </w:t>
      </w:r>
      <w:r>
        <w:t>Pt</w:t>
      </w:r>
      <w:r>
        <w:t xml:space="preserve"> </w:t>
      </w:r>
      <w:r>
        <w:t>−1</w:t>
      </w:r>
      <w:r>
        <w:t xml:space="preserve"> </w:t>
      </w:r>
      <w:r>
        <w:t>, 4.0 and 16.2 times that of Bi‐Pt and Pt/C, respectively. Furthermore, as a practical anodic electrocatalyst for direct methanol fuel cells, the catalyst achieves a peak power density of 294.21 mW cm</w:t>
      </w:r>
      <w:r>
        <w:t xml:space="preserve"> </w:t>
      </w:r>
      <w:r>
        <w:t>−2</w:t>
      </w:r>
      <w:r>
        <w:t xml:space="preserve"> </w:t>
      </w:r>
      <w:r>
        <w:t>at an ultralow Pt loading of 0.5 mg</w:t>
      </w:r>
      <w:r>
        <w:t xml:space="preserve"> </w:t>
      </w:r>
      <w:r>
        <w:t>Pt</w:t>
      </w:r>
      <w:r>
        <w:t xml:space="preserve"> </w:t>
      </w:r>
      <w:r>
        <w:t>cm</w:t>
      </w:r>
      <w:r>
        <w:t xml:space="preserve"> </w:t>
      </w:r>
      <w:r>
        <w:t>−2</w:t>
      </w:r>
      <w:r>
        <w:t xml:space="preserve"> </w:t>
      </w:r>
      <w:r>
        <w:t>. Mn lowers the barrier of the rate‐determining step by facilitating C─H bond cleavage, as corroborated by theoretical calculations and kinetic isotope effect (KIE) measurements. This work provides a design principle based on immiscible metal thermodynamics for atomic‐level surface engineering of electrocatalysts.</w:t>
      </w:r>
    </w:p>
    <w:p>
      <w:pPr>
        <w:spacing w:before="120" w:after="120"/>
      </w:pPr>
      <w:r>
        <w:rPr>
          <w:sz w:val="18"/>
        </w:rPr>
        <w:t>——————————————————————————————————————————————————————————————————————</w:t>
      </w:r>
    </w:p>
    <w:p>
      <w:pPr>
        <w:spacing w:before="160" w:after="40" w:line="240" w:lineRule="auto"/>
      </w:pPr>
      <w:r>
        <w:rPr>
          <w:b/>
        </w:rPr>
        <w:t xml:space="preserve">[35] </w:t>
      </w:r>
      <w:hyperlink r:id="rId345">
        <w:r>
          <w:rPr>
            <w:color w:val="1155CC"/>
            <w:u w:val="single"/>
          </w:rPr>
          <w:t>A位高熵钙钛矿为碳氢化合物燃料固体氧化物燃料电池提供耐硫和抗结焦阳极</w:t>
        </w:r>
      </w:hyperlink>
    </w:p>
    <w:p>
      <w:pPr>
        <w:spacing w:before="0" w:after="80"/>
      </w:pPr>
      <w:r>
        <w:rPr>
          <w:i/>
          <w:sz w:val="20"/>
        </w:rPr>
        <w:t>EN: A‐Site High‐Entropy Perovskite Enabling Sulfur‐Tolerant and Coking‐Resistant Anodes for Hydrocarbon‐Fueled Solid Oxide Fuel Cells</w:t>
      </w:r>
    </w:p>
    <w:p>
      <w:pPr>
        <w:spacing w:before="0" w:after="120"/>
      </w:pPr>
      <w:r>
        <w:rPr>
          <w:b/>
        </w:rPr>
        <w:t xml:space="preserve">Source: </w:t>
      </w:r>
      <w:r>
        <w:t>Wiley: Advanced Materials: Table of Contents</w:t>
      </w:r>
      <w:r>
        <w:t xml:space="preserve">    </w:t>
      </w:r>
      <w:r>
        <w:rPr>
          <w:b/>
        </w:rPr>
        <w:t xml:space="preserve">Pub date: </w:t>
      </w:r>
      <w:r>
        <w:t>2026-07-15 11:05:30+00:00</w:t>
      </w:r>
      <w:r>
        <w:t xml:space="preserve">    </w:t>
      </w:r>
      <w:r>
        <w:rPr>
          <w:b/>
        </w:rPr>
        <w:t xml:space="preserve">DOI: </w:t>
      </w:r>
      <w:hyperlink r:id="rId346">
        <w:r>
          <w:rPr>
            <w:color w:val="1155CC"/>
            <w:u w:val="single"/>
          </w:rPr>
          <w:t>10.1002/adma.74091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燃料电池（SOFC）能够以电化学方式将天然气和煤基合成气等化石燃料直接转化为电能，效率高且排放量最小，但最先进的镍基阳极在使用含硫或碳氢化合物燃料时容易发生硫中毒或结焦。在这里，我们报告了一种高熵策略，其中在 A 位引入五个等摩尔阳离子，以开发高活性且坚固的钙钛矿阳极，Pr</w:t>
      </w:r>
      <w:r>
        <w:t xml:space="preserve"> </w:t>
      </w:r>
      <w:r>
        <w:t>0.2</w:t>
      </w:r>
      <w:r>
        <w:t xml:space="preserve"> </w:t>
      </w:r>
      <w:r>
        <w:t>巴</w:t>
      </w:r>
      <w:r>
        <w:t xml:space="preserve"> </w:t>
      </w:r>
      <w:r>
        <w:t>0.2</w:t>
      </w:r>
      <w:r>
        <w:t xml:space="preserve"> </w:t>
      </w:r>
      <w:r>
        <w:t>拉</w:t>
      </w:r>
      <w:r>
        <w:t xml:space="preserve"> </w:t>
      </w:r>
      <w:r>
        <w:t>0.2</w:t>
      </w:r>
      <w:r>
        <w:t xml:space="preserve"> </w:t>
      </w:r>
      <w:r>
        <w:t>锶</w:t>
      </w:r>
      <w:r>
        <w:t xml:space="preserve"> </w:t>
      </w:r>
      <w:r>
        <w:t>0.2</w:t>
      </w:r>
      <w:r>
        <w:t xml:space="preserve"> </w:t>
      </w:r>
      <w:r>
        <w:t>钙</w:t>
      </w:r>
      <w:r>
        <w:t xml:space="preserve"> </w:t>
      </w:r>
      <w:r>
        <w:t>0.2</w:t>
      </w:r>
      <w:r>
        <w:t xml:space="preserve"> </w:t>
      </w:r>
      <w:r>
        <w:t>氧化亚铁</w:t>
      </w:r>
      <w:r>
        <w:t xml:space="preserve"> </w:t>
      </w:r>
      <w:r>
        <w:t>3-δ</w:t>
      </w:r>
      <w:r>
        <w:t xml:space="preserve"> </w:t>
      </w:r>
      <w:r>
        <w:t>（PBLSCF）。 PBLSCF的原位还原导致纳米级Fe颗粒的溶出，增强其对硫中毒和焦化的耐受性。使用 PBLSCF 阳极的电解质支持的单电池实现了 1.22 W cm 的峰值功率密度 (PPD)</w:t>
      </w:r>
      <w:r>
        <w:t xml:space="preserve"> </w:t>
      </w:r>
      <w:r>
        <w:t>−2</w:t>
      </w:r>
      <w:r>
        <w:t xml:space="preserve"> </w:t>
      </w:r>
      <w:r>
        <w:t>800°C 时 H</w:t>
      </w:r>
      <w:r>
        <w:rPr>
          <w:vertAlign w:val="subscript"/>
        </w:rPr>
        <w:t>2</w:t>
      </w:r>
      <w:r>
        <w:t>，保持稳定运行 1000 小时，并在 50 ppm H 中表现出良好的耐硫性</w:t>
      </w:r>
      <w:r>
        <w:rPr>
          <w:vertAlign w:val="subscript"/>
        </w:rPr>
        <w:t>2</w:t>
      </w:r>
      <w:r>
        <w:t>S-H</w:t>
      </w:r>
      <w:r>
        <w:rPr>
          <w:vertAlign w:val="subscript"/>
        </w:rPr>
        <w:t>2</w:t>
      </w:r>
      <w:r>
        <w:t>。密度泛函理论（DFT）计算表明，高熵策略降低了氧空位形成能，有助于提高耐硫性和燃料氧化性能。此外，使用稳定的操作</w:t>
      </w:r>
    </w:p>
    <w:p>
      <w:pPr>
        <w:spacing w:before="0" w:after="200" w:lineRule="auto" w:line="276"/>
      </w:pPr>
      <w:r>
        <w:rPr>
          <w:b/>
        </w:rPr>
        <w:t xml:space="preserve">Abstract (EN): </w:t>
      </w:r>
      <w:r>
        <w:t>Solid oxide fuel cells (SOFCs) are capable of electrochemically converting fossil fuels such as natural gas and coal‐based syngas directly into electricity with high efficiency and minimal emissions, yet the state‐of‐the‐art nickel‐based anodes are susceptible to sulfur poisoning or coking when operated with sulfur‐containing or hydrocarbon fuels. Here, we report a high‐entropy strategy in which five equimolar cations are introduced at the A‐site to develop a highly active and robust perovskite anode, Pr</w:t>
      </w:r>
      <w:r>
        <w:t xml:space="preserve"> </w:t>
      </w:r>
      <w:r>
        <w:t>0.2</w:t>
      </w:r>
      <w:r>
        <w:t xml:space="preserve"> </w:t>
      </w:r>
      <w:r>
        <w:t>Ba</w:t>
      </w:r>
      <w:r>
        <w:t xml:space="preserve"> </w:t>
      </w:r>
      <w:r>
        <w:t>0.2</w:t>
      </w:r>
      <w:r>
        <w:t xml:space="preserve"> </w:t>
      </w:r>
      <w:r>
        <w:t>La</w:t>
      </w:r>
      <w:r>
        <w:t xml:space="preserve"> </w:t>
      </w:r>
      <w:r>
        <w:t>0.2</w:t>
      </w:r>
      <w:r>
        <w:t xml:space="preserve"> </w:t>
      </w:r>
      <w:r>
        <w:t>Sr</w:t>
      </w:r>
      <w:r>
        <w:t xml:space="preserve"> </w:t>
      </w:r>
      <w:r>
        <w:t>0.2</w:t>
      </w:r>
      <w:r>
        <w:t xml:space="preserve"> </w:t>
      </w:r>
      <w:r>
        <w:t>Ca</w:t>
      </w:r>
      <w:r>
        <w:t xml:space="preserve"> </w:t>
      </w:r>
      <w:r>
        <w:t>0.2</w:t>
      </w:r>
      <w:r>
        <w:t xml:space="preserve"> </w:t>
      </w:r>
      <w:r>
        <w:t>FeO</w:t>
      </w:r>
      <w:r>
        <w:t xml:space="preserve"> </w:t>
      </w:r>
      <w:r>
        <w:t>3‐δ</w:t>
      </w:r>
      <w:r>
        <w:t xml:space="preserve"> </w:t>
      </w:r>
      <w:r>
        <w:t>(PBLSCF). In situ reduction of PBLSCF leads to the exsolution of nanoscale Fe particles, enhancing its tolerance to sulfur poisoning and coking. Electrolyte‐supported single cells using PBLSCF anodes achieve a peak power density (PPD) of 1.22 W cm</w:t>
      </w:r>
      <w:r>
        <w:t xml:space="preserve"> </w:t>
      </w:r>
      <w:r>
        <w:t>−2</w:t>
      </w:r>
      <w:r>
        <w:t xml:space="preserve"> </w:t>
      </w:r>
      <w:r>
        <w:t>at 800°C in H</w:t>
      </w:r>
      <w:r>
        <w:rPr>
          <w:vertAlign w:val="subscript"/>
        </w:rPr>
        <w:t>2</w:t>
      </w:r>
      <w:r>
        <w:t>, maintain stable operation for 1000 h and exhibit promising sulfur tolerance in 50 ppm H</w:t>
      </w:r>
      <w:r>
        <w:rPr>
          <w:vertAlign w:val="subscript"/>
        </w:rPr>
        <w:t>2</w:t>
      </w:r>
      <w:r>
        <w:t>S‐H</w:t>
      </w:r>
      <w:r>
        <w:rPr>
          <w:vertAlign w:val="subscript"/>
        </w:rPr>
        <w:t>2</w:t>
      </w:r>
      <w:r>
        <w:t>. Density functional theory (DFT) calculations reveal that the high‐entropy strategy reduces oxygen‐vacancy formation energy, contributing to improved sulfur tolerance and fuel oxidation performance. Furthermore, stable operation using a PBLSCF anode for 600 h is also achieved with propane as fuel. This work provides a synergistic strategy through A‐site high‐entropy engineering and in situ metal exsolution to achieve promising electrochemical performance and enhanced multi‐tolerance anodes for fuel‐flexible SOFCs.</w:t>
      </w:r>
    </w:p>
    <w:p>
      <w:pPr>
        <w:spacing w:before="120" w:after="120"/>
      </w:pPr>
      <w:r>
        <w:rPr>
          <w:sz w:val="18"/>
        </w:rPr>
        <w:t>——————————————————————————————————————————————————————————————————————</w:t>
      </w:r>
    </w:p>
    <w:p>
      <w:pPr>
        <w:spacing w:before="160" w:after="40" w:line="240" w:lineRule="auto"/>
      </w:pPr>
      <w:r>
        <w:rPr>
          <w:b/>
        </w:rPr>
        <w:t xml:space="preserve">[36] </w:t>
      </w:r>
      <w:hyperlink r:id="rId347">
        <w:r>
          <w:rPr>
            <w:color w:val="1155CC"/>
            <w:u w:val="single"/>
          </w:rPr>
          <w:t>单相 6H 三重钙钛矿 Ba3Co(Co0.25Ru0.75)2O9 在 1 A cm−2 下表现优异的整体水分解催化剂 1000 小时</w:t>
        </w:r>
      </w:hyperlink>
    </w:p>
    <w:p>
      <w:pPr>
        <w:spacing w:before="0" w:after="80"/>
      </w:pPr>
      <w:r>
        <w:rPr>
          <w:i/>
          <w:sz w:val="20"/>
        </w:rPr>
        <w:t>EN: Excellent Overall Water Splitting Catalyst of Single Phase 6H Triple Perovskite Ba3Co(Co0.25Ru0.75)2O9 at 1 A cm−2 for 1000 h</w:t>
      </w:r>
    </w:p>
    <w:p>
      <w:pPr>
        <w:spacing w:before="0" w:after="120"/>
      </w:pPr>
      <w:r>
        <w:rPr>
          <w:b/>
        </w:rPr>
        <w:t xml:space="preserve">Source: </w:t>
      </w:r>
      <w:r>
        <w:t>Wiley: Angewandte Chemie International Edition: Table of Contents</w:t>
      </w:r>
      <w:r>
        <w:t xml:space="preserve">    </w:t>
      </w:r>
      <w:r>
        <w:rPr>
          <w:b/>
        </w:rPr>
        <w:t xml:space="preserve">Pub date: </w:t>
      </w:r>
      <w:r>
        <w:t>2026-07-15 11:51:18+00:00</w:t>
      </w:r>
      <w:r>
        <w:t xml:space="preserve">    </w:t>
      </w:r>
      <w:r>
        <w:rPr>
          <w:b/>
        </w:rPr>
        <w:t xml:space="preserve">DOI: </w:t>
      </w:r>
      <w:hyperlink r:id="rId348">
        <w:r>
          <w:rPr>
            <w:color w:val="1155CC"/>
            <w:u w:val="single"/>
          </w:rPr>
          <w:t>10.1002/anie.5599112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由于析氧和析氢反应（OER 和 HER）所需的不同反应机制，特别是在单相材料中，开发用于整体水分解（OWS）的高效双功能电催化剂仍然是一个关键挑战。在这里，我们提出了一种新型的自适应6H三重钙钛矿氧化物Ba</w:t>
      </w:r>
      <w:r>
        <w:rPr>
          <w:vertAlign w:val="subscript"/>
        </w:rPr>
        <w:t>3</w:t>
      </w:r>
      <w:r>
        <w:t>钴(钴</w:t>
      </w:r>
      <w:r>
        <w:t xml:space="preserve"> </w:t>
      </w:r>
      <w:r>
        <w:t>0.25</w:t>
      </w:r>
      <w:r>
        <w:t xml:space="preserve"> </w:t>
      </w:r>
      <w:r>
        <w:t>茹</w:t>
      </w:r>
      <w:r>
        <w:t xml:space="preserve"> </w:t>
      </w:r>
      <w:r>
        <w:t>0.75</w:t>
      </w:r>
      <w:r>
        <w:t xml:space="preserve"> </w:t>
      </w:r>
      <w:r>
        <w:t>）</w:t>
      </w:r>
      <w:r>
        <w:rPr>
          <w:vertAlign w:val="subscript"/>
        </w:rPr>
        <w:t>2</w:t>
      </w:r>
      <w:r>
        <w:t>氧</w:t>
      </w:r>
      <w:r>
        <w:rPr>
          <w:vertAlign w:val="subscript"/>
        </w:rPr>
        <w:t>9</w:t>
      </w:r>
      <w:r>
        <w:t>(BCCRO)，作为一种高活性和耐用的碱性 OWS 催化剂。 BCCRO 在 10 mA cm 电流下的 OER 和 HER 表现出 178 和 32 mV 的低过电势</w:t>
      </w:r>
      <w:r>
        <w:t xml:space="preserve"> </w:t>
      </w:r>
      <w:r>
        <w:t>−2</w:t>
      </w:r>
      <w:r>
        <w:t xml:space="preserve"> </w:t>
      </w:r>
      <w:r>
        <w:t>分别在 1.0 M KOH 中。对称电解槽在 1 A cm 电流下保持稳定性能 1000 小时</w:t>
      </w:r>
      <w:r>
        <w:t xml:space="preserve"> </w:t>
      </w:r>
      <w:r>
        <w:t>−2</w:t>
      </w:r>
      <w:r>
        <w:t xml:space="preserve"> </w:t>
      </w:r>
      <w:r>
        <w:t>。 Operando X射线吸收光谱揭示了其动态表面重组过程：在OER条件下，Co</w:t>
      </w:r>
      <w:r>
        <w:t xml:space="preserve"> </w:t>
      </w:r>
      <w:r>
        <w:t>3+</w:t>
      </w:r>
      <w:r>
        <w:t xml:space="preserve"> </w:t>
      </w:r>
      <w:r>
        <w:t>和茹</w:t>
      </w:r>
      <w:r>
        <w:t xml:space="preserve"> </w:t>
      </w:r>
      <w:r>
        <w:t>5+</w:t>
      </w:r>
      <w:r>
        <w:t xml:space="preserve"> </w:t>
      </w:r>
      <w:r>
        <w:t>被氧化成Co</w:t>
      </w:r>
      <w:r>
        <w:t xml:space="preserve"> </w:t>
      </w:r>
      <w:r>
        <w:t>4+</w:t>
      </w:r>
      <w:r>
        <w:t xml:space="preserve"> </w:t>
      </w:r>
      <w:r>
        <w:t>和茹</w:t>
      </w:r>
      <w:r>
        <w:t xml:space="preserve"> </w:t>
      </w:r>
      <w:r>
        <w:t>6+</w:t>
      </w:r>
      <w:r>
        <w:t xml:space="preserve"> </w:t>
      </w:r>
      <w:r>
        <w:t>，而在 HER 过程中，它们转变为金属 CoRu 纳米颗粒。密度泛函理论计算表明，OWS的高活性源于高价Ru之间的协同作用</w:t>
      </w:r>
      <w:r>
        <w:t xml:space="preserve"> </w:t>
      </w:r>
      <w:r>
        <w:t>6+</w:t>
      </w:r>
      <w:r>
        <w:t xml:space="preserve"> </w:t>
      </w:r>
      <w:r>
        <w:t>和公司</w:t>
      </w:r>
      <w:r>
        <w:t xml:space="preserve"> </w:t>
      </w:r>
      <w:r>
        <w:t>4+</w:t>
      </w:r>
      <w:r>
        <w:t xml:space="preserve"> </w:t>
      </w:r>
      <w:r>
        <w:t>对于 OER，以及金属 Co 和 Ru 之间的</w:t>
      </w:r>
    </w:p>
    <w:p>
      <w:pPr>
        <w:spacing w:before="0" w:after="200" w:lineRule="auto" w:line="276"/>
      </w:pPr>
      <w:r>
        <w:rPr>
          <w:b/>
        </w:rPr>
        <w:t xml:space="preserve">Abstract (EN): </w:t>
      </w:r>
      <w:r>
        <w:t>Developing efficient bifunctional electrocatalysts for overall water splitting (OWS) remains a critical challenge due to the divergent reaction mechanisms required for oxygen and hydrogen evolution reactions (OER and HER), especially in a single–phase material. Here, we present a novel self‐adaptive 6H triple perovskite oxide, Ba</w:t>
      </w:r>
      <w:r>
        <w:rPr>
          <w:vertAlign w:val="subscript"/>
        </w:rPr>
        <w:t>3</w:t>
      </w:r>
      <w:r>
        <w:t>Co(Co</w:t>
      </w:r>
      <w:r>
        <w:t xml:space="preserve"> </w:t>
      </w:r>
      <w:r>
        <w:t>0.25</w:t>
      </w:r>
      <w:r>
        <w:t xml:space="preserve"> </w:t>
      </w:r>
      <w:r>
        <w:t>Ru</w:t>
      </w:r>
      <w:r>
        <w:t xml:space="preserve"> </w:t>
      </w:r>
      <w:r>
        <w:t>0.75</w:t>
      </w:r>
      <w:r>
        <w:t xml:space="preserve"> </w:t>
      </w:r>
      <w:r>
        <w:t>)</w:t>
      </w:r>
      <w:r>
        <w:rPr>
          <w:vertAlign w:val="subscript"/>
        </w:rPr>
        <w:t>2</w:t>
      </w:r>
      <w:r>
        <w:t>O</w:t>
      </w:r>
      <w:r>
        <w:rPr>
          <w:vertAlign w:val="subscript"/>
        </w:rPr>
        <w:t>9</w:t>
      </w:r>
      <w:r>
        <w:t>(BCCRO), as a highly active and durable alkaline OWS catalyst. BCCRO exhibits low overpotentials of 178 and 32 mV for the OER and HER at 10 mA cm</w:t>
      </w:r>
      <w:r>
        <w:t xml:space="preserve"> </w:t>
      </w:r>
      <w:r>
        <w:t>−2</w:t>
      </w:r>
      <w:r>
        <w:t xml:space="preserve"> </w:t>
      </w:r>
      <w:r>
        <w:t>in 1.0 M KOH, respectively. A symmetric electrolyzer maintains stable performance for 1000 h at 1 A cm</w:t>
      </w:r>
      <w:r>
        <w:t xml:space="preserve"> </w:t>
      </w:r>
      <w:r>
        <w:t>−2</w:t>
      </w:r>
      <w:r>
        <w:t xml:space="preserve"> </w:t>
      </w:r>
      <w:r>
        <w:t>. Operando X‐ray absorption spectroscopy reveals its dynamic surface restructuring processes: under OER conditions, Co</w:t>
      </w:r>
      <w:r>
        <w:t xml:space="preserve"> </w:t>
      </w:r>
      <w:r>
        <w:t>3+</w:t>
      </w:r>
      <w:r>
        <w:t xml:space="preserve"> </w:t>
      </w:r>
      <w:r>
        <w:t>and Ru</w:t>
      </w:r>
      <w:r>
        <w:t xml:space="preserve"> </w:t>
      </w:r>
      <w:r>
        <w:t>5+</w:t>
      </w:r>
      <w:r>
        <w:t xml:space="preserve"> </w:t>
      </w:r>
      <w:r>
        <w:t>are oxidized to Co</w:t>
      </w:r>
      <w:r>
        <w:t xml:space="preserve"> </w:t>
      </w:r>
      <w:r>
        <w:t>4+</w:t>
      </w:r>
      <w:r>
        <w:t xml:space="preserve"> </w:t>
      </w:r>
      <w:r>
        <w:t>and Ru</w:t>
      </w:r>
      <w:r>
        <w:t xml:space="preserve"> </w:t>
      </w:r>
      <w:r>
        <w:t>6+</w:t>
      </w:r>
      <w:r>
        <w:t xml:space="preserve"> </w:t>
      </w:r>
      <w:r>
        <w:t>, while during HER, they transform into metallic CoRu nanoparticles. Density functional theory calculations indicate that its high activity of OWS originates from synergy between high valence Ru</w:t>
      </w:r>
      <w:r>
        <w:t xml:space="preserve"> </w:t>
      </w:r>
      <w:r>
        <w:t>6+</w:t>
      </w:r>
      <w:r>
        <w:t xml:space="preserve"> </w:t>
      </w:r>
      <w:r>
        <w:t>and Co</w:t>
      </w:r>
      <w:r>
        <w:t xml:space="preserve"> </w:t>
      </w:r>
      <w:r>
        <w:t>4+</w:t>
      </w:r>
      <w:r>
        <w:t xml:space="preserve"> </w:t>
      </w:r>
      <w:r>
        <w:t>for OER, and between metallic Co and Ru for HER. This study presents a rare single‐phase oxide catalyst that achieves exceptional OWS performance through operando adaptation, providing a transformative framework for developing practical water‐splitting technologies.</w:t>
      </w:r>
    </w:p>
    <w:p>
      <w:pPr>
        <w:spacing w:before="120" w:after="120"/>
      </w:pPr>
      <w:r>
        <w:rPr>
          <w:sz w:val="18"/>
        </w:rPr>
        <w:t>——————————————————————————————————————————————————————————————————————</w:t>
      </w:r>
    </w:p>
    <w:p>
      <w:pPr>
        <w:spacing w:before="160" w:after="40" w:line="240" w:lineRule="auto"/>
      </w:pPr>
      <w:r>
        <w:rPr>
          <w:b/>
        </w:rPr>
        <w:t xml:space="preserve">[37] </w:t>
      </w:r>
      <w:hyperlink r:id="rId349">
        <w:r>
          <w:rPr>
            <w:color w:val="1155CC"/>
            <w:u w:val="single"/>
          </w:rPr>
          <w:t>用于氧还原催化的 PtNi 金属间纳米线有序驱动双轴应变工程</w:t>
        </w:r>
      </w:hyperlink>
    </w:p>
    <w:p>
      <w:pPr>
        <w:spacing w:before="0" w:after="80"/>
      </w:pPr>
      <w:r>
        <w:rPr>
          <w:i/>
          <w:sz w:val="20"/>
        </w:rPr>
        <w:t>EN: Ordering‐Driven Biaxial Strain Engineering in PtNi Intermetallic Nanowires for Oxygen Reduction Catalysis</w:t>
      </w:r>
    </w:p>
    <w:p>
      <w:pPr>
        <w:spacing w:before="0" w:after="120"/>
      </w:pPr>
      <w:r>
        <w:rPr>
          <w:b/>
        </w:rPr>
        <w:t xml:space="preserve">Source: </w:t>
      </w:r>
      <w:r>
        <w:t>Wiley: Angewandte Chemie International Edition: Table of Contents</w:t>
      </w:r>
      <w:r>
        <w:t xml:space="preserve">    </w:t>
      </w:r>
      <w:r>
        <w:rPr>
          <w:b/>
        </w:rPr>
        <w:t xml:space="preserve">Pub date: </w:t>
      </w:r>
      <w:r>
        <w:t>2026-07-15 12:23:58+00:00</w:t>
      </w:r>
      <w:r>
        <w:t xml:space="preserve">    </w:t>
      </w:r>
      <w:r>
        <w:rPr>
          <w:b/>
        </w:rPr>
        <w:t xml:space="preserve">DOI: </w:t>
      </w:r>
      <w:hyperlink r:id="rId350">
        <w:r>
          <w:rPr>
            <w:color w:val="1155CC"/>
            <w:u w:val="single"/>
          </w:rPr>
          <w:t>10.1002/anie.6989052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铂（Pt）基金属间催化剂中晶格应变的精确调控对于优化氧还原反应（ORR）性能至关重要，但原子有序过程中的应变演化通常被简化为各向同性压缩，掩盖了其结构复杂性。在这里，我们系统地调节 PtNi 纳米线的有序度从 4.5% 到 65.8%，以动态跟踪这种结构演变。完善对应变演化的传统理解的一个关键发现是在无序到有序转变过程中特征双轴应变的出现，我们将其与普遍假设的各向同性压缩模型进行定量区分。具体来说，这种转变引起面内晶格膨胀和面外晶格收缩。随着有序度的增加，这种双轴应变逐渐松弛催化活性（111）表面上的压应力，而不是像传统模型预测的那样放大它。密度泛函理论计算证实，这种各向异性应变将决定速率的 *O 质子化步骤的能垒从 0.51 eV 降低到 0.39 eV。优化后的催化剂质量活性为1.30 A mg</w:t>
      </w:r>
      <w:r>
        <w:t xml:space="preserve"> </w:t>
      </w:r>
      <w:r>
        <w:t>铂</w:t>
      </w:r>
      <w:r>
        <w:t xml:space="preserve"> </w:t>
      </w:r>
      <w:r>
        <w:t>−1</w:t>
      </w:r>
      <w:r>
        <w:t xml:space="preserve"> </w:t>
      </w:r>
      <w:r>
        <w:t>60 000 次循环后保留率为 86.0%，峰值功率密度为 1014.5 mW cm</w:t>
      </w:r>
      <w:r>
        <w:t xml:space="preserve"> </w:t>
      </w:r>
      <w:r>
        <w:t>−2</w:t>
      </w:r>
      <w:r>
        <w:t xml:space="preserve"> </w:t>
      </w:r>
      <w:r>
        <w:t>在膜电极组件中。这项工作将可调有序诱导双轴应变确定为设计的关键结构参数</w:t>
      </w:r>
    </w:p>
    <w:p>
      <w:pPr>
        <w:spacing w:before="0" w:after="200" w:lineRule="auto" w:line="276"/>
      </w:pPr>
      <w:r>
        <w:rPr>
          <w:b/>
        </w:rPr>
        <w:t xml:space="preserve">Abstract (EN): </w:t>
      </w:r>
      <w:r>
        <w:t>Precise regulation of lattice strain in platinum (Pt)‐based intermetallic catalysts is essential for optimizing oxygen reduction reaction (ORR) performance, yet strain evolution during atomic ordering is often simplified as isotropic compression, masking its structural complexity. Herein, we systematically modulate the ordering degree of PtNi nanowires from 4.5% to 65.8% to dynamically track this structural evolution. A key finding that refines the conventional understanding of strain evolution is the emergence of characteristic biaxial strain during the disorder‐to‐order transition, which we quantitatively distinguish from the universally assumed isotropic compression model. Specifically, this transition induces in‐plane lattice expansion coupled with out‐of‐plane lattice contraction. As the ordering degree increases, this biaxial strain progressively relaxes the compressive stress on the catalytically active (111) surface, rather than amplifying it as traditional models predict. Density functional theory calculations confirm this anisotropic strain reduces the energy barrier of the rate‐determining *O protonation step from 0.51 to 0.39 eV. The optimized catalyst exhibits a mass activity of 1.30 A mg</w:t>
      </w:r>
      <w:r>
        <w:t xml:space="preserve"> </w:t>
      </w:r>
      <w:r>
        <w:t>Pt</w:t>
      </w:r>
      <w:r>
        <w:t xml:space="preserve"> </w:t>
      </w:r>
      <w:r>
        <w:t>−1</w:t>
      </w:r>
      <w:r>
        <w:t xml:space="preserve"> </w:t>
      </w:r>
      <w:r>
        <w:t>with 86.0% retention after 60 000 cycles, and a peak power density of 1014.5 mW cm</w:t>
      </w:r>
      <w:r>
        <w:t xml:space="preserve"> </w:t>
      </w:r>
      <w:r>
        <w:t>−2</w:t>
      </w:r>
      <w:r>
        <w:t xml:space="preserve"> </w:t>
      </w:r>
      <w:r>
        <w:t>in membrane electrode assemblies. This work identifies tunable ordering‐induced biaxial strain as a critical structural parameter for designing high‐performance Pt‐based ORR catalysts.</w:t>
      </w:r>
    </w:p>
    <w:p>
      <w:pPr>
        <w:spacing w:before="120" w:after="120"/>
      </w:pPr>
      <w:r>
        <w:rPr>
          <w:sz w:val="18"/>
        </w:rPr>
        <w:t>——————————————————————————————————————————————————————————————————————</w:t>
      </w:r>
    </w:p>
    <w:p>
      <w:pPr>
        <w:spacing w:before="160" w:after="40" w:line="240" w:lineRule="auto"/>
      </w:pPr>
      <w:r>
        <w:rPr>
          <w:b/>
        </w:rPr>
        <w:t xml:space="preserve">[38] </w:t>
      </w:r>
      <w:hyperlink r:id="rId351">
        <w:r>
          <w:rPr>
            <w:color w:val="1155CC"/>
            <w:u w:val="single"/>
          </w:rPr>
          <w:t>LiNH2-2LiH 太阳能驱动可逆储氢</w:t>
        </w:r>
      </w:hyperlink>
    </w:p>
    <w:p>
      <w:pPr>
        <w:spacing w:before="0" w:after="80"/>
      </w:pPr>
      <w:r>
        <w:rPr>
          <w:i/>
          <w:sz w:val="20"/>
        </w:rPr>
        <w:t>EN: Solar‐Driven Reversible Hydrogen Storage Over LiNH2‐2LiH</w:t>
      </w:r>
    </w:p>
    <w:p>
      <w:pPr>
        <w:spacing w:before="0" w:after="120"/>
      </w:pPr>
      <w:r>
        <w:rPr>
          <w:b/>
        </w:rPr>
        <w:t xml:space="preserve">Source: </w:t>
      </w:r>
      <w:r>
        <w:t>Wiley: Angewandte Chemie International Edition: Table of Contents</w:t>
      </w:r>
      <w:r>
        <w:t xml:space="preserve">    </w:t>
      </w:r>
      <w:r>
        <w:rPr>
          <w:b/>
        </w:rPr>
        <w:t xml:space="preserve">Pub date: </w:t>
      </w:r>
      <w:r>
        <w:t>2026-07-15 12:36:32+00:00</w:t>
      </w:r>
      <w:r>
        <w:t xml:space="preserve">    </w:t>
      </w:r>
      <w:r>
        <w:rPr>
          <w:b/>
        </w:rPr>
        <w:t xml:space="preserve">DOI: </w:t>
      </w:r>
      <w:hyperlink r:id="rId352">
        <w:r>
          <w:rPr>
            <w:color w:val="1155CC"/>
            <w:u w:val="single"/>
          </w:rPr>
          <w:t>10.1002/anie.6076689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氨基锂-氢化锂复合材料（LiNH</w:t>
      </w:r>
      <w:r>
        <w:rPr>
          <w:vertAlign w:val="subscript"/>
        </w:rPr>
        <w:t>2</w:t>
      </w:r>
      <w:r>
        <w:t>‐2LiH）是一种氢容量高达 10.29 wt.% 的复合氢化物，长期以来一直被认为是储氢的有前途的候选者；然而，其应用受到热力学稳定性和热驱动脱/再氢化过程中与 N─H 和 Li─H 键断裂和形成相关的缓慢动力学的阻碍。在此，我们报道了 LiNH 的光激发</w:t>
      </w:r>
      <w:r>
        <w:rPr>
          <w:vertAlign w:val="subscript"/>
        </w:rPr>
        <w:t>2</w:t>
      </w:r>
      <w:r>
        <w:t>紫外线照射下（0.8 W·cm</w:t>
      </w:r>
      <w:r>
        <w:t xml:space="preserve"> </w:t>
      </w:r>
      <w:r>
        <w:t>−2</w:t>
      </w:r>
      <w:r>
        <w:t xml:space="preserve"> </w:t>
      </w:r>
      <w:r>
        <w:t>）诱导 N─H 键均裂并产生独特的光响应，同时演化出 H</w:t>
      </w:r>
      <w:r>
        <w:rPr>
          <w:vertAlign w:val="subscript"/>
        </w:rPr>
        <w:t>2</w:t>
      </w:r>
      <w:r>
        <w:t>,N</w:t>
      </w:r>
      <w:r>
        <w:rPr>
          <w:vertAlign w:val="subscript"/>
        </w:rPr>
        <w:t>2</w:t>
      </w:r>
      <w:r>
        <w:t>, 和 NH</w:t>
      </w:r>
      <w:r>
        <w:rPr>
          <w:vertAlign w:val="subscript"/>
        </w:rPr>
        <w:t>3</w:t>
      </w:r>
      <w:r>
        <w:t>。联轴器 LiNH</w:t>
      </w:r>
      <w:r>
        <w:rPr>
          <w:vertAlign w:val="subscript"/>
        </w:rPr>
        <w:t>2</w:t>
      </w:r>
      <w:r>
        <w:t>与 LiH 一起使用，可以实现紫外线驱动的氢气释放，并有效抑制气态副产物。高强度全光谱照明下（2.9 W·cm</w:t>
      </w:r>
      <w:r>
        <w:t xml:space="preserve"> </w:t>
      </w:r>
      <w:r>
        <w:t>−2</w:t>
      </w:r>
      <w:r>
        <w:t xml:space="preserve"> </w:t>
      </w:r>
      <w:r>
        <w:t>），非热效应和光热效应的结合使得LiNH完全脱氢</w:t>
      </w:r>
      <w:r>
        <w:rPr>
          <w:vertAlign w:val="subscript"/>
        </w:rPr>
        <w:t>2</w:t>
      </w:r>
      <w:r>
        <w:t>‐2LiH (&gt;10.0 wt.%)，并且在 6 个周期内几乎完全可逆（容量保持率约 99%）。我们进一步实现了LiNH直接放氢</w:t>
      </w:r>
      <w:r>
        <w:rPr>
          <w:vertAlign w:val="subscript"/>
        </w:rPr>
        <w:t>2</w:t>
      </w:r>
      <w:r>
        <w:t>‐2LiH 在自然阳光下。这种光诱导的不稳定策略提供了激活中间强键的一般途径</w:t>
      </w:r>
    </w:p>
    <w:p>
      <w:pPr>
        <w:spacing w:before="0" w:after="200" w:lineRule="auto" w:line="276"/>
      </w:pPr>
      <w:r>
        <w:rPr>
          <w:b/>
        </w:rPr>
        <w:t xml:space="preserve">Abstract (EN): </w:t>
      </w:r>
      <w:r>
        <w:t>Lithium amide‐lithium hydride composite (LiNH</w:t>
      </w:r>
      <w:r>
        <w:rPr>
          <w:vertAlign w:val="subscript"/>
        </w:rPr>
        <w:t>2</w:t>
      </w:r>
      <w:r>
        <w:t>‐2LiH), a composite hydride with a high hydrogen capacity of 10.29 wt.%, has long been considered a promising candidate for hydrogen storage; however, its application is hindered by the thermodynamic stability and sluggish kinetics associated with N─H and Li─H bond cleavage and formation during thermally driven de/re‐hydrogenation. Herein, we report that the photoexcitation of LiNH</w:t>
      </w:r>
      <w:r>
        <w:rPr>
          <w:vertAlign w:val="subscript"/>
        </w:rPr>
        <w:t>2</w:t>
      </w:r>
      <w:r>
        <w:t>under UV illumination (0.8 W·cm</w:t>
      </w:r>
      <w:r>
        <w:t xml:space="preserve"> </w:t>
      </w:r>
      <w:r>
        <w:t>−2</w:t>
      </w:r>
      <w:r>
        <w:t xml:space="preserve"> </w:t>
      </w:r>
      <w:r>
        <w:t>) induces homolytic N─H bond cleavage and produces a distinctive photo‐response with simultaneous evolution of H</w:t>
      </w:r>
      <w:r>
        <w:rPr>
          <w:vertAlign w:val="subscript"/>
        </w:rPr>
        <w:t>2</w:t>
      </w:r>
      <w:r>
        <w:t>, N</w:t>
      </w:r>
      <w:r>
        <w:rPr>
          <w:vertAlign w:val="subscript"/>
        </w:rPr>
        <w:t>2</w:t>
      </w:r>
      <w:r>
        <w:t>, and NH</w:t>
      </w:r>
      <w:r>
        <w:rPr>
          <w:vertAlign w:val="subscript"/>
        </w:rPr>
        <w:t>3</w:t>
      </w:r>
      <w:r>
        <w:t>. Coupling LiNH</w:t>
      </w:r>
      <w:r>
        <w:rPr>
          <w:vertAlign w:val="subscript"/>
        </w:rPr>
        <w:t>2</w:t>
      </w:r>
      <w:r>
        <w:t>with LiH enables UV‐driven hydrogen release with effective suppression of gaseous byproducts. Under high‐intensity full‐spectrum illumination (2.9  W·cm</w:t>
      </w:r>
      <w:r>
        <w:t xml:space="preserve"> </w:t>
      </w:r>
      <w:r>
        <w:t>−2</w:t>
      </w:r>
      <w:r>
        <w:t xml:space="preserve"> </w:t>
      </w:r>
      <w:r>
        <w:t>), the combined non‐thermal and photothermal effects allow complete dehydrogenation of LiNH</w:t>
      </w:r>
      <w:r>
        <w:rPr>
          <w:vertAlign w:val="subscript"/>
        </w:rPr>
        <w:t>2</w:t>
      </w:r>
      <w:r>
        <w:t>‐2LiH (&amp;gt;10.0 wt.%), and near‐full reversibility over 6 cycles (capacity retention ca. 99%). We further realized direct hydrogen release from LiNH</w:t>
      </w:r>
      <w:r>
        <w:rPr>
          <w:vertAlign w:val="subscript"/>
        </w:rPr>
        <w:t>2</w:t>
      </w:r>
      <w:r>
        <w:t>‐2LiH under natural sunlight. This photo‐induced destabilization strategy provides a general route to activate strong bonds in amide‐hydride composites and offers a promising approach toward solid‐state hydrogen storage under mild conditions.</w:t>
      </w:r>
    </w:p>
    <w:p>
      <w:pPr>
        <w:spacing w:before="120" w:after="120"/>
      </w:pPr>
      <w:r>
        <w:rPr>
          <w:sz w:val="18"/>
        </w:rPr>
        <w:t>——————————————————————————————————————————————————————————————————————</w:t>
      </w:r>
    </w:p>
    <w:p>
      <w:pPr>
        <w:spacing w:before="160" w:after="40" w:line="240" w:lineRule="auto"/>
      </w:pPr>
      <w:r>
        <w:rPr>
          <w:b/>
        </w:rPr>
        <w:t xml:space="preserve">[39] </w:t>
      </w:r>
      <w:hyperlink r:id="rId353">
        <w:r>
          <w:rPr>
            <w:color w:val="1155CC"/>
            <w:u w:val="single"/>
          </w:rPr>
          <w:t>高性能质子交换膜燃料电池复合全氟磺酸离聚物的合理设计</w:t>
        </w:r>
      </w:hyperlink>
    </w:p>
    <w:p>
      <w:pPr>
        <w:spacing w:before="0" w:after="80"/>
      </w:pPr>
      <w:r>
        <w:rPr>
          <w:i/>
          <w:sz w:val="20"/>
        </w:rPr>
        <w:t>EN: Rational Design of the Composite Perfluoro-Sulfonic Ionomer for High-Performance Proton Exchange Membrane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354">
        <w:r>
          <w:rPr>
            <w:color w:val="1155CC"/>
            <w:u w:val="single"/>
          </w:rPr>
          <w:t>10.1021/jacs.6c05625</w:t>
        </w:r>
      </w:hyperlink>
    </w:p>
    <w:p>
      <w:pPr>
        <w:spacing w:before="0" w:after="120"/>
      </w:pPr>
      <w:r>
        <w:rPr>
          <w:b/>
        </w:rPr>
        <w:t xml:space="preserve">Notes: </w:t>
      </w:r>
      <w:r>
        <w:t>abstract_source=pubmed</w:t>
      </w:r>
    </w:p>
    <w:p>
      <w:pPr>
        <w:spacing w:before="0" w:after="80" w:lineRule="auto" w:line="276"/>
      </w:pPr>
      <w:r>
        <w:rPr>
          <w:b/>
        </w:rPr>
        <w:t xml:space="preserve">摘要（ZH）: </w:t>
      </w:r>
      <w:r>
        <w:t>质子交换膜燃料电池（PEMFC）的规模化受到高阴极过电势和氧还原反应中铂的使用的限制，全氟磺酸（PFSA）离聚物引起的催化剂中毒加剧了这一挑战。尽管将 PFSA 与添加剂混合可以减轻这种中毒，但由于缺乏定量评估工具，进展在很大程度上仍然是经验性的。在这里，我们介绍了一种电化学探针，利用离聚物涂层的单晶 Pt(111) 来量化 PFSA 吸附的覆盖范围和强度，阐明阳离子添加剂如何抑制 Pt 中毒。我们确定了阳离子水合能和 PFSA 吸附之间的负相关性，指导合理设计水合不良的四甲基铵锚定共价有机框架 (TMA+-COF) 作为离聚物添加剂。电化学和光谱分析表明，复合TMA+-COFs/PFSA层通过强大的静电相互作用显着抑制Pt(111)上的磺酸盐吸附和中毒，这意味着工业Pt/C在旋转盘和气体扩散电极中的活性分别提高了1.7倍和4倍。我们还在带有 TMA+-COF 的 PEMFC 阴极中展示了 1.08 A mgPt-1 的高质量活性。我们的工作通过合理设计高性能、低 Pt PEMFC 的先进复合离聚物，为传统催化剂工程提供了一条替代途径。</w:t>
      </w:r>
    </w:p>
    <w:p>
      <w:pPr>
        <w:spacing w:before="0" w:after="200" w:lineRule="auto" w:line="276"/>
      </w:pPr>
      <w:r>
        <w:rPr>
          <w:b/>
        </w:rPr>
        <w:t xml:space="preserve">Abstract (EN): </w:t>
      </w:r>
      <w:r>
        <w:t>Scaling proton exchange membrane fuel cells (PEMFCs) is constrained by high cathodic overpotential and platinum usage for the oxygen reduction reaction, challenges exacerbated by catalyst poisoning from perfluorosulfonic acid (PFSA) ionomers. Though compositing PFSA with additives can mitigate this poisoning, progress has remained largely empirical due to the lack of quantitative assessment tools. Here, we introduce an electrochemical probe leveraging ionomer-coated single-crystal Pt(111) to quantify the coverage and strength of PFSA adsorption, elucidating how cationic additives suppress Pt poisoning. We identify an inverse correlation between cation hydration energy and PFSA adsorption, guiding the rational design of a poorly hydrated tetramethylammonium-anchored covalent organic framework (TMA+-COFs) as an ionomer additive. Electrochemical and spectroscopic analyses reveal that the composite TMA+-COFs/PFSA layer significantly inhibits sulfonate adsorption and poisoning onto Pt(111) through robust electrostatic interactions, which translates to a 1.7- and 4-fold activity enhancement for industrial Pt/C in rotating-disk and gas-diffusion electrodes, respectively. We also demonstrated a high mass activity of 1.08 A mgPt-1 in a PEMFC cathode with TMA+-COFs. Our work provides an alternative avenue to conventional catalyst engineering through the rational design of advanced composite ionomers for high-performance, low-Pt PEMFCs.</w:t>
      </w:r>
    </w:p>
    <w:p>
      <w:pPr>
        <w:spacing w:before="120" w:after="120"/>
      </w:pPr>
      <w:r>
        <w:rPr>
          <w:sz w:val="18"/>
        </w:rPr>
        <w:t>——————————————————————————————————————————————————————————————————————</w:t>
      </w:r>
    </w:p>
    <w:p>
      <w:pPr>
        <w:spacing w:before="160" w:after="40" w:line="240" w:lineRule="auto"/>
      </w:pPr>
      <w:r>
        <w:rPr>
          <w:b/>
        </w:rPr>
        <w:t xml:space="preserve">[40] </w:t>
      </w:r>
      <w:hyperlink r:id="rId355">
        <w:r>
          <w:rPr>
            <w:color w:val="1155CC"/>
            <w:u w:val="single"/>
          </w:rPr>
          <w:t>氢发生了什么，接下来会发生什么？</w:t>
        </w:r>
      </w:hyperlink>
    </w:p>
    <w:p>
      <w:pPr>
        <w:spacing w:before="0" w:after="80"/>
      </w:pPr>
      <w:r>
        <w:rPr>
          <w:i/>
          <w:sz w:val="20"/>
        </w:rPr>
        <w:t>EN: What happened to hydrogen, and what comes next?</w:t>
      </w:r>
    </w:p>
    <w:p>
      <w:pPr>
        <w:spacing w:before="0" w:after="120"/>
      </w:pPr>
      <w:r>
        <w:rPr>
          <w:b/>
        </w:rPr>
        <w:t xml:space="preserve">Source: </w:t>
      </w:r>
      <w:r>
        <w:t>Joule</w:t>
      </w:r>
      <w:r>
        <w:t xml:space="preserve">    </w:t>
      </w:r>
      <w:r>
        <w:rPr>
          <w:b/>
        </w:rPr>
        <w:t xml:space="preserve">Pub date: </w:t>
      </w:r>
      <w:r>
        <w:t>2026-07-16 00:00:00+00:00</w:t>
      </w:r>
      <w:r>
        <w:t xml:space="preserve">    </w:t>
      </w:r>
      <w:r>
        <w:rPr>
          <w:b/>
        </w:rPr>
        <w:t xml:space="preserve">DOI: </w:t>
      </w:r>
      <w:hyperlink r:id="rId356">
        <w:r>
          <w:rPr>
            <w:color w:val="1155CC"/>
            <w:u w:val="single"/>
          </w:rPr>
          <w:t>10.1016/j.joule.2026.102574</w:t>
        </w:r>
      </w:hyperlink>
    </w:p>
    <w:p>
      <w:pPr>
        <w:spacing w:before="0" w:after="120"/>
      </w:pPr>
      <w:r>
        <w:rPr>
          <w:b/>
        </w:rPr>
        <w:t xml:space="preserve">Notes: </w:t>
      </w:r>
      <w:r>
        <w:t>abstract_source=rss_cell</w:t>
      </w:r>
    </w:p>
    <w:p>
      <w:pPr>
        <w:spacing w:before="0" w:after="80" w:lineRule="auto" w:line="276"/>
      </w:pPr>
      <w:r>
        <w:rPr>
          <w:b/>
        </w:rPr>
        <w:t xml:space="preserve">摘要（ZH）: </w:t>
      </w:r>
      <w:r>
        <w:t>本评论研究了国际能源署 (IEA) 2021 年做出的 2030 年氢部署预测与 2026 年初做出的预测之间存在超过 90% 的差距。尽管 2026 年氢预测对氢在净零路径中的长期作用产生了怀疑，但乐观的理由是存在的。通过社会技术系统和采用准备情况进行评估时，氢作为关键脱碳杠杆的潜力在特定背景下变得显而易见，例如中国和长途航空，处于领先地位。</w:t>
      </w:r>
    </w:p>
    <w:p>
      <w:pPr>
        <w:spacing w:before="0" w:after="200" w:lineRule="auto" w:line="276"/>
      </w:pPr>
      <w:r>
        <w:rPr>
          <w:b/>
        </w:rPr>
        <w:t xml:space="preserve">Abstract (EN): </w:t>
      </w:r>
      <w:r>
        <w:t>This commentary examines the greater than 90% gap between the International Energy Agency’s (IEA) 2030 hydrogen deployment projections made in 2021 versus those made as of early 2026. Although the 2026 hydrogen projections have cast doubt on hydrogen’s long-term role in net-zero pathways, reason for optimism exists. When assessed through sociotechnical systems and adoption readiness lenses, hydrogen’s potential as a key decarbonization lever becomes apparent with specific contexts, such as China and long-haul aviation, leading the way.</w:t>
      </w:r>
    </w:p>
    <w:p>
      <w:pPr>
        <w:spacing w:before="120" w:after="120"/>
      </w:pPr>
      <w:r>
        <w:rPr>
          <w:sz w:val="18"/>
        </w:rPr>
        <w:t>——————————————————————————————————————————————————————————————————————</w:t>
      </w:r>
    </w:p>
    <w:p>
      <w:pPr>
        <w:spacing w:before="160" w:after="40" w:line="240" w:lineRule="auto"/>
      </w:pPr>
      <w:r>
        <w:rPr>
          <w:b/>
        </w:rPr>
        <w:t xml:space="preserve">[41] </w:t>
      </w:r>
      <w:hyperlink r:id="rId357">
        <w:r>
          <w:rPr>
            <w:color w:val="1155CC"/>
            <w:u w:val="single"/>
          </w:rPr>
          <w:t>电流波动下碱性水电解集群的功率分配：基于模型的效率提升方法</w:t>
        </w:r>
      </w:hyperlink>
    </w:p>
    <w:p>
      <w:pPr>
        <w:spacing w:before="0" w:after="80"/>
      </w:pPr>
      <w:r>
        <w:rPr>
          <w:i/>
          <w:sz w:val="20"/>
        </w:rPr>
        <w:t>EN: Power allocation for alkaline water electrolysis clusters under current fluctuations: a model-based method for efficiency enhancement</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358">
        <w:r>
          <w:rPr>
            <w:color w:val="1155CC"/>
            <w:u w:val="single"/>
          </w:rPr>
          <w:t>将风电波动与 PEM 水电解槽退化联系起来</w:t>
        </w:r>
      </w:hyperlink>
    </w:p>
    <w:p>
      <w:pPr>
        <w:spacing w:before="0" w:after="80"/>
      </w:pPr>
      <w:r>
        <w:rPr>
          <w:i/>
          <w:sz w:val="20"/>
        </w:rPr>
        <w:t>EN: Linking wind-power fluctuation to degradation of PEM water electrolyzer</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359">
        <w:r>
          <w:rPr>
            <w:color w:val="1155CC"/>
            <w:u w:val="single"/>
          </w:rPr>
          <w:t>双曲偏微分方程约束决策依赖的氢能存储系统稳健规划，实现弹性电-水-气关系</w:t>
        </w:r>
      </w:hyperlink>
    </w:p>
    <w:p>
      <w:pPr>
        <w:spacing w:before="0" w:after="80"/>
      </w:pPr>
      <w:r>
        <w:rPr>
          <w:i/>
          <w:sz w:val="20"/>
        </w:rPr>
        <w:t>EN: Hyperbolic PDE-constrained decision-dependent robust planning of hydrogen energy storage systems for resilient electricity-water-gas nexus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360">
        <w:r>
          <w:rPr>
            <w:color w:val="1155CC"/>
            <w:u w:val="single"/>
          </w:rPr>
          <w:t>研究海水对最先进的固体氧化物电解电池性能和电池堆组件退化的影响</w:t>
        </w:r>
      </w:hyperlink>
    </w:p>
    <w:p>
      <w:pPr>
        <w:spacing w:before="0" w:after="80"/>
      </w:pPr>
      <w:r>
        <w:rPr>
          <w:i/>
          <w:sz w:val="20"/>
        </w:rPr>
        <w:t>EN: Investigation of the seawater impact on the state-of-the-art solid oxide electrolyzes cells performance and stack components degradation</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61">
        <w:r>
          <w:rPr>
            <w:color w:val="1155CC"/>
            <w:u w:val="single"/>
          </w:rPr>
          <w:t>风冷质子交换膜燃料电池无人机高空环境飞行特性实验研究</w:t>
        </w:r>
      </w:hyperlink>
    </w:p>
    <w:p>
      <w:pPr>
        <w:spacing w:before="0" w:after="80"/>
      </w:pPr>
      <w:r>
        <w:rPr>
          <w:i/>
          <w:sz w:val="20"/>
        </w:rPr>
        <w:t>EN: Experimental study on flight characteristics of unmanned aerial vehicles powered by air-cooled proton exchange membrane fuel cells in high-altitude environments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362">
        <w:r>
          <w:rPr>
            <w:color w:val="1155CC"/>
            <w:u w:val="single"/>
          </w:rPr>
          <w:t>海藻酸盐觅食在地理和分类上不同的反刍动物微生物组中得到保留</w:t>
        </w:r>
      </w:hyperlink>
    </w:p>
    <w:p>
      <w:pPr>
        <w:spacing w:before="0" w:after="80"/>
      </w:pPr>
      <w:r>
        <w:rPr>
          <w:i/>
          <w:sz w:val="20"/>
        </w:rPr>
        <w:t>EN: Alginate foraging is conserved in geographically and taxonomically distinct ruminant microbiomes</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海藻在碳循环中发挥着至关重要的作用，预计将成为可持续生物质的宝贵资源，并应用于生物燃料生产、人类营养和动物饲料。尽管海藻历史上一直被用作海岸线附近放牧牲畜的饲料来源，但其在瘤胃中消化的过程仍然未知。在这里，我们利用体内和体外实验系统展示了褐藻 Saccharina latissima 如何在两种不同反刍动物物种的瘤胃生态系统中分解代谢。消化的证据是通过结合动物模型、细菌成像、多层元组学和酶生物化学获得的。我们的结果表明，地理位置不同的反刍动物具有保守的藻酸盐利用位点，其中必需的酶在饮食中响应于阔条藻而表达。虽然参与藻酸盐代谢的核心酶在整个群体中得到维持，但辅助酶似乎通过基因复制或丢失事件而获得或丢失。这些系统的保护表明反刍动物微生物组保留了代谢海洋多糖的潜在能力。</w:t>
      </w:r>
    </w:p>
    <w:p>
      <w:pPr>
        <w:spacing w:before="0" w:after="200" w:lineRule="auto" w:line="276"/>
      </w:pPr>
      <w:r>
        <w:rPr>
          <w:b/>
        </w:rPr>
        <w:t xml:space="preserve">Abstract (EN): </w:t>
      </w:r>
      <w:r>
        <w:t>Seaweed plays a crucial role in carbon cycling and is expected to be a valuable resource for sustainable biomass, with applications in biofuel production, human nutrition, and animal feed. Although seaweed has historically been used as a feed source for livestock grazing near coastlines, the process by which it is digested in the rumen remains unknown. Here, we show how the brown alga Saccharina latissima is catabolized within the rumen ecosystem of two different ruminant species using in vivo and in vitro experimental systems. Evidence of digestion was obtained using a combination of animal models, bacterial imaging, multilayered meta-omics, and enzyme biochemistry. Our results demonstrate that geographically distinct ruminants harbor conserved alginate utilization loci, of which essential enzymes were expressed in response to S. latissima in the diet. While core enzymes involved in alginate metabolism have been maintained throughout populations, ancillary enzymes appear to be gained or lost through gene duplication or loss events. The conservation of these systems indicates that the ruminant microbiome retains a latent capacity to metabolize marine polysaccharides.</w:t>
      </w:r>
    </w:p>
    <w:p>
      <w:pPr>
        <w:spacing w:before="120" w:after="120"/>
      </w:pPr>
      <w:r>
        <w:rPr>
          <w:sz w:val="18"/>
        </w:rPr>
        <w:t>——————————————————————————————————————————————————————————————————————</w:t>
      </w:r>
    </w:p>
    <w:p>
      <w:pPr>
        <w:spacing w:before="160" w:after="40" w:line="240" w:lineRule="auto"/>
      </w:pPr>
      <w:r>
        <w:rPr>
          <w:b/>
        </w:rPr>
        <w:t xml:space="preserve">[47] </w:t>
      </w:r>
      <w:hyperlink r:id="rId363">
        <w:r>
          <w:rPr>
            <w:color w:val="1155CC"/>
            <w:u w:val="single"/>
          </w:rPr>
          <w:t>用于海水电解的高效电催化剂的先进方法：综合综述</w:t>
        </w:r>
      </w:hyperlink>
    </w:p>
    <w:p>
      <w:pPr>
        <w:spacing w:before="0" w:after="80"/>
      </w:pPr>
      <w:r>
        <w:rPr>
          <w:i/>
          <w:sz w:val="20"/>
        </w:rPr>
        <w:t>EN: Advanced Approaches toward Efficient Electrocatalysts for Seawater Electrolysis: A Comprehensive Review</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364">
        <w:r>
          <w:rPr>
            <w:color w:val="1155CC"/>
            <w:u w:val="single"/>
          </w:rPr>
          <w:t>10.1021/acsami.6c07595</w:t>
        </w:r>
      </w:hyperlink>
    </w:p>
    <w:p>
      <w:pPr>
        <w:spacing w:before="0" w:after="120"/>
      </w:pPr>
      <w:r>
        <w:rPr>
          <w:b/>
        </w:rPr>
        <w:t xml:space="preserve">Notes: </w:t>
      </w:r>
      <w:r>
        <w:t>abstract_source=pubmed</w:t>
      </w:r>
    </w:p>
    <w:p>
      <w:pPr>
        <w:spacing w:before="0" w:after="80" w:lineRule="auto" w:line="276"/>
      </w:pPr>
      <w:r>
        <w:rPr>
          <w:b/>
        </w:rPr>
        <w:t xml:space="preserve">摘要（ZH）: </w:t>
      </w:r>
      <w:r>
        <w:t>通过直接海水电解生产绿色氢气是一种有前途且可持续的途径，可以减少对化石燃料的依赖并减少碳排放，同时减轻有限淡水资源的压力。海水覆盖地球75%的面积，具有大规模制氢的巨大潜力。然而，其复杂的成分，特别是高浓度的氯离子（Cl-），会影响电催化剂的性能和耐久性，导致腐蚀、降解和竞争性副反应。为了解决这些限制，最近广泛的研究集中在开发新策略以增强催化剂在恶劣盐水条件下的活性、选择性和长期稳定性。本综述巩固了该领域的最新进展，涵盖基本机制、主要操作挑战以及旨在提高下一代海水电解电催化剂效率的新兴方法。显着的进步包括局部反应环境的调节、催化反应机制的合理调整以及界面pH值的调节。此外，还对光辅助海水电解等创新方法以及先进钝化涂层、掺杂材料和新型催化剂设计的开发进行了彻底的研究。通过对这些发展进行全面概述，本综述旨在促进持续创新，寻求实用且可扩展的海水绿色制氢解决方案。</w:t>
      </w:r>
    </w:p>
    <w:p>
      <w:pPr>
        <w:spacing w:before="0" w:after="200" w:lineRule="auto" w:line="276"/>
      </w:pPr>
      <w:r>
        <w:rPr>
          <w:b/>
        </w:rPr>
        <w:t xml:space="preserve">Abstract (EN): </w:t>
      </w:r>
      <w:r>
        <w:t>Green hydrogen production via direct seawater electrolysis represents a promising and sustainable pathway to reduce reliance on fossil fuels and mitigate carbon emissions, while simultaneously alleviating the pressure on limited freshwater resources. Covering 75% of the earth, seawater holds significant potential for large-scale hydrogen generation. However, its complex composition, particularly the high concentration of chloride ions (Cl-), impacts the performance and durability of electrocatalysts, leading to corrosion, degradation, and competing side reactions. To address these limitations, extensive research has focused recently on developing new strategies to enhance catalyst activity, selectivity, and long-term stability under harsh saline conditions. This review consolidates recent progress in the field, covering fundamental mechanisms, major operational challenges, and emerging approaches aimed at improving the efficiency of next-generation electrocatalysts for seawater electrolysis. Notable advancements include the modulation of the local reaction environment, the rational tuning of catalytic reaction mechanisms, and the regulation of interfacial pH. Additionally, innovative approaches such as light-assisted seawater electrolysis, along with the development of advanced passivation coatings, doped materials, and novel catalyst designs, are thoroughly examined. By presenting a comprehensive overview of these developments, this review aims to facilitate continued innovation in the pursuit of practical and scalable solutions for green hydrogen production from seawater. Finally, a thorough and critical discussion is presented in the last section of the review to assess the feasibility and scalability of these strategies.</w:t>
      </w:r>
    </w:p>
    <w:p>
      <w:pPr>
        <w:spacing w:before="120" w:after="120"/>
      </w:pPr>
      <w:r>
        <w:rPr>
          <w:sz w:val="18"/>
        </w:rPr>
        <w:t>——————————————————————————————————————————————————————————————————————</w:t>
      </w:r>
    </w:p>
    <w:p>
      <w:pPr>
        <w:spacing w:before="160" w:after="40" w:line="240" w:lineRule="auto"/>
      </w:pPr>
      <w:r>
        <w:rPr>
          <w:b/>
        </w:rPr>
        <w:t xml:space="preserve">[48] </w:t>
      </w:r>
      <w:hyperlink r:id="rId365">
        <w:r>
          <w:rPr>
            <w:color w:val="1155CC"/>
            <w:u w:val="single"/>
          </w:rPr>
          <w:t>氧化铱的相工程使质子交换膜水电解与间歇电能直接耦合</w:t>
        </w:r>
      </w:hyperlink>
    </w:p>
    <w:p>
      <w:pPr>
        <w:spacing w:before="0" w:after="80"/>
      </w:pPr>
      <w:r>
        <w:rPr>
          <w:i/>
          <w:sz w:val="20"/>
        </w:rPr>
        <w:t>EN: Phase Engineering of Iridium Oxides Enables Direct Coupling of Proton Exchange Membrane Water Electrolysis With Intermittent Electrical Energy</w:t>
      </w:r>
    </w:p>
    <w:p>
      <w:pPr>
        <w:spacing w:before="0" w:after="120"/>
      </w:pPr>
      <w:r>
        <w:rPr>
          <w:b/>
        </w:rPr>
        <w:t xml:space="preserve">Source: </w:t>
      </w:r>
      <w:r>
        <w:t>Wiley: Advanced Materials: Table of Contents</w:t>
      </w:r>
      <w:r>
        <w:t xml:space="preserve">    </w:t>
      </w:r>
      <w:r>
        <w:rPr>
          <w:b/>
        </w:rPr>
        <w:t xml:space="preserve">Pub date: </w:t>
      </w:r>
      <w:r>
        <w:t>2026-07-16 05:47:48+00:00</w:t>
      </w:r>
      <w:r>
        <w:t xml:space="preserve">    </w:t>
      </w:r>
      <w:r>
        <w:rPr>
          <w:b/>
        </w:rPr>
        <w:t xml:space="preserve">DOI: </w:t>
      </w:r>
      <w:hyperlink r:id="rId366">
        <w:r>
          <w:rPr>
            <w:color w:val="1155CC"/>
            <w:u w:val="single"/>
          </w:rPr>
          <w:t>10.1002/adma.74144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水电解（PEMWE）与间歇性可再生能源相结合是绿色制氢的领先技术，但其大规模部署受到阳极析氧反应（OER）的缓慢动力学和高铱成本的阻碍。晶相调节提供了一种增强催化剂固有活性的合理方法，并且 IrO 具有明显的相活性相关性</w:t>
      </w:r>
      <w:r>
        <w:rPr>
          <w:vertAlign w:val="subscript"/>
        </w:rPr>
        <w:t>2</w:t>
      </w:r>
      <w:r>
        <w:t>在现实的 PEMWE 条件下仍然缺乏。在这里，我们合成了四种氧化铱晶相（亚稳态 1T-、3R-、Tri- 和传统金红石-IrO</w:t>
      </w:r>
      <w:r>
        <w:rPr>
          <w:vertAlign w:val="subscript"/>
        </w:rPr>
        <w:t>2</w:t>
      </w:r>
      <w:r>
        <w:t>）并展示了严格的相位依赖性 OER 活性趋势：1T-IrO</w:t>
      </w:r>
      <w:r>
        <w:rPr>
          <w:vertAlign w:val="subscript"/>
        </w:rPr>
        <w:t>2</w:t>
      </w:r>
      <w:r>
        <w:t>&gt; 3R-IrO</w:t>
      </w:r>
      <w:r>
        <w:rPr>
          <w:vertAlign w:val="subscript"/>
        </w:rPr>
        <w:t>2</w:t>
      </w:r>
      <w:r>
        <w:t>&gt; 三铁氧</w:t>
      </w:r>
      <w:r>
        <w:rPr>
          <w:vertAlign w:val="subscript"/>
        </w:rPr>
        <w:t>2</w:t>
      </w:r>
      <w:r>
        <w:t>&gt; 金红石-IrO</w:t>
      </w:r>
      <w:r>
        <w:rPr>
          <w:vertAlign w:val="subscript"/>
        </w:rPr>
        <w:t>2</w:t>
      </w:r>
      <w:r>
        <w:t>。 1T-IrO</w:t>
      </w:r>
      <w:r>
        <w:rPr>
          <w:vertAlign w:val="subscript"/>
        </w:rPr>
        <w:t>2</w:t>
      </w:r>
      <w:r>
        <w:t>催化剂的 PEMWE 性能达到 3 A cm</w:t>
      </w:r>
      <w:r>
        <w:t xml:space="preserve"> </w:t>
      </w:r>
      <w:r>
        <w:t>−2</w:t>
      </w:r>
      <w:r>
        <w:t xml:space="preserve"> </w:t>
      </w:r>
      <w:r>
        <w:t>仅 1.75 V，Ir 负载为 0.4 mg</w:t>
      </w:r>
      <w:r>
        <w:t xml:space="preserve"> </w:t>
      </w:r>
      <w:r>
        <w:t>红外线</w:t>
      </w:r>
      <w:r>
        <w:t xml:space="preserve"> </w:t>
      </w:r>
      <w:r>
        <w:t>厘米</w:t>
      </w:r>
      <w:r>
        <w:t xml:space="preserve"> </w:t>
      </w:r>
      <w:r>
        <w:t>−2</w:t>
      </w:r>
      <w:r>
        <w:t xml:space="preserve"> </w:t>
      </w:r>
      <w:r>
        <w:t>，超过美国能源部 2026 年目标。它还显示在 2 A cm 下可稳定运行 2000 小时</w:t>
      </w:r>
      <w:r>
        <w:t xml:space="preserve"> </w:t>
      </w:r>
      <w:r>
        <w:t>−2</w:t>
      </w:r>
      <w:r>
        <w:t xml:space="preserve"> </w:t>
      </w:r>
      <w:r>
        <w:t>并在 1000 小时的动态电流循环中保持耐用性。原位 XANES/EXAFS 分析将增强的活性与更高的 Ir 氧化态联系起来，而原位拉曼光谱 ide</w:t>
      </w:r>
    </w:p>
    <w:p>
      <w:pPr>
        <w:spacing w:before="0" w:after="200" w:lineRule="auto" w:line="276"/>
      </w:pPr>
      <w:r>
        <w:rPr>
          <w:b/>
        </w:rPr>
        <w:t xml:space="preserve">Abstract (EN): </w:t>
      </w:r>
      <w:r>
        <w:t>Proton exchange membrane water electrolysis (PEMWE) coupled with intermittent renewables is a leading technology for green hydrogen production, but its large‐scale deployment is impeded by the sluggish kinetics and high iridium cost of the anodic oxygen evolution reaction (OER). Crystal phase regulation offers a rational approach to enhance catalyst intrinsic activity, yet a clear phase‐activity correlation for IrO</w:t>
      </w:r>
      <w:r>
        <w:rPr>
          <w:vertAlign w:val="subscript"/>
        </w:rPr>
        <w:t>2</w:t>
      </w:r>
      <w:r>
        <w:t>under realistic PEMWE conditions remains lacking. Here, we synthesize four crystalline phases of iridium oxide (metastable 1T‐, 3R‐, Tri‐, and conventional Rutile‐IrO</w:t>
      </w:r>
      <w:r>
        <w:rPr>
          <w:vertAlign w:val="subscript"/>
        </w:rPr>
        <w:t>2</w:t>
      </w:r>
      <w:r>
        <w:t>) and demonstrate a strict phase‐dependent OER activity trend: 1T‐IrO</w:t>
      </w:r>
      <w:r>
        <w:rPr>
          <w:vertAlign w:val="subscript"/>
        </w:rPr>
        <w:t>2</w:t>
      </w:r>
      <w:r>
        <w:t>&amp;gt; 3R‐IrO</w:t>
      </w:r>
      <w:r>
        <w:rPr>
          <w:vertAlign w:val="subscript"/>
        </w:rPr>
        <w:t>2</w:t>
      </w:r>
      <w:r>
        <w:t>&amp;gt; Tri‐IrO</w:t>
      </w:r>
      <w:r>
        <w:rPr>
          <w:vertAlign w:val="subscript"/>
        </w:rPr>
        <w:t>2</w:t>
      </w:r>
      <w:r>
        <w:t>&amp;gt; Rutile‐IrO</w:t>
      </w:r>
      <w:r>
        <w:rPr>
          <w:vertAlign w:val="subscript"/>
        </w:rPr>
        <w:t>2</w:t>
      </w:r>
      <w:r>
        <w:t>. The 1T‐IrO</w:t>
      </w:r>
      <w:r>
        <w:rPr>
          <w:vertAlign w:val="subscript"/>
        </w:rPr>
        <w:t>2</w:t>
      </w:r>
      <w:r>
        <w:t>catalyst achieves a PEMWE performance of 3 A cm</w:t>
      </w:r>
      <w:r>
        <w:t xml:space="preserve"> </w:t>
      </w:r>
      <w:r>
        <w:t>−2</w:t>
      </w:r>
      <w:r>
        <w:t xml:space="preserve"> </w:t>
      </w:r>
      <w:r>
        <w:t>at only 1.75 V with an Ir loading of 0.4 mg</w:t>
      </w:r>
      <w:r>
        <w:t xml:space="preserve"> </w:t>
      </w:r>
      <w:r>
        <w:t>Ir</w:t>
      </w:r>
      <w:r>
        <w:t xml:space="preserve"> </w:t>
      </w:r>
      <w:r>
        <w:t>cm</w:t>
      </w:r>
      <w:r>
        <w:t xml:space="preserve"> </w:t>
      </w:r>
      <w:r>
        <w:t>−2</w:t>
      </w:r>
      <w:r>
        <w:t xml:space="preserve"> </w:t>
      </w:r>
      <w:r>
        <w:t>, exceeding the U.S. DOE 2026 target. It also shows stable operation for 2000 h at 2 A cm</w:t>
      </w:r>
      <w:r>
        <w:t xml:space="preserve"> </w:t>
      </w:r>
      <w:r>
        <w:t>−2</w:t>
      </w:r>
      <w:r>
        <w:t xml:space="preserve"> </w:t>
      </w:r>
      <w:r>
        <w:t>and maintains durability during 1000 h of dynamic current cycling. In situ XANES/EXAFS analyses link the enhanced activity to a higher Ir oxidation state, while in situ Raman spectroscopy identifies the reaction pathway through characteristic Ir‐*OH, Ir‐*O, and Ir‐*OOH intermediates. This work establishes a direct phase‐activity relationship for IrO</w:t>
      </w:r>
      <w:r>
        <w:rPr>
          <w:vertAlign w:val="subscript"/>
        </w:rPr>
        <w:t>2</w:t>
      </w:r>
      <w:r>
        <w:t>catalysts and highlights the promise of phase engineering for efficient energy conversion.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68">
        <w:r>
          <w:rPr>
            <w:color w:val="1155CC"/>
            <w:u w:val="single"/>
          </w:rPr>
          <w:t>评估全球辐射冷却以缓解全球变暖</w:t>
        </w:r>
      </w:hyperlink>
    </w:p>
    <w:p>
      <w:pPr>
        <w:spacing w:before="0" w:after="80"/>
      </w:pPr>
      <w:r>
        <w:rPr>
          <w:i/>
          <w:sz w:val="20"/>
        </w:rPr>
        <w:t>EN: Assessing Worldwide Radiative Cooling toward Global Warming Mitigation</w:t>
      </w:r>
    </w:p>
    <w:p>
      <w:pPr>
        <w:spacing w:before="0" w:after="120"/>
      </w:pPr>
      <w:r>
        <w:rPr>
          <w:b/>
        </w:rPr>
        <w:t xml:space="preserve">Source: </w:t>
      </w:r>
      <w:r>
        <w:t>ACS Energy Letters: Latest Articles (ACS Publications)</w:t>
      </w:r>
      <w:r>
        <w:t xml:space="preserve">    </w:t>
      </w:r>
      <w:r>
        <w:rPr>
          <w:b/>
        </w:rPr>
        <w:t xml:space="preserve">Pub date: </w:t>
      </w:r>
      <w:r>
        <w:t>2026-07-11 00:00:00+00:00</w:t>
      </w:r>
      <w:r>
        <w:t xml:space="preserve">    </w:t>
      </w:r>
      <w:r>
        <w:rPr>
          <w:b/>
        </w:rPr>
        <w:t xml:space="preserve">DOI: </w:t>
      </w:r>
      <w:hyperlink r:id="rId169">
        <w:r>
          <w:rPr>
            <w:color w:val="1155CC"/>
            <w:u w:val="single"/>
          </w:rPr>
          <w:t>10.1021/acsenergylett.6c01186</w:t>
        </w:r>
      </w:hyperlink>
    </w:p>
    <w:p>
      <w:pPr>
        <w:spacing w:before="0" w:after="120"/>
      </w:pPr>
      <w:r>
        <w:rPr>
          <w:b/>
        </w:rPr>
        <w:t xml:space="preserve">Notes: </w:t>
      </w:r>
      <w:r>
        <w:t>abstract_source=openalex</w:t>
      </w:r>
    </w:p>
    <w:p>
      <w:pPr>
        <w:spacing w:before="0" w:after="80" w:lineRule="auto" w:line="276"/>
      </w:pPr>
      <w:r>
        <w:rPr>
          <w:b/>
        </w:rPr>
        <w:t xml:space="preserve">摘要（ZH）: </w:t>
      </w:r>
      <w:r>
        <w:t>辐射冷却（RC）通过将热量辐射到外太空来被动冷却地面物体，为解决能源和环境挑战提供了一种无燃料的方法。然而，它在全球范围内缓解全球变暖的潜力仍然无法量化。在这里，我们以年度时间尺度研究全球 RC 功率，这对于实施基于 RC 的技术至关重要。我们提出了一个基于气象数据的模型，并量化了全球约 2000 个城市的 RC 功率。分析了全球 RC 电源的地理差异。温度下降超过 6 °C 的区域和 RC 功率超过 80 W m –2 的区域被突出显示。根据全年制冷功率，我们将全球RC地图分为五个代表性区域。此外，我们还估算了 RC 部署的 CO 2 减排量，并定义了重新平衡地球能源预算所需的理论阈值区域。这些结果为指导全球 RC 部署以缓解全球变暖提供了定量基础。</w:t>
      </w:r>
    </w:p>
    <w:p>
      <w:pPr>
        <w:spacing w:before="0" w:after="200" w:lineRule="auto" w:line="276"/>
      </w:pPr>
      <w:r>
        <w:rPr>
          <w:b/>
        </w:rPr>
        <w:t xml:space="preserve">Abstract (EN): </w:t>
      </w:r>
      <w:r>
        <w:t>Radiative cooling (RC) passively cools terrestrial objects by radiating heat into outer space, providing a fuel-free means for addressing energy and environmental challenges. However, its potential to mitigate global warming at the planetary scale remains unquantified. Herein, we examine global RC power on an annual time scale, which is vital for implementing RC-based technologies. We propose a meteorological data-based model and quantify the RC power across ∼2000 global cities. The geographic disparities of global RC power are analyzed. Regions with temperature reductions exceeding 6 °C and those with RC power over 80 W m –2 are highlighted. Based on the year-round cooling power, we categorize the global RC map into five representative regions. Furthermore, we estimate the CO 2 emission reduction of RC deployment and define a theoretical threshold area required to rebalance Earth's energy budget. These results provide a quantitative basis for guiding worldwide RC deployment toward global warming mitigation.</w:t>
      </w:r>
    </w:p>
    <w:p>
      <w:pPr>
        <w:spacing w:before="120" w:after="120"/>
      </w:pPr>
      <w:r>
        <w:rPr>
          <w:sz w:val="18"/>
        </w:rPr>
        <w:t>——————————————————————————————————————————————————————————————————————</w:t>
      </w:r>
    </w:p>
    <w:p>
      <w:pPr>
        <w:spacing w:before="160" w:after="40" w:line="240" w:lineRule="auto"/>
      </w:pPr>
      <w:r>
        <w:rPr>
          <w:b/>
        </w:rPr>
        <w:t xml:space="preserve">[2] </w:t>
      </w:r>
      <w:hyperlink r:id="rId367">
        <w:r>
          <w:rPr>
            <w:color w:val="1155CC"/>
            <w:u w:val="single"/>
          </w:rPr>
          <w:t>MOF中超耐碱[Ni36]纳米笼催化高可回收高效电催化合成己二酸</w:t>
        </w:r>
      </w:hyperlink>
    </w:p>
    <w:p>
      <w:pPr>
        <w:spacing w:before="0" w:after="80"/>
      </w:pPr>
      <w:r>
        <w:rPr>
          <w:i/>
          <w:sz w:val="20"/>
        </w:rPr>
        <w:t>EN: Highly recyclable and efficient electrocatalytic synthesis of adipic acid catalyzed by ultra-alkali-resistant [Ni36] nanocages in MOF</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368">
        <w:r>
          <w:rPr>
            <w:color w:val="1155CC"/>
            <w:u w:val="single"/>
          </w:rPr>
          <w:t>10.1093/nsr/nwag427</w:t>
        </w:r>
      </w:hyperlink>
    </w:p>
    <w:p>
      <w:pPr>
        <w:spacing w:before="0" w:after="120"/>
      </w:pPr>
      <w:r>
        <w:rPr>
          <w:b/>
        </w:rPr>
        <w:t xml:space="preserve">Notes: </w:t>
      </w:r>
      <w:r>
        <w:t>abstract_source=rss_oup</w:t>
      </w:r>
    </w:p>
    <w:p>
      <w:pPr>
        <w:spacing w:before="0" w:after="80" w:lineRule="auto" w:line="276"/>
      </w:pPr>
      <w:r>
        <w:rPr>
          <w:b/>
        </w:rPr>
        <w:t xml:space="preserve">摘要（ZH）: </w:t>
      </w:r>
      <w:r>
        <w:t>作为一种关键的工业化学品，己二酸 (AA) 可以通过在环境条件下利用电子作为清洁氧化剂对环己醇进行电催化氧化来合成。这种方法规避了传统石化工艺的能源密集型和对环境有害的性质，从而为 AA 生产提供了可持续的替代方案。然而，现有的电催化剂经常受到碱性介质中不稳定的困扰，并且它们的结构-活性关系仍然知之甚少。在这里，我们报告了一种新型的基于[Ni36]纳米笼的金属有机框架（[Ni9]-MOF），通过自下而上的策略从离散的[Ni9]簇合成，在强碱性（8 M NaOH）和酸性（1 M HCl）条件下表现出优异的稳定性。 [Ni9]-MOF 表现出优异的 AA 产量（1.61 V 下为 0.1239 mmol h−1 cm−2），并在 25 个循环中保持这种高活性，损失可以忽略不计，在耐久性方面超越了所有现有的高性能催化剂。机理研究揭示了通过环己酮、2-羟基环己酮和6-羟基己二酸的三步氧化途径。 DFT 计算表明 MOF 框架增强了活性 [Ni9] 位点的电荷密度，从而加速了反应动力学。这项工作不仅为构建高度稳定的MOF提供了合理的设计策略，而且提出了第一个基于MOF的AA合成电催化剂，为温和条件下可持续化学生产开辟了新途径。</w:t>
      </w:r>
    </w:p>
    <w:p>
      <w:pPr>
        <w:spacing w:before="0" w:after="200" w:lineRule="auto" w:line="276"/>
      </w:pPr>
      <w:r>
        <w:rPr>
          <w:b/>
        </w:rPr>
        <w:t xml:space="preserve">Abstract (EN): </w:t>
      </w:r>
      <w:r>
        <w:t>As a pivotal industrial chemical, adipic acid (AA) is synthesizable through the electrocatalytic oxidation of cyclohexanol under ambient conditions, utilizing electrons as a clean oxidant. This approach circumvents the energy-intensive and environmentally detrimental nature of conventional petrochemical processes, thereby offering a sustainable alternative for AA production. However, existing electrocatalysts are often plagued by instability in alkaline media, and their structure-activity relationships remain poorly understood. Here, we report a novel [Ni36] nanocage-based metal-organic framework ([Ni9]-MOF) synthesized via a bottom-up strategy from discrete [Ni9]-clusters, exhibiting excellent stability in both strong alkaline (8 M NaOH) and acidic (1 M HCl) conditions. [Ni9]-MOF demonstrates superior AA production (0.1239 mmol h−1 cm−2 at 1.61 V), and maintains this high activity 25 cycles with negligible loss, surpassing all prior high-performance catalysts in durability. Mechanistic studies reveal a three-step oxidation pathway via cyclohexanone, 2-hydroxycyclohexanone, and 6-hydroxyadipic acid. DFT calculations indicate the MOF framework enhances the charge density at the active [Ni9] site, accelerating reaction kinetics. This work not only provides a rational design strategy for constructing highly stable MOFs, but also presents the first MOF-based electrocatalyst for AA synthesis, opening new avenues for sustainable chemical production under mild conditions.</w:t>
      </w:r>
    </w:p>
    <w:p>
      <w:pPr>
        <w:spacing w:before="120" w:after="120"/>
      </w:pPr>
      <w:r>
        <w:rPr>
          <w:sz w:val="18"/>
        </w:rPr>
        <w:t>——————————————————————————————————————————————————————————————————————</w:t>
      </w:r>
    </w:p>
    <w:p>
      <w:pPr>
        <w:spacing w:before="160" w:after="40" w:line="240" w:lineRule="auto"/>
      </w:pPr>
      <w:r>
        <w:rPr>
          <w:b/>
        </w:rPr>
        <w:t xml:space="preserve">[3] </w:t>
      </w:r>
      <w:hyperlink r:id="rId369">
        <w:r>
          <w:rPr>
            <w:color w:val="1155CC"/>
            <w:u w:val="single"/>
          </w:rPr>
          <w:t>基于跨部门碳排放流量模型的电氢运一体化三阶段低碳规划框架</w:t>
        </w:r>
      </w:hyperlink>
    </w:p>
    <w:p>
      <w:pPr>
        <w:spacing w:before="0" w:after="80"/>
      </w:pPr>
      <w:r>
        <w:rPr>
          <w:i/>
          <w:sz w:val="20"/>
        </w:rPr>
        <w:t>EN: Cross-sectoral carbon emission flow model based three-stage low-carbon planning framework of integrated electricity‑hydrogen-transportation system</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370">
        <w:r>
          <w:rPr>
            <w:color w:val="1155CC"/>
            <w:u w:val="single"/>
          </w:rPr>
          <w:t>重新思考纯电动汽车快速充电规划中的空间单元：基于中观级别移动性的方法</w:t>
        </w:r>
      </w:hyperlink>
    </w:p>
    <w:p>
      <w:pPr>
        <w:spacing w:before="0" w:after="80"/>
      </w:pPr>
      <w:r>
        <w:rPr>
          <w:i/>
          <w:sz w:val="20"/>
        </w:rPr>
        <w:t>EN: Rethinking spatial units in BEV fast charging planning: A meso-level mobility-based approach</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3">
        <w:r>
          <w:rPr>
            <w:color w:val="1155CC"/>
            <w:u w:val="single"/>
          </w:rPr>
          <w:t>用于分体式空调系统节能分钟级控制的物理强化学习：真实硬件上的实验验证</w:t>
        </w:r>
      </w:hyperlink>
    </w:p>
    <w:p>
      <w:pPr>
        <w:spacing w:before="0" w:after="80"/>
      </w:pPr>
      <w:r>
        <w:rPr>
          <w:i/>
          <w:sz w:val="20"/>
        </w:rPr>
        <w:t>EN: Physics-informed reinforcement learning for energy-efficient minute-scale control of split-type air-conditioning systems: Experimental validation on real hardware</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71">
        <w:r>
          <w:rPr>
            <w:color w:val="1155CC"/>
            <w:u w:val="single"/>
          </w:rPr>
          <w:t>活化氢氧化镍上的氧促进有机分子电化学氧化脱氢</w:t>
        </w:r>
      </w:hyperlink>
    </w:p>
    <w:p>
      <w:pPr>
        <w:spacing w:before="0" w:after="80"/>
      </w:pPr>
      <w:r>
        <w:rPr>
          <w:i/>
          <w:sz w:val="20"/>
        </w:rPr>
        <w:t>EN: Activating oxygen on nickel (oxy)hydroxide to promote electrochemical oxidative dehydrogenation of organic molecules</w:t>
      </w:r>
    </w:p>
    <w:p>
      <w:pPr>
        <w:spacing w:before="0" w:after="120"/>
      </w:pPr>
      <w:r>
        <w:rPr>
          <w:b/>
        </w:rPr>
        <w:t xml:space="preserve">Source: </w:t>
      </w:r>
      <w:r>
        <w:t>National Science Review Advance Access</w:t>
      </w:r>
      <w:r>
        <w:t xml:space="preserve">    </w:t>
      </w:r>
      <w:r>
        <w:rPr>
          <w:b/>
        </w:rPr>
        <w:t xml:space="preserve">Pub date: </w:t>
      </w:r>
      <w:r>
        <w:t>2026-07-13 00:00:00+00:00</w:t>
      </w:r>
      <w:r>
        <w:t xml:space="preserve">    </w:t>
      </w:r>
      <w:r>
        <w:rPr>
          <w:b/>
        </w:rPr>
        <w:t xml:space="preserve">DOI: </w:t>
      </w:r>
      <w:hyperlink r:id="rId372">
        <w:r>
          <w:rPr>
            <w:color w:val="1155CC"/>
            <w:u w:val="single"/>
          </w:rPr>
          <w:t>10.1093/nsr/nwag434</w:t>
        </w:r>
      </w:hyperlink>
    </w:p>
    <w:p>
      <w:pPr>
        <w:spacing w:before="0" w:after="120"/>
      </w:pPr>
      <w:r>
        <w:rPr>
          <w:b/>
        </w:rPr>
        <w:t xml:space="preserve">Notes: </w:t>
      </w:r>
      <w:r>
        <w:t>abstract_source=rss_oup</w:t>
      </w:r>
    </w:p>
    <w:p>
      <w:pPr>
        <w:spacing w:before="0" w:after="80" w:lineRule="auto" w:line="276"/>
      </w:pPr>
      <w:r>
        <w:rPr>
          <w:b/>
        </w:rPr>
        <w:t xml:space="preserve">摘要（ZH）: </w:t>
      </w:r>
      <w:r>
        <w:t>有机分子的电化学氧化脱氢（ODH）正在成为化学制造传统方法的可持续替代方案，但这些反应的缓慢生产率仍然是一个关键挑战。在这里，我们报道了 NiV 层状双氢氧化物中钒离子 (V) 的选择性浸出，生成金属空位富集的 Ni(OH)2 (VM-Ni(OH)2)，其在醇/醛和伯胺的电化学 ODH 方面表现出显着改善。实验和计算表明，催化剂中的金属空位增加了Ni−O基序中氧的氧化还原活性，以接受电子和氢原子，从而加速有机分子的亲核ODH。此外，我们展示了生物质衍生的 5-羟甲基糠醛在电极面积为 200 cm2 的连续流电解槽中，在电流密度为 1.5 A cm−2 时的 ODH，在 VM-Ni(OH)2 上以 1420 mmol h−1 的速率产生 2,5-呋喃二甲酸。与之前提出的 V 掺杂的作用相反，我们的研究结果强调了金属空位在促进有机电氧化中的关键作用，从而为设计更具活性的电催化剂提供了基础理解。</w:t>
      </w:r>
    </w:p>
    <w:p>
      <w:pPr>
        <w:spacing w:before="0" w:after="200" w:lineRule="auto" w:line="276"/>
      </w:pPr>
      <w:r>
        <w:rPr>
          <w:b/>
        </w:rPr>
        <w:t xml:space="preserve">Abstract (EN): </w:t>
      </w:r>
      <w:r>
        <w:t>Electrochemical oxidative dehydrogenation (ODH) of organic molecules is emerging as a sustainable alternative to conventional approaches for chemical manufacturing, but the slow production rate of these reactions remains a key challenge. Here we report the selective leaching of vanadium ion (V) in NiV-layered double hydroxide to generate metal vacancy enriched Ni(OH)2 (VM-Ni(OH)2), which exhibits significant improvement in electrochemical ODH of alcohols/aldehydes and primary amines. Experiments and calculations demonstrated that metal vacancies in the catalyst increase the redox activity of oxygen in Ni−O motifs to accept electrons and hydrogen atoms, thus accelerating nucleophilic ODH of organic molecules. Furthermore, we showcased the ODH of biomass-derived 5-hydroxymethylfurfural at current density of 1.5 A cm−2 in a continuous-flow electrolyzer with electrode area of 200 cm2, producing 2,5-furandicarboxylic acid at rate of 1420 mmol h−1 over VM-Ni(OH)2. In contrast to the previously proposed role of V-doping, our findings highlight the critical role of metal vacancies in promoting organic electrooxidation, thereby providing fundamental understanding for the design of more active electrocatalysts.</w:t>
      </w:r>
    </w:p>
    <w:p>
      <w:pPr>
        <w:spacing w:before="120" w:after="120"/>
      </w:pPr>
      <w:r>
        <w:rPr>
          <w:sz w:val="18"/>
        </w:rPr>
        <w:t>——————————————————————————————————————————————————————————————————————</w:t>
      </w:r>
    </w:p>
    <w:p>
      <w:pPr>
        <w:spacing w:before="160" w:after="40" w:line="240" w:lineRule="auto"/>
      </w:pPr>
      <w:r>
        <w:rPr>
          <w:b/>
        </w:rPr>
        <w:t xml:space="preserve">[7] </w:t>
      </w:r>
      <w:hyperlink r:id="rId373">
        <w:r>
          <w:rPr>
            <w:color w:val="1155CC"/>
            <w:u w:val="single"/>
          </w:rPr>
          <w:t>协调规划欧洲充电基础设施和能源系统，以实现最佳的 V1G 和 V2G 部署</w:t>
        </w:r>
      </w:hyperlink>
    </w:p>
    <w:p>
      <w:pPr>
        <w:spacing w:before="0" w:after="80"/>
      </w:pPr>
      <w:r>
        <w:rPr>
          <w:i/>
          <w:sz w:val="20"/>
        </w:rPr>
        <w:t>EN: Coordinated planning of European charging infrastructure and energy system for optimal V1G and V2G deployment</w:t>
      </w:r>
    </w:p>
    <w:p>
      <w:pPr>
        <w:spacing w:before="0" w:after="120"/>
      </w:pPr>
      <w:r>
        <w:rPr>
          <w:b/>
        </w:rPr>
        <w:t xml:space="preserve">Source: </w:t>
      </w:r>
      <w:r>
        <w:t>Nature Energy</w:t>
      </w:r>
      <w:r>
        <w:t xml:space="preserve">    </w:t>
      </w:r>
      <w:r>
        <w:rPr>
          <w:b/>
        </w:rPr>
        <w:t xml:space="preserve">Pub date: </w:t>
      </w:r>
      <w:r>
        <w:t>2026-07-14 00:00:00+00:00</w:t>
      </w:r>
      <w:r>
        <w:t xml:space="preserve">    </w:t>
      </w:r>
      <w:r>
        <w:rPr>
          <w:b/>
        </w:rPr>
        <w:t xml:space="preserve">DOI: </w:t>
      </w:r>
      <w:hyperlink r:id="rId374">
        <w:r>
          <w:rPr>
            <w:color w:val="1155CC"/>
            <w:u w:val="single"/>
          </w:rPr>
          <w:t>10.1038/s41560-026-02107-5</w:t>
        </w:r>
      </w:hyperlink>
    </w:p>
    <w:p>
      <w:pPr>
        <w:spacing w:before="0" w:after="120"/>
      </w:pPr>
      <w:r>
        <w:rPr>
          <w:b/>
        </w:rPr>
        <w:t xml:space="preserve">Notes: </w:t>
      </w:r>
      <w:r>
        <w:t>abstract_source=nature_html</w:t>
      </w:r>
    </w:p>
    <w:p>
      <w:pPr>
        <w:spacing w:before="0" w:after="80" w:lineRule="auto" w:line="276"/>
      </w:pPr>
      <w:r>
        <w:rPr>
          <w:b/>
        </w:rPr>
        <w:t xml:space="preserve">摘要（ZH）: </w:t>
      </w:r>
      <w:r>
        <w:t>欧洲的汽车充电基础设施目标目前依赖于统一的基准，忽视了未来单向智能充电（V1G）和车辆到电网（V2G）技术可以提供的灵活性。为了解决这一差距，我们在这里明确地在成本最小化的欧洲能源系统模型中表示充电基础设施及其成本，从而使充电灵活性水平（不受控制的、V1G 和 V2G）能够竞争。我们发现，V1G 节省了大部分系统成本（19-420 亿欧元 yr−1；2.2–4.5%），并大幅降低了基础设施要求，而 V2G 提供了高达 25 亿欧元 yr−1 的边际节省，但产生了大量平衡市场收入（64 亿欧元 yr−1）。在光伏主导系统和太阳能和风能联合发电稀缺的有限电网扩展场景中，V2G 部署最具成本效益。各国的充电要求各不相同，反映了利用率或灵活性最大化，这表明统一的欧盟目标存在高估某些地区基础设施需求的风险，同时限制了其他地区智能充电的好处。</w:t>
      </w:r>
    </w:p>
    <w:p>
      <w:pPr>
        <w:spacing w:before="0" w:after="200" w:lineRule="auto" w:line="276"/>
      </w:pPr>
      <w:r>
        <w:rPr>
          <w:b/>
        </w:rPr>
        <w:t xml:space="preserve">Abstract (EN): </w:t>
      </w:r>
      <w:r>
        <w:t>Vehicle charging infrastructure targets in Europe currently rely on uniform benchmarks, overlooking the flexibility that could be offered by future unidirectional smart charging (V1G) and vehicle-to-grid (V2G) technologies. To address this gap, here we explicitly represent charging infrastructure and its costs in a cost-minimizing European energy system model, enabling the level of charging flexibility—uncontrolled, V1G and V2G—to compete. We find that V1G captures the majority of system cost savings (€19–42 billion yr−1; 2.2–4.5%) and substantially reduces infrastructure requirements, whereas V2G provides marginal savings of up to €2.5 billion yr−1 but generates substantial balancing market revenues (€6.4 billion yr−1). V2G deployment is most cost-effective in photovoltaic-dominated systems and limited-grid-expansion scenarios where combined solar and wind production is scarce. Charging requirements vary across countries, reflecting either utilization or flexibility maximization, indicating that uniform European Union targets risk overestimating infrastructure needs in some regions while limiting the benefits of smart charging in others.</w:t>
      </w:r>
    </w:p>
    <w:p>
      <w:pPr>
        <w:spacing w:before="120" w:after="120"/>
      </w:pPr>
      <w:r>
        <w:rPr>
          <w:sz w:val="18"/>
        </w:rPr>
        <w:t>——————————————————————————————————————————————————————————————————————</w:t>
      </w:r>
    </w:p>
    <w:p>
      <w:pPr>
        <w:spacing w:before="160" w:after="40" w:line="240" w:lineRule="auto"/>
      </w:pPr>
      <w:r>
        <w:rPr>
          <w:b/>
        </w:rPr>
        <w:t xml:space="preserve">[8] </w:t>
      </w:r>
      <w:hyperlink r:id="rId375">
        <w:r>
          <w:rPr>
            <w:color w:val="1155CC"/>
            <w:u w:val="single"/>
          </w:rPr>
          <w:t>指导极端天气期间电力系统备用投资的弹性指标</w:t>
        </w:r>
      </w:hyperlink>
    </w:p>
    <w:p>
      <w:pPr>
        <w:spacing w:before="0" w:after="80"/>
      </w:pPr>
      <w:r>
        <w:rPr>
          <w:i/>
          <w:sz w:val="20"/>
        </w:rPr>
        <w:t>EN: Resilience metrics to guide back-up investments in the power system during extreme weather</w:t>
      </w:r>
    </w:p>
    <w:p>
      <w:pPr>
        <w:spacing w:before="0" w:after="120"/>
      </w:pPr>
      <w:r>
        <w:rPr>
          <w:b/>
        </w:rPr>
        <w:t xml:space="preserve">Source: </w:t>
      </w:r>
      <w:r>
        <w:t>Nature Sustainability</w:t>
      </w:r>
      <w:r>
        <w:t xml:space="preserve">    </w:t>
      </w:r>
      <w:r>
        <w:rPr>
          <w:b/>
        </w:rPr>
        <w:t xml:space="preserve">Pub date: </w:t>
      </w:r>
      <w:r>
        <w:t>2026-07-14 00:00:00+00:00</w:t>
      </w:r>
      <w:r>
        <w:t xml:space="preserve">    </w:t>
      </w:r>
      <w:r>
        <w:rPr>
          <w:b/>
        </w:rPr>
        <w:t xml:space="preserve">DOI: </w:t>
      </w:r>
      <w:hyperlink r:id="rId376">
        <w:r>
          <w:rPr>
            <w:color w:val="1155CC"/>
            <w:u w:val="single"/>
          </w:rPr>
          <w:t>10.1038/s41893-026-01897-6</w:t>
        </w:r>
      </w:hyperlink>
    </w:p>
    <w:p>
      <w:pPr>
        <w:spacing w:before="0" w:after="120"/>
      </w:pPr>
      <w:r>
        <w:rPr>
          <w:b/>
        </w:rPr>
        <w:t xml:space="preserve">Notes: </w:t>
      </w:r>
      <w:r>
        <w:t>abstract_source=nature_html</w:t>
      </w:r>
    </w:p>
    <w:p>
      <w:pPr>
        <w:spacing w:before="0" w:after="80" w:lineRule="auto" w:line="276"/>
      </w:pPr>
      <w:r>
        <w:rPr>
          <w:b/>
        </w:rPr>
        <w:t xml:space="preserve">摘要（ZH）: </w:t>
      </w:r>
      <w:r>
        <w:t>将可再生能源纳入净零电力系统时，供电安全是一个常见且重要的问题。极端天气影响需求和供应，导致电力系统压力；在欧洲，这种压力在整个大陆范围内蔓延，超出了气象根源。在这里，我们使用基于影子价格的方法来识别称为系统定义事件的压力升高时期，并分析其对电力系统的影响。通过对不同类型的系统定义事件进行分类，我们确定了电力系统运行和规划面临的挑战。至关重要的是，我们发现需要足够的弹性备份（电力）能力，由于天气变化和天气引发的风险，其财务可行性不稳定。此外，我们通过不同的指标和压力测试来区分短期和长期的弹性挑战（从多日到年度规模），并将两者纳入未来的能源建模评估中。我们在开放能源系统模型（PyPSA-Eur）中的方法和实施可以重新应用于其他系统，并帮助研究人员和政策制定者建立更具弹性和充足的能源系统。</w:t>
      </w:r>
    </w:p>
    <w:p>
      <w:pPr>
        <w:spacing w:before="0" w:after="200" w:lineRule="auto" w:line="276"/>
      </w:pPr>
      <w:r>
        <w:rPr>
          <w:b/>
        </w:rPr>
        <w:t xml:space="preserve">Abstract (EN): </w:t>
      </w:r>
      <w:r>
        <w:t>Security of supply is a common and important concern when integrating renewables in net-zero power systems. Extreme weather affects both demand and supply, leading to power system stress; in Europe this stress spreads continentally beyond the meteorological root cause. Here we use an approach based on shadow prices to identify periods of elevated stress called system-defining events and analyse their impact on the power system. By classifying different types of system-defining events, we identify challenges to power system operation and planning. Crucially, we find the need for sufficient resilience back-up (power) capacities whose financial viability is precarious owing to weather variability and weather-induced risk. Furthermore, we disentangle short- and long-term resilience challenges (from multi-day to annual scale) with distinct metrics and stress tests to incorporate both into future energy modelling assessments. Our methodology and implementation in an open energy system model (PyPSA-Eur) can be re-applied to other systems and help researchers and policymakers in building more resilient and adequate energy systems.</w:t>
      </w:r>
    </w:p>
    <w:p>
      <w:pPr>
        <w:spacing w:before="120" w:after="120"/>
      </w:pPr>
      <w:r>
        <w:rPr>
          <w:sz w:val="18"/>
        </w:rPr>
        <w:t>——————————————————————————————————————————————————————————————————————</w:t>
      </w:r>
    </w:p>
    <w:p>
      <w:pPr>
        <w:spacing w:before="160" w:after="40" w:line="240" w:lineRule="auto"/>
      </w:pPr>
      <w:r>
        <w:rPr>
          <w:b/>
        </w:rPr>
        <w:t xml:space="preserve">[9] </w:t>
      </w:r>
      <w:hyperlink r:id="rId377">
        <w:r>
          <w:rPr>
            <w:color w:val="1155CC"/>
            <w:u w:val="single"/>
          </w:rPr>
          <w:t>结合碳管理技术的氢基炼钢效率驱动经济分析</w:t>
        </w:r>
      </w:hyperlink>
    </w:p>
    <w:p>
      <w:pPr>
        <w:spacing w:before="0" w:after="80"/>
      </w:pPr>
      <w:r>
        <w:rPr>
          <w:i/>
          <w:sz w:val="20"/>
        </w:rPr>
        <w:t>EN: An efficiency driving economic analysis for hydrogen-based steel making integrated with carbon management technologies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78">
        <w:r>
          <w:rPr>
            <w:color w:val="1155CC"/>
            <w:u w:val="single"/>
          </w:rPr>
          <w:t>空间可再生能源稀缺性和灵活性限制下密集城市电力系统脱碳的条件成本排放范围</w:t>
        </w:r>
      </w:hyperlink>
    </w:p>
    <w:p>
      <w:pPr>
        <w:spacing w:before="0" w:after="80"/>
      </w:pPr>
      <w:r>
        <w:rPr>
          <w:i/>
          <w:sz w:val="20"/>
        </w:rPr>
        <w:t>EN: Conditional cost–emission envelopes for decarbonizing dense urban power systems under spatial renewable scarcity and flexibility constraints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79">
        <w:r>
          <w:rPr>
            <w:color w:val="1155CC"/>
            <w:u w:val="single"/>
          </w:rPr>
          <w:t>从部门耦合到碳中和：通过印度综合、多层次的脱碳战略模拟能源转型的未来</w:t>
        </w:r>
      </w:hyperlink>
    </w:p>
    <w:p>
      <w:pPr>
        <w:spacing w:before="0" w:after="80"/>
      </w:pPr>
      <w:r>
        <w:rPr>
          <w:i/>
          <w:sz w:val="20"/>
        </w:rPr>
        <w:t>EN: From sector coupling to carbon neutrality: Modeling the future of energy transitions through integrated, multi-level decarbonization strategies for India</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80">
        <w:r>
          <w:rPr>
            <w:color w:val="1155CC"/>
            <w:u w:val="single"/>
          </w:rPr>
          <w:t>耐用且可扩展的机械变色智能窗户，可实现按需隐私和节能</w:t>
        </w:r>
      </w:hyperlink>
    </w:p>
    <w:p>
      <w:pPr>
        <w:spacing w:before="0" w:after="80"/>
      </w:pPr>
      <w:r>
        <w:rPr>
          <w:i/>
          <w:sz w:val="20"/>
        </w:rPr>
        <w:t>EN: Durable and Scalable Mechanochromic Smart Windows for On-Demand Privacy and Energy Saving</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381">
        <w:r>
          <w:rPr>
            <w:color w:val="1155CC"/>
            <w:u w:val="single"/>
          </w:rPr>
          <w:t>10.1021/acsami.6c09579</w:t>
        </w:r>
      </w:hyperlink>
    </w:p>
    <w:p>
      <w:pPr>
        <w:spacing w:before="0" w:after="120"/>
      </w:pPr>
      <w:r>
        <w:rPr>
          <w:b/>
        </w:rPr>
        <w:t xml:space="preserve">Notes: </w:t>
      </w:r>
      <w:r>
        <w:t>abstract_source=pubmed</w:t>
      </w:r>
    </w:p>
    <w:p>
      <w:pPr>
        <w:spacing w:before="0" w:after="80" w:lineRule="auto" w:line="276"/>
      </w:pPr>
      <w:r>
        <w:rPr>
          <w:b/>
        </w:rPr>
        <w:t xml:space="preserve">摘要（ZH）: </w:t>
      </w:r>
      <w:r>
        <w:t>智能窗户可以通过动态调节光透射率来提供按需隐私并提高建筑能源效率，但当前大多数系统的调制能力有限且长期耐用性较差。机械致变色智能窗具有结构简单、响应快速、静态模式下零功耗等颇具前景的优势。在这里，我们提出了一种用于智能窗的可扩展的全硅机械变色弹性体（ASMCE），它通过微米孔散射策略实现了跨可见光和近红外光谱的宽带光学调制。除了有效的可见光调制之外，该设计还提供了 0-80% 应变下 75.8% 的超高太阳能调制能力 (ΔTsol)，这是智能窗户报告的最高值之​​一。 ASMCE 由嵌入聚甲基倍半硅氧烷 (PMSQ) 微球的聚二甲基硅氧烷 (PDMS) 基质组成，兼容米级卷对卷制造，成本低廉，确保实际应用的可扩展性。在加速老化（80°C/90% RH 下 190 天）、户外暴露（1 年）和循环拉伸（1000 次循环）下表现出优异的耐用性。热测试和建筑规模模拟证实了卓越的按需室内光/温度调节和节能效果。这项工作介绍了一种耐用、可扩展的智能窗户平台，用于高性能光学调制和可持续建筑能源管理。</w:t>
      </w:r>
    </w:p>
    <w:p>
      <w:pPr>
        <w:spacing w:before="0" w:after="200" w:lineRule="auto" w:line="276"/>
      </w:pPr>
      <w:r>
        <w:rPr>
          <w:b/>
        </w:rPr>
        <w:t xml:space="preserve">Abstract (EN): </w:t>
      </w:r>
      <w:r>
        <w:t>Smart windows can offer on-demand privacy and enhance building energy efficiency by dynamically regulating optical transmittance, but most current systems have limited modulation ability and poor long-term durability. Mechanochromic smart windows offer promising advantages, including simple construction, rapid response, and zero power consumption in static mode. Here, we present a scalable all-silicone mechanochromic elastomer (ASMCE) for a smart window that achieves broadband optical modulation across the visible and near-infrared spectrum via a micrometer-pore scattering strategy. Beyond effective visible light modulation, this design delivers an ultrahigh solar modulation ability (ΔTsol) of 75.8% over 0-80% strain, one of the highest values reported for smart windows. The ASMCE comprises a polydimethylsiloxane (PDMS) matrix embedded with polymethylsilsesquioxane (PMSQ) microspheres with compatibility for meter-scale roll-to-roll fabrication at low cost, ensuring scalability for real-world applications. Excellent durability is demonstrated under accelerated aging (190 days at 80 °C/90% RH), outdoor exposure (1 year), and cyclic stretching (1000 cycles). Thermal tests and building-scale simulations confirm superior on-demand indoor light/temperature regulation and energy savings. This work introduces a durable, scalable smart window platform for high-performance optical modulation and sustainable building energy management.</w:t>
      </w:r>
    </w:p>
    <w:p>
      <w:pPr>
        <w:spacing w:before="120" w:after="120"/>
      </w:pPr>
      <w:r>
        <w:rPr>
          <w:sz w:val="18"/>
        </w:rPr>
        <w:t>——————————————————————————————————————————————————————————————————————</w:t>
      </w:r>
    </w:p>
    <w:p>
      <w:pPr>
        <w:spacing w:before="160" w:after="40" w:line="240" w:lineRule="auto"/>
      </w:pPr>
      <w:r>
        <w:rPr>
          <w:b/>
        </w:rPr>
        <w:t xml:space="preserve">[13] </w:t>
      </w:r>
      <w:hyperlink r:id="rId382">
        <w:r>
          <w:rPr>
            <w:color w:val="1155CC"/>
            <w:u w:val="single"/>
          </w:rPr>
          <w:t>铝电解过程的动态建模和能量优化：多物理场仿真和能耗预测方法的系统综述</w:t>
        </w:r>
      </w:hyperlink>
    </w:p>
    <w:p>
      <w:pPr>
        <w:spacing w:before="0" w:after="80"/>
      </w:pPr>
      <w:r>
        <w:rPr>
          <w:i/>
          <w:sz w:val="20"/>
        </w:rPr>
        <w:t>EN: Dynamic modeling and energy optimization in aluminum electrolysis process: a systematic review of multi-physics simulation and energy consumption forecasting approaches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83">
        <w:r>
          <w:rPr>
            <w:color w:val="1155CC"/>
            <w:u w:val="single"/>
          </w:rPr>
          <w:t>ZIF 衍生多孔碳中的两配位 Cu(I) 位点可实现 CO/N2 分离的高 CO 工作能力</w:t>
        </w:r>
      </w:hyperlink>
    </w:p>
    <w:p>
      <w:pPr>
        <w:spacing w:before="0" w:after="80"/>
      </w:pPr>
      <w:r>
        <w:rPr>
          <w:i/>
          <w:sz w:val="20"/>
        </w:rPr>
        <w:t>EN: Two-coordinate Cu(I) sites in ZIF-derived porous carbon enable high CO working capacity for CO/N₂ separation</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有效分离一氧化碳 (CO) 和氮气 (N2) 对于回收钢铁工业副产气体和推进碳中性化学品生产至关重要。然而，目前的Cu(I)基π络合吸附剂存在结合强度过高和工作容量低的问题。在这里，我们报道了热分散的开放金属位点（OMS），具有两个配位的Cu（I）单元（= C–O）CuCl，锚定在沸石咪唑酯框架（ZIF）衍生的含氧多孔碳（ZPC）上，其中Cu·CO相互作用强度被精确调节。优化的吸附剂 15Cu(I)/ZPC-1 将 15 mmol g⁻1 Cu(I) 分散在 10–30 Å 孔中，可提供 3.21 mmol g⁻1 (0.1–1 bar, 298 K) 的高 CO 工作容量，这是已报道的可回收 Cu(I) 基吸附剂中最高的。分析表明，低对称三角 ( ≡ C–O)CuCl·CO 配位几何结构削弱了 π 背键合，增强了工作能力。工艺模拟预测 15Cu(I)/ZPC-1 可实现高生产率和低能耗。这项工作将多孔碳中的 OMS 调节作为高效 CO/N2 分离的有效策略。</w:t>
      </w:r>
    </w:p>
    <w:p>
      <w:pPr>
        <w:spacing w:before="0" w:after="200" w:lineRule="auto" w:line="276"/>
      </w:pPr>
      <w:r>
        <w:rPr>
          <w:b/>
        </w:rPr>
        <w:t xml:space="preserve">Abstract (EN): </w:t>
      </w:r>
      <w:r>
        <w:t>Efficient separation of carbon monoxide (CO) from nitrogen (N₂) is vital for recycling steel industry by-product gases and advancing carbon-neutral chemical production. However, current Cu(I)-based π-complexation adsorbents suffer from excessive binding strength and low working capacity. Here we report thermally-dispersed open metal sites (OMS) with two-coordinated Cu(I) units, ( ≡ C–O)CuCl, anchored onto zeolite imidazolate frameworks (ZIFs) derived oxygen-containing porous carbons (ZPC), where the Cu···CO interaction strength is precisely moderated. The optimized adsorbent, 15Cu(I)/ZPC-1, with 15 mmol g⁻¹ Cu(I) dispersed in 10–30 Å pores, delivers a high CO working capacity of 3.21 mmol g⁻¹ (0.1–1 bar, 298 K), the highest among reported recyclable Cu(I)-based adsorbents. The analyses reveal that a low-symmetric trigonal ( ≡ C–O)CuCl···CO coordination geometry weakens π-backbonding, enhances working capacity. Process simulations predict that 15Cu(I)/ZPC-1 enables high productivity and low energy consumption. This work establishes OMS regulation in porous carbon as an effective strategy for efficient CO/N₂ separation.</w:t>
      </w:r>
    </w:p>
    <w:p>
      <w:pPr>
        <w:spacing w:before="120" w:after="120"/>
      </w:pPr>
      <w:r>
        <w:rPr>
          <w:sz w:val="18"/>
        </w:rPr>
        <w:t>——————————————————————————————————————————————————————————————————————</w:t>
      </w:r>
    </w:p>
    <w:p>
      <w:pPr>
        <w:spacing w:before="160" w:after="40" w:line="240" w:lineRule="auto"/>
      </w:pPr>
      <w:r>
        <w:rPr>
          <w:b/>
        </w:rPr>
        <w:t xml:space="preserve">[15] </w:t>
      </w:r>
      <w:hyperlink r:id="rId328">
        <w:r>
          <w:rPr>
            <w:color w:val="1155CC"/>
            <w:u w:val="single"/>
          </w:rPr>
          <w:t>用于高效节能气体分离的可扩展准纯 MOF 膜</w:t>
        </w:r>
      </w:hyperlink>
    </w:p>
    <w:p>
      <w:pPr>
        <w:spacing w:before="0" w:after="80"/>
      </w:pPr>
      <w:r>
        <w:rPr>
          <w:i/>
          <w:sz w:val="20"/>
        </w:rPr>
        <w:t>EN: Scalable quasi-pure MOF membranes for energy-efficient gas separations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329">
        <w:r>
          <w:rPr>
            <w:color w:val="1155CC"/>
            <w:u w:val="single"/>
          </w:rPr>
          <w:t>10.1038/s41586-026-10655-9</w:t>
        </w:r>
      </w:hyperlink>
    </w:p>
    <w:p>
      <w:pPr>
        <w:spacing w:before="0" w:after="120"/>
      </w:pPr>
      <w:r>
        <w:rPr>
          <w:b/>
        </w:rPr>
        <w:t xml:space="preserve">Notes: </w:t>
      </w:r>
      <w:r>
        <w:t>abstract_source=nature_html</w:t>
      </w:r>
    </w:p>
    <w:p>
      <w:pPr>
        <w:spacing w:before="0" w:after="80" w:lineRule="auto" w:line="276"/>
      </w:pPr>
      <w:r>
        <w:rPr>
          <w:b/>
        </w:rPr>
        <w:t xml:space="preserve">摘要（ZH）: </w:t>
      </w:r>
      <w:r>
        <w:t>金属有机骨架 (MOF) 膜在解决能源密集型气体分离的能源问题方面具有巨大潜力1,2,3,4,5。导出方便的可扩展协议对于将基于 MOF 的膜成功转化和部署到实际应用中至关重要6,7,8。在这里，我们报告了一种新的膜结构，即准纯 MOF 膜（&gt; 90 vol% MOF），可使用行业可靠的溶液加工技术进行大规模制造，并提供接近相关纯 MOF 膜的分离性能，充分发挥 MOF 的内在潜力。这一进步是通过合并相方法实现的，该方法将 MOF 和聚合物融合成单个伪连续相，并提供具有类似聚合物表面特性的 MOF，即使在极端固体浓度下也能实现流变控制的絮凝网络。代表性基准 MOF（ZIF-67、CALF-20 和 CuBDC）被制成准纯膜，并对其基本分离进行了评估，包括丙烯/丙烷、乙烯/乙烷、碳捕获和氢气纯化。工业工厂实现了准纯 (110) 取向 ZIF-67 膜的连续卷对卷制造，展示了工业相关性。对于丙烯/丙烷分离，这些膜的丙烯渗透性约为 160 barrer，混合气体选择性约为 100，足以生产聚合物级丙烯，根据技术经济分析，与蒸馏相比，纯化成本降低 80%。这项研究解决了绩效之间长期存在的差距</w:t>
      </w:r>
    </w:p>
    <w:p>
      <w:pPr>
        <w:spacing w:before="0" w:after="200" w:lineRule="auto" w:line="276"/>
      </w:pPr>
      <w:r>
        <w:rPr>
          <w:b/>
        </w:rPr>
        <w:t xml:space="preserve">Abstract (EN): </w:t>
      </w:r>
      <w:r>
        <w:t>Metal–organic framework (MOF) membranes offer great potential to address the energy penalties of energy-intensive gas separations1,2,3,4,5. Deriving convenient scalable protocols is essential for the successful translation and deployment of MOF-based membranes into practical applications6,7,8. Here we report a new membrane architecture, the quasi-pure MOF membrane (&gt;90 vol% MOF), manufacturable at scale using industry-reliable solution-processing techniques and offering separation performance approaching that of associated pure MOF membranes, fully realizing the MOF intrinsic potential. This advance is enabled by a merged-phase approach fusing MOFs and polymers into a single pseudo-continuous phase and proffering MOFs with polymer-like surface properties, allowing rheologically controlled flocculated networks even at extreme solid concentrations. Representative benchmark MOFs (ZIF-67, CALF-20 and CuBDC) were fabricated into quasi-pure membranes and evaluated for essential separations, including propylene/propane, ethylene/ethane, carbon capture and hydrogen purification. Demonstrating industrial relevance, continuous roll-to-roll fabrication of quasi-pure (110)-oriented ZIF-67 membranes was achieved at an industrial plant. For propylene/propane separation, these membranes achieve a propylene permeability of about 160 barrer and mixed-gas selectivity of about 100—sufficient to produce polymer-grade propylene, offering an 80% purification cost reduction compared with distillation based on techno-economic analysis. This study addresses the long-standing gap between performance and scalability of crystalline membranes for demanding molecular separations.</w:t>
      </w:r>
    </w:p>
    <w:p>
      <w:pPr>
        <w:spacing w:before="120" w:after="120"/>
      </w:pPr>
      <w:r>
        <w:rPr>
          <w:sz w:val="18"/>
        </w:rPr>
        <w:t>——————————————————————————————————————————————————————————————————————</w:t>
      </w:r>
    </w:p>
    <w:p>
      <w:pPr>
        <w:spacing w:before="160" w:after="40" w:line="240" w:lineRule="auto"/>
      </w:pPr>
      <w:r>
        <w:rPr>
          <w:b/>
        </w:rPr>
        <w:t xml:space="preserve">[16] </w:t>
      </w:r>
      <w:hyperlink r:id="rId384">
        <w:r>
          <w:rPr>
            <w:color w:val="1155CC"/>
            <w:u w:val="single"/>
          </w:rPr>
          <w:t>欧洲湿地高度分散，恢复需求不均匀</w:t>
        </w:r>
      </w:hyperlink>
    </w:p>
    <w:p>
      <w:pPr>
        <w:spacing w:before="0" w:after="80"/>
      </w:pPr>
      <w:r>
        <w:rPr>
          <w:i/>
          <w:sz w:val="20"/>
        </w:rPr>
        <w:t>EN: Highly fragmented European wetlands with uneven restoration needs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385">
        <w:r>
          <w:rPr>
            <w:color w:val="1155CC"/>
            <w:u w:val="single"/>
          </w:rPr>
          <w:t>10.1038/s41586-026-10760-9</w:t>
        </w:r>
      </w:hyperlink>
    </w:p>
    <w:p>
      <w:pPr>
        <w:spacing w:before="0" w:after="120"/>
      </w:pPr>
      <w:r>
        <w:rPr>
          <w:b/>
        </w:rPr>
        <w:t xml:space="preserve">Notes: </w:t>
      </w:r>
      <w:r>
        <w:t>abstract_source=nature_html</w:t>
      </w:r>
    </w:p>
    <w:p>
      <w:pPr>
        <w:spacing w:before="0" w:after="80" w:lineRule="auto" w:line="276"/>
      </w:pPr>
      <w:r>
        <w:rPr>
          <w:b/>
        </w:rPr>
        <w:t xml:space="preserve">摘要（ZH）: </w:t>
      </w:r>
      <w:r>
        <w:t>欧洲湿地储存了大量的碳储备1，但几个世纪的土地使用已经侵蚀了碳储量和生物多样性2。欧盟 (EU) 自然恢复法 (NRL)3 要求到 2030 年至少恢复 30% 不处于“良好状态”的湿地生态系统，但有关湿地类型和状况的空间一致信息仍然稀缺。利用 10 米卫星图像和机器学习，我们绘制了 38 个欧洲国家的六种半自然开放湿地类型和土地利用干扰情况。湿地高度分散，估计有 27-33% 的湿地面积出现在地图定义的斑块中，相对于未受干扰的基线，土壤碳可能损失 2-eq。将受干扰区域转化为 NRL 恢复目标后，我们发现一些国家的承诺与我们的 2030 年估计基本一致，而其他国家则缺乏量化的承诺，尽管我们的地图确定了大量候选区域。由此产生的标准化高分辨率产品提供了根据 NRL 量身定制的欧盟范围基线，以及用于将卫星测绘与恢复目标联系起来的可重复模板，支持进度跟踪。</w:t>
      </w:r>
    </w:p>
    <w:p>
      <w:pPr>
        <w:spacing w:before="0" w:after="200" w:lineRule="auto" w:line="276"/>
      </w:pPr>
      <w:r>
        <w:rPr>
          <w:b/>
        </w:rPr>
        <w:t xml:space="preserve">Abstract (EN): </w:t>
      </w:r>
      <w:r>
        <w:t>European wetlands store large carbon reserves1, but centuries of land use have eroded carbon stocks and biodiversity2. The European Union (EU) Nature Restoration Law (NRL)3 requires at least 30% of wetland ecosystems not in ‘good condition’ to be restored by 2030, yet spatially consistent information on wetland types and condition remains scarce. Using 10-m satellite imagery and machine learning, we map six seminatural open wetland types and land-use disturbance across 38 European countries. Wetlands are highly fragmented, with an estimated 27–33% of wetland area occurring in map-defined patches 2-eq of soil carbon potentially lost relative to an undisturbed baseline. Translating disturbed area into NRL restoration targets, we find that several countries’ pledges are broadly consistent with our 2030 estimates, whereas others lack quantified commitments despite substantial candidate areas identified by our maps. The resulting standardized, high-resolution products provide an EU-wide baseline tailored to the NRL and a reproducible template for linking satellite mapping to restoration targets, supporting progress tracking.</w:t>
      </w:r>
    </w:p>
    <w:p>
      <w:pPr>
        <w:spacing w:before="120" w:after="120"/>
      </w:pPr>
      <w:r>
        <w:rPr>
          <w:sz w:val="18"/>
        </w:rPr>
        <w:t>——————————————————————————————————————————————————————————————————————</w:t>
      </w:r>
    </w:p>
    <w:p>
      <w:pPr>
        <w:spacing w:before="160" w:after="40" w:line="240" w:lineRule="auto"/>
      </w:pPr>
      <w:r>
        <w:rPr>
          <w:b/>
        </w:rPr>
        <w:t xml:space="preserve">[17] </w:t>
      </w:r>
      <w:hyperlink r:id="rId386">
        <w:r>
          <w:rPr>
            <w:color w:val="1155CC"/>
            <w:u w:val="single"/>
          </w:rPr>
          <w:t>弹性岛屿能源转型的全球可行性差距</w:t>
        </w:r>
      </w:hyperlink>
    </w:p>
    <w:p>
      <w:pPr>
        <w:spacing w:before="0" w:after="80"/>
      </w:pPr>
      <w:r>
        <w:rPr>
          <w:i/>
          <w:sz w:val="20"/>
        </w:rPr>
        <w:t>EN: A global feasibility gap in resilient island energy transitions</w:t>
      </w:r>
    </w:p>
    <w:p>
      <w:pPr>
        <w:spacing w:before="0" w:after="120"/>
      </w:pPr>
      <w:r>
        <w:rPr>
          <w:b/>
        </w:rPr>
        <w:t xml:space="preserve">Source: </w:t>
      </w:r>
      <w:r>
        <w:t>Earth and environmental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岛国对于实现联合国可持续发展目标 7 的负担得起的清洁能源至关重要，但其能源转型的可行性仍然缺乏量化。在这里，我们通过对 1800 多个有人居住的岛屿的高分辨率评估以及 5000 万小时的需求和可再生资源记录表明，对于许多岛屿来说，弹性低碳电力系统仍然遥不可及。在接受评估的岛屿中，一半以上面临着高于基于收入的承受能力门槛的过渡成本，其中东南亚、非洲沿海和西太平洋地区负担最重。增加气候适应能力要求使 7% 的岛屿进入成本较高的类别。尽管到 2050 年，技术进步可以将平均电力成本降低约 4%，但这一降低幅度太小，无法弥补低收入岛屿的可行性差距。这些发现表明，仅靠市场驱动的成本下降不太可能实现公平的岛屿能源转型，因此需要有针对性的支持。</w:t>
      </w:r>
    </w:p>
    <w:p>
      <w:pPr>
        <w:spacing w:before="0" w:after="200" w:lineRule="auto" w:line="276"/>
      </w:pPr>
      <w:r>
        <w:rPr>
          <w:b/>
        </w:rPr>
        <w:t xml:space="preserve">Abstract (EN): </w:t>
      </w:r>
      <w:r>
        <w:t>Island nations are central to achieving United Nations Sustainable Development Goal 7 on affordable and clean energy, yet the feasibility of their energy transitions remains poorly quantified. Here we show, using a high-resolution assessment of over 1800 inhabited islands and 50 million hourly records of demand and renewable resources, that resilient low-carbon power systems remain out of reach for many islands. More than half of the islands assessed face transition costs above income-based affordability thresholds, with the greatest burdens in Southeast Asia, coastal Africa and the Western Pacific. Adding climate-resilience requirements moves 7% of islands into higher-cost categories. Although technological progress could lower average levelized cost of electricity by about 4% by 2050, this reduction is too small to close the feasibility gap for low-income islands. These findings show that market-driven cost declines alone are unlikely to deliver equitable island energy transitions, and that targeted support is needed.</w:t>
      </w:r>
    </w:p>
    <w:p>
      <w:pPr>
        <w:spacing w:before="120" w:after="120"/>
      </w:pPr>
      <w:r>
        <w:rPr>
          <w:sz w:val="18"/>
        </w:rPr>
        <w:t>——————————————————————————————————————————————————————————————————————</w:t>
      </w:r>
    </w:p>
    <w:p>
      <w:pPr>
        <w:spacing w:before="160" w:after="40" w:line="240" w:lineRule="auto"/>
      </w:pPr>
      <w:r>
        <w:rPr>
          <w:b/>
        </w:rPr>
        <w:t xml:space="preserve">[18] </w:t>
      </w:r>
      <w:hyperlink r:id="rId332">
        <w:r>
          <w:rPr>
            <w:color w:val="1155CC"/>
            <w:u w:val="single"/>
          </w:rPr>
          <w:t>电子燃料可以将电池材料需求削减多达 9 倍，但给英国净零运输带来新的困境</w:t>
        </w:r>
      </w:hyperlink>
    </w:p>
    <w:p>
      <w:pPr>
        <w:spacing w:before="0" w:after="80"/>
      </w:pPr>
      <w:r>
        <w:rPr>
          <w:i/>
          <w:sz w:val="20"/>
        </w:rPr>
        <w:t>EN: E-fuels can cut battery material demand by up to 9-fold but create new dilemmas for UK net-zero transport</w:t>
      </w:r>
    </w:p>
    <w:p>
      <w:pPr>
        <w:spacing w:before="0" w:after="120"/>
      </w:pPr>
      <w:r>
        <w:rPr>
          <w:b/>
        </w:rPr>
        <w:t xml:space="preserve">Source: </w:t>
      </w:r>
      <w:r>
        <w:t>One Earth</w:t>
      </w:r>
      <w:r>
        <w:t xml:space="preserve">    </w:t>
      </w:r>
      <w:r>
        <w:rPr>
          <w:b/>
        </w:rPr>
        <w:t xml:space="preserve">Pub date: </w:t>
      </w:r>
      <w:r>
        <w:t>2026-07-15 00:00:00+00:00</w:t>
      </w:r>
      <w:r>
        <w:t xml:space="preserve">    </w:t>
      </w:r>
      <w:r>
        <w:rPr>
          <w:b/>
        </w:rPr>
        <w:t xml:space="preserve">DOI: </w:t>
      </w:r>
      <w:hyperlink r:id="rId333">
        <w:r>
          <w:rPr>
            <w:color w:val="1155CC"/>
            <w:u w:val="single"/>
          </w:rPr>
          <w:t>10.1016/j.oneear.2026.101773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87">
        <w:r>
          <w:rPr>
            <w:color w:val="1155CC"/>
            <w:u w:val="single"/>
          </w:rPr>
          <w:t>偏远社区向净零的分阶段过渡：自适应多阶段随机鲁棒优化方法</w:t>
        </w:r>
      </w:hyperlink>
    </w:p>
    <w:p>
      <w:pPr>
        <w:spacing w:before="0" w:after="80"/>
      </w:pPr>
      <w:r>
        <w:rPr>
          <w:i/>
          <w:sz w:val="20"/>
        </w:rPr>
        <w:t>EN: Staged transition toward net-zero in remote communities: An adaptive multi-stage stochastic-robust optimization approach</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88">
        <w:r>
          <w:rPr>
            <w:color w:val="1155CC"/>
            <w:u w:val="single"/>
          </w:rPr>
          <w:t>比较工业能源系统规划中稳健决策支持的 MCDM 方法</w:t>
        </w:r>
      </w:hyperlink>
    </w:p>
    <w:p>
      <w:pPr>
        <w:spacing w:before="0" w:after="80"/>
      </w:pPr>
      <w:r>
        <w:rPr>
          <w:i/>
          <w:sz w:val="20"/>
        </w:rPr>
        <w:t>EN: Comparing MCDM methods for robust decision support in industrial energy system planning</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89">
        <w:r>
          <w:rPr>
            <w:color w:val="1155CC"/>
            <w:u w:val="single"/>
          </w:rPr>
          <w:t>通过氧化还原调节中间管理的脉冲驱动甲酰胺配对电合成</w:t>
        </w:r>
      </w:hyperlink>
    </w:p>
    <w:p>
      <w:pPr>
        <w:spacing w:before="0" w:after="80"/>
      </w:pPr>
      <w:r>
        <w:rPr>
          <w:i/>
          <w:sz w:val="20"/>
        </w:rPr>
        <w:t>EN: Pulse-Driven Paired Electrosynthesis of Formamide via Redox-Tuned Intermediate Management</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390">
        <w:r>
          <w:rPr>
            <w:color w:val="1155CC"/>
            <w:u w:val="single"/>
          </w:rPr>
          <w:t>10.1021/jacs.6c06892</w:t>
        </w:r>
      </w:hyperlink>
    </w:p>
    <w:p>
      <w:pPr>
        <w:spacing w:before="0" w:after="120"/>
      </w:pPr>
      <w:r>
        <w:rPr>
          <w:b/>
        </w:rPr>
        <w:t xml:space="preserve">Notes: </w:t>
      </w:r>
      <w:r>
        <w:t>abstract_source=pubmed</w:t>
      </w:r>
    </w:p>
    <w:p>
      <w:pPr>
        <w:spacing w:before="0" w:after="80" w:lineRule="auto" w:line="276"/>
      </w:pPr>
      <w:r>
        <w:rPr>
          <w:b/>
        </w:rPr>
        <w:t xml:space="preserve">摘要（ZH）: </w:t>
      </w:r>
      <w:r>
        <w:t>可再生电力驱动的电催化系统有望实现可持续的甲酰胺（HCONH2）合成。然而，主要瓶颈仍然是当前单极 C-N 耦合策略固有的低法拉第效率 (FE) 和整体电子利用率，其中对电极的大量电子消耗严重限制了系统效率。在这里，我们通过脉冲配对电合成策略提出了一种氧化还原调节范例（Ared + Boxi → C）。在未分割的电池中使用原子有序的 CuPd 催化剂，以 CH3OH 和 NO2- 作为原料，在优化的脉冲条件下，两个电极同时产生 HCONH2，并周期性地交替改变电势（Ea = 1.3 V，ta = 10 s；Ec = -0.7 V，tc = 10 s）。该系统在81.5 mA cm-2的电流密度下实现了HCONH2的FE为85.6%，产率为263.3 μmol·h-1·cm-2。 FE 高于迄今为止报告的数值。机制研究表明，脉冲操作会产生周期性切换的阴极/阳极环境。这使得有序 CuPd 催化剂能够在阴极脉冲期间依次充当还原位点（将 NO2- 转化为 *NH3），并在阳极脉冲期间充当共氧化位点（将 *NH3 转化为 *NH2，同时将 CH3OH 转化为 *HCOH），从而驱动有效的 C-N 键耦合形成 HCONH2。技术经济分析进一步证实了该战略在未来可再生能源市场的巨大工业潜力。</w:t>
      </w:r>
    </w:p>
    <w:p>
      <w:pPr>
        <w:spacing w:before="0" w:after="200" w:lineRule="auto" w:line="276"/>
      </w:pPr>
      <w:r>
        <w:rPr>
          <w:b/>
        </w:rPr>
        <w:t xml:space="preserve">Abstract (EN): </w:t>
      </w:r>
      <w:r>
        <w:t>Renewable electricity-driven electrocatalytic systems hold promise for the sustainable formamide (HCONH2) synthesis. However, a major bottleneck remains the low Faradaic efficiency (FE) and overall electron utilization inherent to current unipolar C-N coupling strategies, where substantial electron consumption at the counter electrode severely limits system efficiency. Here, we propose a redox-tuned paradigm (Ared + Boxi → C) through a pulsed paired electrosynthesis strategy. Using an atomically ordered CuPd catalyst with CH3OH and NO2- as feedstocks in an undivided cell, HCONH2 is simultaneously produced at both electrodes under optimized pulse conditions with alternating change in potential periodically (Ea = 1.3 V, ta = 10 s; Ec = -0.7 V, tc = 10 s). This system achieves an FE of 85.6% for HCONH2 at a current density of 81.5 mA cm-2, with a yield of 263.3 μmol·h-1·cm-2. The FE is higher than those reported to date. Mechanism studies reveal that pulsed operation creates a periodically switching cathode/anode environment. This enables the ordered CuPd catalyst to function sequentially as a reduction site (converting NO2- to *NH3) during cathodic pulses and as a co-oxidation site (converting *NH3 to *NH2 along with CH3OH to *HCOH) during anodic pulses, thereby driving efficient C-N bond coupling to form HCONH2. Techno-economic analysis further confirmed the significant industrial potential of this strategy in the future renewable energy market.</w:t>
      </w:r>
    </w:p>
    <w:p>
      <w:pPr>
        <w:spacing w:before="120" w:after="120"/>
      </w:pPr>
      <w:r>
        <w:rPr>
          <w:sz w:val="18"/>
        </w:rPr>
        <w:t>——————————————————————————————————————————————————————————————————————</w:t>
      </w:r>
    </w:p>
    <w:p>
      <w:pPr>
        <w:spacing w:before="160" w:after="40" w:line="240" w:lineRule="auto"/>
      </w:pPr>
      <w:r>
        <w:rPr>
          <w:b/>
        </w:rPr>
        <w:t xml:space="preserve">[22] </w:t>
      </w:r>
      <w:hyperlink r:id="rId391">
        <w:r>
          <w:rPr>
            <w:color w:val="1155CC"/>
            <w:u w:val="single"/>
          </w:rPr>
          <w:t>软需求和硬需求限制下电动汽车车队优化调度以实现车辆到电网服务</w:t>
        </w:r>
      </w:hyperlink>
    </w:p>
    <w:p>
      <w:pPr>
        <w:spacing w:before="0" w:after="80"/>
      </w:pPr>
      <w:r>
        <w:rPr>
          <w:i/>
          <w:sz w:val="20"/>
        </w:rPr>
        <w:t>EN: Optimal scheduling of electric-vehicle fleets for vehicle-to-grid services under soft- and hard-demand-limit constraints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92">
        <w:r>
          <w:rPr>
            <w:color w:val="1155CC"/>
            <w:u w:val="single"/>
          </w:rPr>
          <w:t>将形状持久的分子炔基陷阱排列到高孔隙度和坚固的锆金属有机框架中，用于丙炔捕获和丙炔/丙烯分离</w:t>
        </w:r>
      </w:hyperlink>
    </w:p>
    <w:p>
      <w:pPr>
        <w:spacing w:before="0" w:after="80"/>
      </w:pPr>
      <w:r>
        <w:rPr>
          <w:i/>
          <w:sz w:val="20"/>
        </w:rPr>
        <w:t>EN: Arraying Shape-Persistent Molecular Alkynyl Trap into Highly Porous and Robust Zirconium Metal–Organic Framework for Propyne Capture and Propyne/Propylene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393">
        <w:r>
          <w:rPr>
            <w:color w:val="1155CC"/>
            <w:u w:val="single"/>
          </w:rPr>
          <w:t>10.1021/jacs.6c05337</w:t>
        </w:r>
      </w:hyperlink>
    </w:p>
    <w:p>
      <w:pPr>
        <w:spacing w:before="0" w:after="120"/>
      </w:pPr>
      <w:r>
        <w:rPr>
          <w:b/>
        </w:rPr>
        <w:t xml:space="preserve">Notes: </w:t>
      </w:r>
      <w:r>
        <w:t>abstract_source=pubmed</w:t>
      </w:r>
    </w:p>
    <w:p>
      <w:pPr>
        <w:spacing w:before="0" w:after="80" w:lineRule="auto" w:line="276"/>
      </w:pPr>
      <w:r>
        <w:rPr>
          <w:b/>
        </w:rPr>
        <w:t xml:space="preserve">摘要（ZH）: </w:t>
      </w:r>
      <w:r>
        <w:t>使用多孔吸附剂吸附分离丙炔/丙烯 (C3H4/C3H6) 为聚合物级 C3H6 的节能生产提供了一条有前途的途径。目前，流行的吸附剂是超微孔金属有机框架（MOF），其具有狭窄的通道和/或由无机阴离子柱组成，这通常导致有限的C3H4吸收能力和高等排吸附焓。我们在此报告了一种高度多孔且坚固的锆金属有机框架，称为 SJTU-520。该MOF在三维空间中结合了源自环四苯偶姻的形状持久分子阵列，其作为优先捕获C3H4而不是C3H6的选择性位点，从而实现高C3H4捕获能力，在1巴和298 K下记录高C3H4/C3H6吸收比，并在环境条件下有效分离C3H4/C3H6。与环四苯偶姻和四乙酸环四苯偶姻基超分子有机晶体相比，SJTU-520 表现出明显更高的表面积（3650 m2/g 对比 42 和 570 m2/g），导致在 298 K 和 1 bar 下 C3H4 吸收量分别提高 6.1 倍和 3.7 倍，且不影响 C3H4/C3H6选择性。通过在各种条件下进行的大量突破性实验，验证了 C3H4/C3H6 的高效分离，具有从 10/90 C3H4/C3H6 混合物中分离出聚合物级 C3H6 的良好可回收性和高生产率。计算模拟表明，SJTU-520中环四苯偶姻大环的四个苯壁与封装的C3H4的C≡C三键形成等距的π-π相互作用</w:t>
      </w:r>
    </w:p>
    <w:p>
      <w:pPr>
        <w:spacing w:before="0" w:after="200" w:lineRule="auto" w:line="276"/>
      </w:pPr>
      <w:r>
        <w:rPr>
          <w:b/>
        </w:rPr>
        <w:t xml:space="preserve">Abstract (EN): </w:t>
      </w:r>
      <w:r>
        <w:t>Adsorptive separation of propyne/propylene (C3H4/C3H6) using porous adsorbents offers a promising route toward energy-efficient production of polymer-grade C3H6. Currently, the prevailing adsorbents are ultramicroporous metal-organic frameworks (MOFs) that feature narrow channels and/or consist of inorganic anion pillars, which often lead to limited C3H4 uptake capacity and high isosteric enthalpy of adsorption. We report herein a highly porous and robust zirconium metal-organic framework, termed SJTU-520. This MOF incorporates shape-persistent molecular arrays in three-dimensional space derived from cyclotetrabenzoin, which function as selective sites for the preferential entrapment of C3H4 over C3H6, thus enabling high C3H4 capture capacity, record high C3H4/C3H6 uptake ratio at 1 bar and 298 K, and efficient C3H4/C3H6 separation at ambient conditions. Compared with the cyclotetrabenzoin and tetraacetate cyclotetrabenzoin-based supramolecular organic crystals, SJTU-520 exhibits significantly higher surface area (3650 m2/g versus 42 and 570 m2/g), leading to a C3H4 uptake boost by 6.1-fold and 3.7-fold at 298 K and 1 bar, without any compromise of the C3H4/C3H6 selectivity. The efficient C3H4/C3H6 separation was validated by extensive breakthrough experiments under various conditions with great recyclability and high productivity of polymer-grade C3H6 from a 10/90 C3H4/C3H6 mixture. Computational simulations revealed that the four benzene walls of the cyclotetrabenzoin macrocycle in SJTU-520 formed equidistant π-π interactions with the C≡C triple bond of encapsulated C3H4 molecule. This work illustrates a general and powerful strategy─the reticulation of intrinsically functional organic scaffolds into highly porous frameworks─toward creating bespoke materials with precisely tailored functionalities and enhanced properties.</w:t>
      </w:r>
    </w:p>
    <w:p>
      <w:pPr>
        <w:spacing w:before="120" w:after="120"/>
      </w:pPr>
      <w:r>
        <w:rPr>
          <w:sz w:val="18"/>
        </w:rPr>
        <w:t>——————————————————————————————————————————————————————————————————————</w:t>
      </w:r>
    </w:p>
    <w:p>
      <w:pPr>
        <w:spacing w:before="160" w:after="40" w:line="240" w:lineRule="auto"/>
      </w:pPr>
      <w:r>
        <w:rPr>
          <w:b/>
        </w:rPr>
        <w:t xml:space="preserve">[24] </w:t>
      </w:r>
      <w:hyperlink r:id="rId394">
        <w:r>
          <w:rPr>
            <w:color w:val="1155CC"/>
            <w:u w:val="single"/>
          </w:rPr>
          <w:t>了解木质纤维素生物质衍生的芳香族含氧化合物中羰基还原实现的电化学醇氢解</w:t>
        </w:r>
      </w:hyperlink>
    </w:p>
    <w:p>
      <w:pPr>
        <w:spacing w:before="0" w:after="80"/>
      </w:pPr>
      <w:r>
        <w:rPr>
          <w:i/>
          <w:sz w:val="20"/>
        </w:rPr>
        <w:t>EN: Understanding Electrochemical Alcohol Hydrogenolysis Enabled by Carbonyl Reduction in Lignocellulosic Biomass-Derived Aromatic Oxygenates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395">
        <w:r>
          <w:rPr>
            <w:color w:val="1155CC"/>
            <w:u w:val="single"/>
          </w:rPr>
          <w:t>10.1021/jacs.6c09300</w:t>
        </w:r>
      </w:hyperlink>
    </w:p>
    <w:p>
      <w:pPr>
        <w:spacing w:before="0" w:after="120"/>
      </w:pPr>
      <w:r>
        <w:rPr>
          <w:b/>
        </w:rPr>
        <w:t xml:space="preserve">Notes: </w:t>
      </w:r>
      <w:r>
        <w:t>abstract_source=pubmed</w:t>
      </w:r>
    </w:p>
    <w:p>
      <w:pPr>
        <w:spacing w:before="0" w:after="80" w:lineRule="auto" w:line="276"/>
      </w:pPr>
      <w:r>
        <w:rPr>
          <w:b/>
        </w:rPr>
        <w:t xml:space="preserve">摘要（ZH）: </w:t>
      </w:r>
      <w:r>
        <w:t>源自木质纤维素生物质的分子是具有多个含氧官能团（例如羟基和羰基）的含氧化合物。因此，选择性还原特定含氧基团的能力对于此类分子的还原升级至关重要。之前对电化学生物质转化的研究表明，涉及σ(C-Oalcohol)键断裂的醇氢解对于糠醛和5-羟甲基糠醛(HMF)衍生物，包括糠醇、5-甲基糠醇(MFA)和2,5-双(羟甲基)呋喃(BHMF)来说极具挑战性。相比之下，HMF本身在酸性水介质中相对容易发生醇氢解。考虑到 HMF 和 BHMF 或 MFA 之间唯一的结构差异是羰基的存在，这一观察结果提出了 HMF 中的羰基是否促进醇氢解的问题。在这项研究中，我们设计了系统实验，以对羰基何时以及如何实现共存醇基的氢解提供连贯的解释。具体来说，我们表明，HMF 中的醇氢解是通过将羰基还原为羰基自由基进行的，然后通过扩展 π 共轭进行自旋中心位移 (SCS)。我们还阐明了 pH 对羰基氢化和醇氢解之间选择性的影响，这两者都共享羰基自由基中间体。这种机制的理解增强了我们在生物质还原升级中预测和控制醇氢解的能力。</w:t>
      </w:r>
    </w:p>
    <w:p>
      <w:pPr>
        <w:spacing w:before="0" w:after="200" w:lineRule="auto" w:line="276"/>
      </w:pPr>
      <w:r>
        <w:rPr>
          <w:b/>
        </w:rPr>
        <w:t xml:space="preserve">Abstract (EN): </w:t>
      </w:r>
      <w:r>
        <w:t>Molecules derived from lignocellulosic biomass are oxygenates with multiple oxygen-containing functional groups, such as hydroxyl and carbonyl groups. Therefore, the ability to selectively reduce a specific oxygenate group is essential for the reductive upgrading of such molecules. Previous studies on electrochemical biomass conversion have shown that alcohol hydrogenolysis, which involves cleavage of the σ(C-Oalcohol) bond, is extremely challenging for furfural and 5-hydroxymethylfurfural (HMF) derivatives, including furfuryl alcohol, 5-methylfurfuryl alcohol (MFA), and 2,5-bis(hydroxymethyl)furan (BHMF). In contrast, HMF itself undergoes alcohol hydrogenolysis relatively easily in acidic aqueous media. Considering that the only structural difference between HMF and BHMF or MFA is the presence of a carbonyl group, this observation raises the question of whether the carbonyl group in HMF facilitates alcohol hydrogenolysis. In this study, we designed systematic experiments to provide a coherent explanation of when and how a carbonyl group enables hydrogenolysis of a copresent alcohol group. Specifically, we show that alcohol hydrogenolysis in HMF proceeds via reduction of the carbonyl group to a ketyl radical, followed by a spin-center shift (SCS) through extended π conjugation. We also elucidate the effect of pH on the selectivity between carbonyl hydrogenation and alcohol hydrogenolysis, both of which share the ketyl radical intermediate. This mechanistic understanding enhances our ability to predict and control alcohol hydrogenolysis in the reductive upgrading of biomass-derived oxygenates.</w:t>
      </w:r>
    </w:p>
    <w:p>
      <w:pPr>
        <w:spacing w:before="120" w:after="120"/>
      </w:pPr>
      <w:r>
        <w:rPr>
          <w:sz w:val="18"/>
        </w:rPr>
        <w:t>——————————————————————————————————————————————————————————————————————</w:t>
      </w:r>
    </w:p>
    <w:p>
      <w:pPr>
        <w:spacing w:before="160" w:after="40" w:line="240" w:lineRule="auto"/>
      </w:pPr>
      <w:r>
        <w:rPr>
          <w:b/>
        </w:rPr>
        <w:t xml:space="preserve">[25] </w:t>
      </w:r>
      <w:hyperlink r:id="rId396">
        <w:r>
          <w:rPr>
            <w:color w:val="1155CC"/>
            <w:u w:val="single"/>
          </w:rPr>
          <w:t>Ti 3+ -O 酸碱对用于高效太阳能驱动光热非氧化乙烷脱氢</w:t>
        </w:r>
      </w:hyperlink>
    </w:p>
    <w:p>
      <w:pPr>
        <w:spacing w:before="0" w:after="80"/>
      </w:pPr>
      <w:r>
        <w:rPr>
          <w:i/>
          <w:sz w:val="20"/>
        </w:rPr>
        <w:t>EN: Ti 3+ -O Acid–Base Pairs for Efficient Solar-Driven Photothermal Nonoxidative Ethane Dehydrogenation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397">
        <w:r>
          <w:rPr>
            <w:color w:val="1155CC"/>
            <w:u w:val="single"/>
          </w:rPr>
          <w:t>10.1021/jacs.6c08665</w:t>
        </w:r>
      </w:hyperlink>
    </w:p>
    <w:p>
      <w:pPr>
        <w:spacing w:before="0" w:after="120"/>
      </w:pPr>
      <w:r>
        <w:rPr>
          <w:b/>
        </w:rPr>
        <w:t xml:space="preserve">Notes: </w:t>
      </w:r>
      <w:r>
        <w:t>abstract_source=pubmed</w:t>
      </w:r>
    </w:p>
    <w:p>
      <w:pPr>
        <w:spacing w:before="0" w:after="80" w:lineRule="auto" w:line="276"/>
      </w:pPr>
      <w:r>
        <w:rPr>
          <w:b/>
        </w:rPr>
        <w:t xml:space="preserve">摘要（ZH）: </w:t>
      </w:r>
      <w:r>
        <w:t>非氧化乙烷脱氢（NOEDH）是一种碳高效但热力学严格的乙烯生产路线。太阳能驱动的 NOEDH 提供了一种有前景的替代方案，但在无需外部加热的情况下实现相对于不含贵金属的催化剂的高活性和高乙烯选择性仍然悬而未决。在这里，我们报道了还原金红石 TiO2 上的 Ti3+-O 酸碱对能够实现高效的全光谱太阳能驱动光热 NOEDH，无需任何外部加热。在750℃下最佳还原的TiO2的乙烯产率为392.0 mmol g-1 h-1，是未经还原预处理的原始TiO2的1107倍。 C2H4 选择性为 94.9% 的高活性超过了热力学平衡极限，并且优于之前报道的系统。综合表征表明，与晶格氧相邻的表面 Ti3+ 位点为路易斯酸碱对，可增强光吸收，促进载流子分离，并直接参与 C-H 键断裂。光生电子也优先聚集在配位不饱和Ti3+-O位点上，削弱了乙烯吸附，从而加速产物解吸并抑制深度脱氢和焦炭形成。光生热载流子和局部光热加热之间的协同作用将表观活化能从黑暗中的157.6 kJ mol-1降低到光照下的75.0 kJ mol-1。这项工作在不含贵金属的催化剂上建立了表面酸碱对，作为可持续光驱动碱的强大平台</w:t>
      </w:r>
    </w:p>
    <w:p>
      <w:pPr>
        <w:spacing w:before="0" w:after="200" w:lineRule="auto" w:line="276"/>
      </w:pPr>
      <w:r>
        <w:rPr>
          <w:b/>
        </w:rPr>
        <w:t xml:space="preserve">Abstract (EN): </w:t>
      </w:r>
      <w:r>
        <w:t>Nonoxidative ethane dehydrogenation (NOEDH) is a carbon efficient but thermodynamically severe route for ethene production. Solar-driven NOEDH offers a promising alternative, yet achieving both high activity and high ethene selectivity over noble metal-free catalysts without external heating remains unresolved. Here, we reported that Ti3+-O acid-base pairs on reduced rutile TiO2 enabled highly efficient full-spectrum solar-driven photothermal NOEDH without any external heating. The optimally reduced TiO2 at 750 °C delivered an ethene production rate of 392.0 mmol g-1 h-1, which was 1107 times higher than that of pristine TiO2 without reduction pretreatment. The high activity with a C2H4 selectivity of 94.9% surpassed the thermodynamic equilibrium limit and outperformed previously reported systems. Comprehensive characterizations identified surface Ti3+ sites adjacent to lattice oxygen as Lewis acid-base pairs that enhanced light absorption, promoted charge carrier separation, and directly participated in the C-H bond cleavage. Photogenerated electrons also preferentially accumulated on the coordinatively unsaturated Ti3+-O sites, which weakened ethene adsorption, thereby accelerating product desorption and suppressing deep dehydrogenation and coke formation. The synergy between photogenerated hot carriers and localized photothermal heating lowered the apparent activation energy from 157.6 kJ mol-1 in the dark to 75.0 kJ mol-1 under illumination. This work establishes surface acid-base pairs on noble metal-free catalyst as a powerful platform for sustainable light-driven alkane upgrading.</w:t>
      </w:r>
    </w:p>
    <w:p>
      <w:pPr>
        <w:spacing w:before="120" w:after="120"/>
      </w:pPr>
      <w:r>
        <w:rPr>
          <w:sz w:val="18"/>
        </w:rPr>
        <w:t>——————————————————————————————————————————————————————————————————————</w:t>
      </w:r>
    </w:p>
    <w:p>
      <w:pPr>
        <w:spacing w:before="160" w:after="40" w:line="240" w:lineRule="auto"/>
      </w:pPr>
      <w:r>
        <w:rPr>
          <w:b/>
        </w:rPr>
        <w:t xml:space="preserve">[26] </w:t>
      </w:r>
      <w:hyperlink r:id="rId398">
        <w:r>
          <w:rPr>
            <w:color w:val="1155CC"/>
            <w:u w:val="single"/>
          </w:rPr>
          <w:t>电力系统扩容的供应链二氧化碳排放的内生化和追踪：扩展的输入输出线性规划框架</w:t>
        </w:r>
      </w:hyperlink>
    </w:p>
    <w:p>
      <w:pPr>
        <w:spacing w:before="0" w:after="80"/>
      </w:pPr>
      <w:r>
        <w:rPr>
          <w:i/>
          <w:sz w:val="20"/>
        </w:rPr>
        <w:t>EN: Endogenizing and tracing supply-chain CO₂ emissions of power system capacity expansion: an extended input-output linear programming framework</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99">
        <w:r>
          <w:rPr>
            <w:color w:val="1155CC"/>
            <w:u w:val="single"/>
          </w:rPr>
          <w:t>海上太阳能驱动的甲烷利用海水转化为氯甲烷</w:t>
        </w:r>
      </w:hyperlink>
    </w:p>
    <w:p>
      <w:pPr>
        <w:spacing w:before="0" w:after="80"/>
      </w:pPr>
      <w:r>
        <w:rPr>
          <w:i/>
          <w:sz w:val="20"/>
        </w:rPr>
        <w:t>EN: Offshore solar-driven methane valorization to chloromethane with seawater</w:t>
      </w:r>
    </w:p>
    <w:p>
      <w:pPr>
        <w:spacing w:before="0" w:after="120"/>
      </w:pPr>
      <w:r>
        <w:rPr>
          <w:b/>
        </w:rPr>
        <w:t xml:space="preserve">Source: </w:t>
      </w:r>
      <w:r>
        <w:t>National Science Review Advance Access</w:t>
      </w:r>
      <w:r>
        <w:t xml:space="preserve">    </w:t>
      </w:r>
      <w:r>
        <w:rPr>
          <w:b/>
        </w:rPr>
        <w:t xml:space="preserve">Pub date: </w:t>
      </w:r>
      <w:r>
        <w:t>2026-07-16 00:00:00+00:00</w:t>
      </w:r>
      <w:r>
        <w:t xml:space="preserve">    </w:t>
      </w:r>
      <w:r>
        <w:rPr>
          <w:b/>
        </w:rPr>
        <w:t xml:space="preserve">DOI: </w:t>
      </w:r>
      <w:hyperlink r:id="rId400">
        <w:r>
          <w:rPr>
            <w:color w:val="1155CC"/>
            <w:u w:val="single"/>
          </w:rPr>
          <w:t>10.1093/nsr/nwag440</w:t>
        </w:r>
      </w:hyperlink>
    </w:p>
    <w:p>
      <w:pPr>
        <w:spacing w:before="0" w:after="120"/>
      </w:pPr>
      <w:r>
        <w:rPr>
          <w:b/>
        </w:rPr>
        <w:t xml:space="preserve">Notes: </w:t>
      </w:r>
      <w:r>
        <w:t>abstract_source=rss_oup</w:t>
      </w:r>
    </w:p>
    <w:p>
      <w:pPr>
        <w:spacing w:before="0" w:after="80" w:lineRule="auto" w:line="276"/>
      </w:pPr>
      <w:r>
        <w:rPr>
          <w:b/>
        </w:rPr>
        <w:t xml:space="preserve">摘要（ZH）: </w:t>
      </w:r>
      <w:r>
        <w:t>甲烷 (CH4) 是可燃冰的关键成分，是一种丰富但基本上未得到充分利用的海洋资源。其极端的惰性以及储存和运输的复杂性严重阻碍了其使用。在这里，我们提出了一种串联流系统，通过海水淡化产生淡水，而产生的浓缩海水富含氯离子，并作为具有三相界面的可漂浮光催化剂上 CH4 氯化的来源。关键在于调整 Pt-TiO2 光催化剂的界面酸碱微环境和电子结构，以引导自由基过程进行选择性甲烷氯化。 ·OH自由基介导C–H活化生成·CH3自由基，随后与界面·Cl自由基有效偶联生成CH3Cl。痕量路易斯酸（例如 Al3+）的引入通过调节局部质子平衡、抑制 OH− 积累和稳定关键自由基中间体进一步提高了选择性。我们的系统实现了 98.1% 的 CH3Cl 选择性，在 AlCl3 溶液中的生产率为 2.9 mmol g−1 h−1，在流动操作下的生产率为 79.5 mmol m−2 h−1，证明了 15 天的长期稳定性。这项工作建立了在温和条件下控制水基化学的通用范例，并为近海海洋资源的实际开发铺平了道路。</w:t>
      </w:r>
    </w:p>
    <w:p>
      <w:pPr>
        <w:spacing w:before="0" w:after="200" w:lineRule="auto" w:line="276"/>
      </w:pPr>
      <w:r>
        <w:rPr>
          <w:b/>
        </w:rPr>
        <w:t xml:space="preserve">Abstract (EN): </w:t>
      </w:r>
      <w:r>
        <w:t>Methane (CH4), a key component of combustible ice, is a plentiful yet largely underutilized ocean resource. Its extreme inertness and the complexity of its storage and transportation have severely hindered its use. Here, we present a tandem flow system that produces freshwater through seawater desalination, while the resulting concentrated seawater is rich in chlorine ions and serves as a source for CH4 chlorination over a floatable photocatalyst with a three-phase interface. The key lies in tailoring the interfacial acid–base microenvironment and electronic structure of Pt–TiO2 photocatalyst to steer the radical processes toward selective methane chlorination. ·OH radicals mediate C–H activation to generate ·CH3 radicals, which subsequently couple efficiently with interfacial ·Cl radicals to yield CH3Cl. The introduction of trace Lewis acids (e.g., Al3+) further enhances selectivity by regulating the local proton balance, suppressing OH− accumulation, and stabilizing key radical intermediates. Our system achieves 98.1% CH3Cl selectivity with production rates of 2.9 mmol g−1 h−1 in AlCl3 solution and 79.5 mmol m−2 h−1 under flow operation, demonstrating long-term stability over 15 days. This work establishes a general paradigm for controlling aqueous radical chemistry under mild conditions, and paves the way for the practical exploitation of offshore ocean resources.</w:t>
      </w:r>
    </w:p>
    <w:p>
      <w:pPr>
        <w:spacing w:before="120" w:after="120"/>
      </w:pPr>
      <w:r>
        <w:rPr>
          <w:sz w:val="18"/>
        </w:rPr>
        <w:t>——————————————————————————————————————————————————————————————————————</w:t>
      </w:r>
    </w:p>
    <w:p>
      <w:pPr>
        <w:spacing w:before="160" w:after="40" w:line="240" w:lineRule="auto"/>
      </w:pPr>
      <w:r>
        <w:rPr>
          <w:b/>
        </w:rPr>
        <w:t xml:space="preserve">[28] </w:t>
      </w:r>
      <w:hyperlink r:id="rId401">
        <w:r>
          <w:rPr>
            <w:color w:val="1155CC"/>
            <w:u w:val="single"/>
          </w:rPr>
          <w:t>用于酶催化和污染物去除的多功能形状MOF-生物聚合物复合材料</w:t>
        </w:r>
      </w:hyperlink>
    </w:p>
    <w:p>
      <w:pPr>
        <w:spacing w:before="0" w:after="80"/>
      </w:pPr>
      <w:r>
        <w:rPr>
          <w:i/>
          <w:sz w:val="20"/>
        </w:rPr>
        <w:t>EN: Multifunctional Shaped MOF-Biopolymer Composite for Enzymatic Catalysis and Pollutant Removal</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402">
        <w:r>
          <w:rPr>
            <w:color w:val="1155CC"/>
            <w:u w:val="single"/>
          </w:rPr>
          <w:t>10.1021/acsami.6c04694</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我们报告了一种通过绿色凝聚过程将多种金属有机框架（MOF）整合到明胶中来构建多功能催化生物反应器的新策略。将多种化学稳定的 Zr、Fe、Al 和 Ti MOF 纳入明胶基质中，形成具有良好 MOF 负载量、高孔隙率和结晶度的坚固复合材料。特别是，UiO-66(Zr)/明胶复合材料是为可持续催化和环境修复而开发的。这些复合材料可以很容易地成型为不同的形式，包括片剂和整体材料。它对亚甲基蓝等阳离子染料表现出高吸附能力和选择性，凸显了其去除染料的潜力。这种水凝胶复合材料还可以与漆酶结合形成漆酶@UiO-66(Zr)/明胶复合材料，该复合材料在恶劣条件（宽pH、高温）和多次循环下对染料降解和酚类污染物氧化聚合表现出高催化效率。成形生物催化剂还显示出可调节的产品保留或释放，具体取决于明胶含量。这凸显了漆酶@UiO-66(Zr)/明胶复合材料作为可扩展、环保的酶基生物催化系统在环境修复中的应用的巨大潜力。</w:t>
      </w:r>
    </w:p>
    <w:p>
      <w:pPr>
        <w:spacing w:before="0" w:after="200" w:lineRule="auto" w:line="276"/>
      </w:pPr>
      <w:r>
        <w:rPr>
          <w:b/>
        </w:rPr>
        <w:t xml:space="preserve">Abstract (EN): </w:t>
      </w:r>
      <w:r>
        <w:t>We report a novel strategy for constructing a multifunctional catalytic bioreactor by integrating diverse metal-organic frameworks (MOFs) into gelatin via a green coacervation process. A wide range of chemically stable Zr, Fe, Al, and Ti MOFs were incorporated into the gelatin matrix, forming robust composites with good MOF loadings, high porosity, and crystallinity. In particular, the UiO-66(Zr)/gelatin composite was developed for sustainable catalysis and environmental remediation. These composites could be easily shaped into different forms, including tablets and monoliths. It exhibited high adsorption capacity and selectivity toward cationic dyes such as methylene blue, highlighting its potential for dye removal. This hydrogel composite could also be combined with laccase to form a laccase@UiO-66(Zr)/gelatin composite, which exhibited high catalytic efficiency for the degradation of dyes and the oxidative polymerization of phenolic pollutants under harsh conditions (broad pH, elevated temperatures) and over multiple cycles. The shaped biocatalysts also showed tunable product retention or release depending on the gelatin content. This highlights the high potential of the laccase@UiO-66(Zr)/gelatin composite as a scalable, eco-friendly enzyme-based biocatalytic system with applications in environmental remediation.</w:t>
      </w:r>
    </w:p>
    <w:p>
      <w:pPr>
        <w:spacing w:before="120" w:after="120"/>
      </w:pPr>
      <w:r>
        <w:rPr>
          <w:sz w:val="18"/>
        </w:rPr>
        <w:t>——————————————————————————————————————————————————————————————————————</w:t>
      </w:r>
    </w:p>
    <w:p>
      <w:pPr>
        <w:spacing w:before="160" w:after="40" w:line="240" w:lineRule="auto"/>
      </w:pPr>
      <w:r>
        <w:rPr>
          <w:b/>
        </w:rPr>
        <w:t xml:space="preserve">[29] </w:t>
      </w:r>
      <w:hyperlink r:id="rId403">
        <w:r>
          <w:rPr>
            <w:color w:val="1155CC"/>
            <w:u w:val="single"/>
          </w:rPr>
          <w:t>永久冻土碳释放量与 AMOC 倾斜介导的超调变暖呈线性关系</w:t>
        </w:r>
      </w:hyperlink>
    </w:p>
    <w:p>
      <w:pPr>
        <w:spacing w:before="0" w:after="80"/>
      </w:pPr>
      <w:r>
        <w:rPr>
          <w:i/>
          <w:sz w:val="20"/>
        </w:rPr>
        <w:t>EN: Permafrost carbon release scales linearly with overshoot warming mediated by AMOC tipping</w:t>
      </w:r>
    </w:p>
    <w:p>
      <w:pPr>
        <w:spacing w:before="0" w:after="120"/>
      </w:pPr>
      <w:r>
        <w:rPr>
          <w:b/>
        </w:rPr>
        <w:t xml:space="preserve">Source: </w:t>
      </w:r>
      <w:r>
        <w:t>Earth and environmental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超过全球变暖目标可能会导致地球系统发生不可逆转的变化。然而，永久冻土和大西洋经向翻转环流（AMOC）等关键地球系统组成部分如何在变暖情况下响应和相互作用仍然存在不确定性。通过使用三种复杂程度不同的气候模型来评估理想化气候缓解和超调情景下的永久冻土碳响应，我们在此表明​​，在温度超调期间，每100度年的变暖（100年的累积变暖），永久冻土会损失11-21 PgC的碳，并呈稳健的线性关系。在温度超调期间 AMOC 暂时放缓导致北半球相对变冷的情况下，这种关系也成立。这种相对变冷部分抵消了气候变化对永久冻土层的影响，同时本身也对气候和社会造成了不利影响。这些结果强调了在评估超调影响时包括不稳定和稳定地球系统反馈的重要性，这对于告知碳预算、净零规划和气候变化可逆性至关重要。</w:t>
      </w:r>
    </w:p>
    <w:p>
      <w:pPr>
        <w:spacing w:before="0" w:after="200" w:lineRule="auto" w:line="276"/>
      </w:pPr>
      <w:r>
        <w:rPr>
          <w:b/>
        </w:rPr>
        <w:t xml:space="preserve">Abstract (EN): </w:t>
      </w:r>
      <w:r>
        <w:t>Overshooting global warming targets risks irreversible Earth system changes. However, uncertainties remain in how critical Earth system components such as permafrost and the Atlantic Meridional Overturning Circulation (AMOC) respond to and interact under warming. By using three climate models of varying complexity to assess the permafrost carbon response under idealized climate mitigation and overshoot scenarios, we here show that permafrost loses 11–21 PgC of carbon per 100 degree-years of warming exposure (cumulative warming over 100 years) during temperature overshoot in a robust linear relationship. This relationship also holds true under relative Northern Hemisphere cooling from a temporary AMOC slowdown during temperature overshoot. This relative cooling partially offsets climate change impacts on permafrost, while in itself causing adverse impacts on climate and society. These results underscore the importance of including both destabilizing and stabilizing Earth system feedbacks when assessing overshoot impacts, critical for informing carbon budgets, net-zero planning, and climate change reversibility.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404">
        <w:r>
          <w:rPr>
            <w:color w:val="1155CC"/>
            <w:u w:val="single"/>
          </w:rPr>
          <w:t>利用分子催化从 CO 2 和硝酸盐形成电化学 C-N 键</w:t>
        </w:r>
      </w:hyperlink>
    </w:p>
    <w:p>
      <w:pPr>
        <w:spacing w:before="0" w:after="80"/>
      </w:pPr>
      <w:r>
        <w:rPr>
          <w:i/>
          <w:sz w:val="20"/>
        </w:rPr>
        <w:t>EN: Electrochemical C–N Bond Formation from CO 2 and Nitrate Using Molecular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405">
        <w:r>
          <w:rPr>
            <w:color w:val="1155CC"/>
            <w:u w:val="single"/>
          </w:rPr>
          <w:t>10.1021/jacs.6c05664</w:t>
        </w:r>
      </w:hyperlink>
    </w:p>
    <w:p>
      <w:pPr>
        <w:spacing w:before="0" w:after="120"/>
      </w:pPr>
      <w:r>
        <w:rPr>
          <w:b/>
        </w:rPr>
        <w:t xml:space="preserve">Notes: </w:t>
      </w:r>
      <w:r>
        <w:t>abstract_source=pubmed</w:t>
      </w:r>
    </w:p>
    <w:p>
      <w:pPr>
        <w:spacing w:before="0" w:after="80" w:lineRule="auto" w:line="276"/>
      </w:pPr>
      <w:r>
        <w:rPr>
          <w:b/>
        </w:rPr>
        <w:t xml:space="preserve">摘要（ZH）: </w:t>
      </w:r>
      <w:r>
        <w:t>近年来，由二氧化碳和含氮小分子形成电化学 C-N 键的新兴方向作为生产胺和酰胺等高价值产品的可持续途径受到了广泛关注。迄今为止，大多数发现的C-N键电催化剂本质上都是非均相和/或固态的，在研究构效关系以建立基础知识库时存在一些局限性。另一方面，分子电催化剂对于基础研究具有广泛的优势，因为这些催化剂可以轻松调节，显示出催化活性与金属中心、配体、二级配位球等之间的直接关系。为此，我们演示了使用单羟基三联吡啶镍络合物（NitpyOH）作为均相分子电催化剂，用于在水性体系中形成 C-N 键。我们使用 1 mM NitpyOH 演示了作为主要 C-N 产品的甲酰胺的生产，峰值法拉第效率为 35%，在 -0.69 V vs RHE 下的部分电流密度为 0.095 mA cm-2。最后，结构-活性相关性以及原位光谱、电分析技术和计算模型的结合阐明了通过 C-N 耦合产生甲酰胺的催化机制的关键方面。这里发展的见解为分子系统在电化学小分子交叉偶联反应中的使用铺平了道路。</w:t>
      </w:r>
    </w:p>
    <w:p>
      <w:pPr>
        <w:spacing w:before="0" w:after="200" w:lineRule="auto" w:line="276"/>
      </w:pPr>
      <w:r>
        <w:rPr>
          <w:b/>
        </w:rPr>
        <w:t xml:space="preserve">Abstract (EN): </w:t>
      </w:r>
      <w:r>
        <w:t>The emerging direction of electrochemical C-N bond formation from CO2 and small N-containing molecules has gained wide attention in recent years as a sustainable route in producing high-value products such as amines and amides. To date, the majority of C-N bond electrocatalysts discovered have been heterogeneous and/or solid-state in nature, which have some limitations when investigating structure-activity relationships toward the buildup of a fundamental knowledge base. Molecular electrocatalysts, on the other hand, have a wide range of advantages for fundamental studies, as these catalysts can be easily tuned, showing direct relationships between catalytic activity and the metal center, ligand, secondary coordination sphere, and much more. To this end, we demonstrate the use of a monohydroxy terpyridine nickel complex (NitpyOH) as a homogeneous molecular electrocatalyst for C-N bond formation in an aqueous system. We demonstrate the production of formamide as a major C-N product with a peak Faradaic efficiency of 35% and a partial current density of 0.095 mA cm-2 at -0.69 V vs RHE using 1 mM NitpyOH. Finally, structure-activity correlations and a combination of in situ spectroscopy, electroanalytical techniques, and computational modeling elucidated the key aspects of the catalytic mechanism responsible for formamide production via C-N coupling. The insight developed here paves the way for the use of molecular systems in electrochemical small-molecule cross-coupling reactions.</w:t>
      </w:r>
    </w:p>
    <w:p>
      <w:pPr>
        <w:spacing w:before="120" w:after="120"/>
      </w:pPr>
      <w:r>
        <w:rPr>
          <w:sz w:val="18"/>
        </w:rPr>
        <w:t>——————————————————————————————————————————————————————————————————————</w:t>
      </w:r>
    </w:p>
    <w:p>
      <w:pPr>
        <w:spacing w:before="160" w:after="40" w:line="240" w:lineRule="auto"/>
      </w:pPr>
      <w:r>
        <w:rPr>
          <w:b/>
        </w:rPr>
        <w:t xml:space="preserve">[2] </w:t>
      </w:r>
      <w:hyperlink r:id="rId406">
        <w:r>
          <w:rPr>
            <w:color w:val="1155CC"/>
            <w:u w:val="single"/>
          </w:rPr>
          <w:t>金属氢键有机框架中大气二氧化碳转化为乙醛的人工光合作用</w:t>
        </w:r>
      </w:hyperlink>
    </w:p>
    <w:p>
      <w:pPr>
        <w:spacing w:before="0" w:after="80"/>
      </w:pPr>
      <w:r>
        <w:rPr>
          <w:i/>
          <w:sz w:val="20"/>
        </w:rPr>
        <w:t>EN: Atmospheric CO₂-to-acetaldehyde artificial photosynthesis in metallo hydrogen-bonded organic frameworks</w:t>
      </w:r>
    </w:p>
    <w:p>
      <w:pPr>
        <w:spacing w:before="0" w:after="120"/>
      </w:pPr>
      <w:r>
        <w:rPr>
          <w:b/>
        </w:rPr>
        <w:t xml:space="preserve">Source: </w:t>
      </w:r>
      <w:r>
        <w:t>Physical sciences : Nature Communications subject feeds</w:t>
      </w:r>
      <w:r>
        <w:t xml:space="preserve">    </w:t>
      </w:r>
      <w:r>
        <w:rPr>
          <w:b/>
        </w:rPr>
        <w:t xml:space="preserve">Pub date: </w:t>
      </w:r>
      <w:r>
        <w:t>2026-07-12 00:00:00+00:00</w:t>
      </w:r>
    </w:p>
    <w:p>
      <w:pPr>
        <w:spacing w:before="0" w:after="120"/>
      </w:pPr>
      <w:r>
        <w:rPr>
          <w:b/>
        </w:rPr>
        <w:t xml:space="preserve">Notes: </w:t>
      </w:r>
      <w:r>
        <w:t>abstract_source=nature_html</w:t>
      </w:r>
    </w:p>
    <w:p>
      <w:pPr>
        <w:spacing w:before="0" w:after="80" w:lineRule="auto" w:line="276"/>
      </w:pPr>
      <w:r>
        <w:rPr>
          <w:b/>
        </w:rPr>
        <w:t xml:space="preserve">摘要（ZH）: </w:t>
      </w:r>
      <w:r>
        <w:t>利用大气二氧化碳进行人工光合作用乙醛的前景非常广阔，但仍受到空气中二氧化碳浓度低和质子转移动力学缓慢的严重限制。在此，我们报道了 HNNU-X（X = O、S、Se）的金属氢键有机骨架（MHOF），它能够直接从空气、水和自然阳光中合成乙醛。其中，HNNU-Se在室外条件下无需牺牲剂即可展现出具有竞争力的乙醛产率，可达557.1 μmol g⁻1 h⁻1，且基于电子的选择性高达95%。机理研究表明，HNNU-X 创造了一个富含质子的微环境，其中 [Zn(tpy)]2+ 阳离子充当 CO2 捕获和直接空气捕获的活化位点，而 [XCN]- 阴离子充当质子穿梭机，促进原位产生的 H⁺ 从太阳能驱动的水氧化到吸附的 CO2 的快速转移。这项工作使得CO2还原和H2O氧化协同耦合，从而实现乙醛的高效人工光合作用。</w:t>
      </w:r>
    </w:p>
    <w:p>
      <w:pPr>
        <w:spacing w:before="0" w:after="200" w:lineRule="auto" w:line="276"/>
      </w:pPr>
      <w:r>
        <w:rPr>
          <w:b/>
        </w:rPr>
        <w:t xml:space="preserve">Abstract (EN): </w:t>
      </w:r>
      <w:r>
        <w:t>Artificial photosynthesis of acetaldehyde from atmospheric CO2 is highly promising, yet remains severely limited by low CO2 concentration in air and sluggish proton transfer kinetics. Herein, we report metallo hydrogen-bonded organic frameworks (MHOFs) of HNNU-X (X = O, S, Se) which enable acetaldehyde synthesis directly from air, water, and natural sunlight. Among them, HNNU-Se exhibits a competitive acetaldehyde production rate of 557.1 μmol g⁻¹ h⁻¹ with high electron-based selectivity of 95% under outdoor conditions, without need of sacrificial agents. Mechanistic studies reveal that HNNU-X creates a proton-rich microenvironment in which [Zn(tpy)]2+ cations function as CO2 capture and activation sites for direct air capture, while [XCN]– anions serve as proton shuttles, facilitating rapid transfer of in-situ generated H⁺ from solar-driven water oxidation to adsorbed CO2. This work enables the synergistic coupling of CO2 reduction and H2O oxidation, thereby achieving efficient artificial photosynthesis of acetaldehyde.</w:t>
      </w:r>
    </w:p>
    <w:p>
      <w:pPr>
        <w:spacing w:before="120" w:after="120"/>
      </w:pPr>
      <w:r>
        <w:rPr>
          <w:sz w:val="18"/>
        </w:rPr>
        <w:t>——————————————————————————————————————————————————————————————————————</w:t>
      </w:r>
    </w:p>
    <w:p>
      <w:pPr>
        <w:spacing w:before="160" w:after="40" w:line="240" w:lineRule="auto"/>
      </w:pPr>
      <w:r>
        <w:rPr>
          <w:b/>
        </w:rPr>
        <w:t xml:space="preserve">[3] </w:t>
      </w:r>
      <w:hyperlink r:id="rId407">
        <w:r>
          <w:rPr>
            <w:color w:val="1155CC"/>
            <w:u w:val="single"/>
          </w:rPr>
          <w:t>CCUS 供应链的多目标优化：桥接经济、环境和安全绩效</w:t>
        </w:r>
      </w:hyperlink>
    </w:p>
    <w:p>
      <w:pPr>
        <w:spacing w:before="0" w:after="80"/>
      </w:pPr>
      <w:r>
        <w:rPr>
          <w:i/>
          <w:sz w:val="20"/>
        </w:rPr>
        <w:t>EN: Multi-objective optimisation of CCUS supply chains: Bridging economic, environmental, and safety performance</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08">
        <w:r>
          <w:rPr>
            <w:color w:val="1155CC"/>
            <w:u w:val="single"/>
          </w:rPr>
          <w:t>对称差异氧空位基序调节 Au-CeO x 界面，用于 CO 2 选择性光催化生产乙烷</w:t>
        </w:r>
      </w:hyperlink>
    </w:p>
    <w:p>
      <w:pPr>
        <w:spacing w:before="0" w:after="80"/>
      </w:pPr>
      <w:r>
        <w:rPr>
          <w:i/>
          <w:sz w:val="20"/>
        </w:rPr>
        <w:t>EN: Symmetry-Differentiated Oxygen-Vacancy Motifs Regulate Au–CeO x Interfaces for Selective Photocatalytic Ethane Production from CO 2</w:t>
      </w:r>
    </w:p>
    <w:p>
      <w:pPr>
        <w:spacing w:before="0" w:after="120"/>
      </w:pPr>
      <w:r>
        <w:rPr>
          <w:b/>
        </w:rPr>
        <w:t xml:space="preserve">Source: </w:t>
      </w:r>
      <w:r>
        <w:t>Journal of the American Chemical Society: Latest Articles (ACS Publications)</w:t>
      </w:r>
      <w:r>
        <w:t xml:space="preserve">    </w:t>
      </w:r>
      <w:r>
        <w:rPr>
          <w:b/>
        </w:rPr>
        <w:t xml:space="preserve">Pub date: </w:t>
      </w:r>
      <w:r>
        <w:t>2026-07-12 00:00:00+00:00</w:t>
      </w:r>
      <w:r>
        <w:t xml:space="preserve">    </w:t>
      </w:r>
      <w:r>
        <w:rPr>
          <w:b/>
        </w:rPr>
        <w:t xml:space="preserve">DOI: </w:t>
      </w:r>
      <w:hyperlink r:id="rId409">
        <w:r>
          <w:rPr>
            <w:color w:val="1155CC"/>
            <w:u w:val="single"/>
          </w:rPr>
          <w:t>10.1021/jacs.6c12060</w:t>
        </w:r>
      </w:hyperlink>
    </w:p>
    <w:p>
      <w:pPr>
        <w:spacing w:before="0" w:after="120"/>
      </w:pPr>
      <w:r>
        <w:rPr>
          <w:b/>
        </w:rPr>
        <w:t xml:space="preserve">Notes: </w:t>
      </w:r>
      <w:r>
        <w:t>abstract_source=pubmed</w:t>
      </w:r>
    </w:p>
    <w:p>
      <w:pPr>
        <w:spacing w:before="0" w:after="80" w:lineRule="auto" w:line="276"/>
      </w:pPr>
      <w:r>
        <w:rPr>
          <w:b/>
        </w:rPr>
        <w:t xml:space="preserve">摘要（ZH）: </w:t>
      </w:r>
      <w:r>
        <w:t>由于缓慢的多电子/质子转移动力学以及 C-C 耦合的高能量需求，引导 CO2 光还原生成 C2 碳氢化合物仍然具有挑战性。在此，我们报告了一种火焰喷射热解策略来构建 Au-CeOx 纳米结构，该结构在 Au-CeOx 界面上具有共存的对称氧空位（Ce-Ov-Ce）和对称破缺氧空位（Au-Ov-Ce）基序。对称的Ce-Ov-Ce位点为CO2活化提供了有利的吸附环境，而对称性破坏的Au-Ov-Ce位点则诱导界面电子重新分布并促进电子富集。这两种空位构型之间的协同相互作用将反应路线从 *CO 解吸转向深度氢化和 *CH3 介导的 C-C 偶联。结果表明，优化后的Au-CeOx-SAOv催化剂在光催化H2O还原CO2过程中，C2H6产率为2581 μmol gAu-1 h-1，选择性为88.14%，电子利用率为41.22 mmol gAu-1 h-1。机理研究表明，对称性破坏的 Au-Ov-Ce 位点可以稳定氢化 C1 中间体，并降低耦合两个 *CH3 物质的能量需求。这项工作建立了对称分化氧空位工程作为将多电子 CO2 光还原引导至 C2 碳氢化合物的有效策略。</w:t>
      </w:r>
    </w:p>
    <w:p>
      <w:pPr>
        <w:spacing w:before="0" w:after="200" w:lineRule="auto" w:line="276"/>
      </w:pPr>
      <w:r>
        <w:rPr>
          <w:b/>
        </w:rPr>
        <w:t xml:space="preserve">Abstract (EN): </w:t>
      </w:r>
      <w:r>
        <w:t>Steering CO2 photoreduction toward C2 hydrocarbons remains challenging because of the sluggish multielectron/proton-transfer kinetics and the high energetic demand for C-C coupling. Herein, we report a flame-spray-pyrolysis strategy to construct Au-CeOx nanostructures featuring coexisting symmetric oxygen vacancies (Ce-Ov-Ce) and symmetry-broken oxygen vacancy (Au-Ov-Ce) motifs at the Au-CeOx interface. The symmetric Ce-Ov-Ce sites provide favorable adsorption environments for CO2 activation, whereas the symmetry-broken Au-Ov-Ce sites induce interfacial electron redistribution and promote electron enrichment. The cooperative interaction between these two vacancy configurations shifts the reaction route from *CO desorption toward deep hydrogenation and *CH3-mediated C-C coupling. As a result, the optimized Au-CeOx-SAOv catalyst achieves a C2H6 production rate of 2581 μmol gAu-1 h-1 with a selectivity of 88.14% and an electron utilization rate of 41.22 mmol gAu-1 h-1 in photocatalytic CO2 reduction with H2O. Mechanistic studies suggest that the symmetry-broken Au-Ov-Ce sites stabilize hydrogenated C1 intermediates and lower the energetic requirement for coupling two *CH3 species. This work establishes symmetry-differentiated oxygen-vacancy engineering as an effective strategy for directing multielectron CO2 photoreduction toward C2 hydrocarbons.</w:t>
      </w:r>
    </w:p>
    <w:p>
      <w:pPr>
        <w:spacing w:before="120" w:after="120"/>
      </w:pPr>
      <w:r>
        <w:rPr>
          <w:sz w:val="18"/>
        </w:rPr>
        <w:t>——————————————————————————————————————————————————————————————————————</w:t>
      </w:r>
    </w:p>
    <w:p>
      <w:pPr>
        <w:spacing w:before="160" w:after="40" w:line="240" w:lineRule="auto"/>
      </w:pPr>
      <w:r>
        <w:rPr>
          <w:b/>
        </w:rPr>
        <w:t xml:space="preserve">[5] </w:t>
      </w:r>
      <w:hyperlink r:id="rId410">
        <w:r>
          <w:rPr>
            <w:color w:val="1155CC"/>
            <w:u w:val="single"/>
          </w:rPr>
          <w:t>Cu 表面上的少数位点驱动 CO 2 电化学还原中的 C-C 耦合</w:t>
        </w:r>
      </w:hyperlink>
    </w:p>
    <w:p>
      <w:pPr>
        <w:spacing w:before="0" w:after="80"/>
      </w:pPr>
      <w:r>
        <w:rPr>
          <w:i/>
          <w:sz w:val="20"/>
        </w:rPr>
        <w:t>EN: Minority Sites on Cu Surfaces Drive C–C Coupling in the Electrochemical Reduction of CO 2</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411">
        <w:r>
          <w:rPr>
            <w:color w:val="1155CC"/>
            <w:u w:val="single"/>
          </w:rPr>
          <w:t>10.1021/jacs.6c03192</w:t>
        </w:r>
      </w:hyperlink>
    </w:p>
    <w:p>
      <w:pPr>
        <w:spacing w:before="0" w:after="120"/>
      </w:pPr>
      <w:r>
        <w:rPr>
          <w:b/>
        </w:rPr>
        <w:t xml:space="preserve">Notes: </w:t>
      </w:r>
      <w:r>
        <w:t>abstract_source=pubmed</w:t>
      </w:r>
    </w:p>
    <w:p>
      <w:pPr>
        <w:spacing w:before="0" w:after="80" w:lineRule="auto" w:line="276"/>
      </w:pPr>
      <w:r>
        <w:rPr>
          <w:b/>
        </w:rPr>
        <w:t xml:space="preserve">摘要（ZH）: </w:t>
      </w:r>
      <w:r>
        <w:t>Cu 上的电化学 CO2 还原反应 (CO2RR) 已被广泛研究作为一种重要温室气体的定价策略；然而，关键的机制问题仍未解决。在这项工作中，我们提出了一个机制框架，通过认识铜表面的位点异质性，合理化电化学条件下铜上的CO覆盖与C2+产物形成中CO2和CO的反应级之间的矛盾。 OC-CO 偶联主要发生在具有强 CO 亲和力的高活性少数位点上，而大多数表面 Cu 位点在 OC-CO 偶联中相对惰性。此外，分子抑制剂的结构和有效性之间的相关性表明，CuCO 位点可能位于高度弯曲的纳米结构上。这项工作提出了一个通用的机制框架来合理化 Cu 催化的 CO2RR，并提供了对活性位点结构的见解。</w:t>
      </w:r>
    </w:p>
    <w:p>
      <w:pPr>
        <w:spacing w:before="0" w:after="200" w:lineRule="auto" w:line="276"/>
      </w:pPr>
      <w:r>
        <w:rPr>
          <w:b/>
        </w:rPr>
        <w:t xml:space="preserve">Abstract (EN): </w:t>
      </w:r>
      <w:r>
        <w:t>The electrochemical CO2 reduction reaction (CO2RR) on Cu has been extensively investigated as a strategy to valorize a prominent greenhouse gas; however, key mechanistic questions remain unresolved. In this work, we propose a mechanistic framework to rationalize the contradiction between CO coverages on Cu under electrochemical conditions and the reaction orders of CO2 and CO in the formation of C2+ products by recognizing the site heterogeneity on Cu surfaces. OC-CO coupling occurs primarily on highly active minority sites with a strong CO affinity, while the majority of surface Cu sites are relatively inert in OC-CO coupling. Further, correlations between the structure and effectiveness of molecular inhibitors reveal that CuCO sites are likely located on highly curved nanostructures. This work proposes a general mechanistic framework to rationalize the Cu-catalyzed CO2RR and provides insights into the structure of active sites.</w:t>
      </w:r>
    </w:p>
    <w:p>
      <w:pPr>
        <w:spacing w:before="120" w:after="120"/>
      </w:pPr>
      <w:r>
        <w:rPr>
          <w:sz w:val="18"/>
        </w:rPr>
        <w:t>——————————————————————————————————————————————————————————————————————</w:t>
      </w:r>
    </w:p>
    <w:p>
      <w:pPr>
        <w:spacing w:before="160" w:after="40" w:line="240" w:lineRule="auto"/>
      </w:pPr>
      <w:r>
        <w:rPr>
          <w:b/>
        </w:rPr>
        <w:t xml:space="preserve">[6] </w:t>
      </w:r>
      <w:hyperlink r:id="rId412">
        <w:r>
          <w:rPr>
            <w:color w:val="1155CC"/>
            <w:u w:val="single"/>
          </w:rPr>
          <w:t>通过寄生氧析出反应利用活性质子在非质子介质中选择性电化学 CO 2 还原</w:t>
        </w:r>
      </w:hyperlink>
    </w:p>
    <w:p>
      <w:pPr>
        <w:spacing w:before="0" w:after="80"/>
      </w:pPr>
      <w:r>
        <w:rPr>
          <w:i/>
          <w:sz w:val="20"/>
        </w:rPr>
        <w:t>EN: Harnessing Active Protons through Parasitic Oxygen Evolution Reaction for Selective Electrochemical CO 2 Reduction in Aprotic Media</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413">
        <w:r>
          <w:rPr>
            <w:color w:val="1155CC"/>
            <w:u w:val="single"/>
          </w:rPr>
          <w:t>10.1021/acsami.6c08242</w:t>
        </w:r>
      </w:hyperlink>
    </w:p>
    <w:p>
      <w:pPr>
        <w:spacing w:before="0" w:after="120"/>
      </w:pPr>
      <w:r>
        <w:rPr>
          <w:b/>
        </w:rPr>
        <w:t xml:space="preserve">Notes: </w:t>
      </w:r>
      <w:r>
        <w:t>abstract_source=pubmed</w:t>
      </w:r>
    </w:p>
    <w:p>
      <w:pPr>
        <w:spacing w:before="0" w:after="80" w:lineRule="auto" w:line="276"/>
      </w:pPr>
      <w:r>
        <w:rPr>
          <w:b/>
        </w:rPr>
        <w:t xml:space="preserve">摘要（ZH）: </w:t>
      </w:r>
      <w:r>
        <w:t>CO2 的电化学还原对催化活性位点周围的局部微环境高度敏感。尽管在开发将二氧化碳转化为增值产品的高效催化剂方面取得了实质性进展，但由于质子源的可用性和受控输送有限，在非质子电解质中实现氢化二氧化碳还原产品仍具有挑战性。在此，我们提出了一种通过电化学环境工程电化学还原二氧化碳生成甲酸盐的策略，该策略在不添加任何质子溶剂的情况下促进氢化产物的形成。解耦质子发生协议能够实现从阳极室到阴极室的受控异位质子传输。分别用作阴极电解液和阳极电解液的非质子溶剂和水溶剂 (TBA-H+) 对甲酸盐的法拉第效率高达 93.2%，同时显着抑制竞争性析氢反应 (HER)。这种增强的性能归功于阳极室通过酸性析氧反应（OER）产生的连续且可调节的质子通量。</w:t>
      </w:r>
    </w:p>
    <w:p>
      <w:pPr>
        <w:spacing w:before="0" w:after="200" w:lineRule="auto" w:line="276"/>
      </w:pPr>
      <w:r>
        <w:rPr>
          <w:b/>
        </w:rPr>
        <w:t xml:space="preserve">Abstract (EN): </w:t>
      </w:r>
      <w:r>
        <w:t>Electrochemical reduction of CO2 is highly sensitive to the local microenvironment around the catalytic active sites. Despite substantial progress in the development of efficient catalysts for CO2 conversion to value-added products, achieving hydrogenated CO2 reduced products in aprotic electrolytes is challenging due to the limited availability and controlled delivery of proton sources. Herein, we present a strategy for the electrochemical reduction of CO2 to formate through electrochemical environment engineering, which facilitates hydrogenated product formation without the addition of any protic solvent. A decoupled proton generation protocol enables controlled ex situ proton transport from the anodic to the cathodic compartment. Aprotic and aqueous solvents used as catholytes and anolytes, respectively (TBA-H+), show a high Faradaic efficiency of 93.2% toward formate, accompanied by significant suppression of the competing hydrogen evolution reaction (HER). This enhanced performance is attributed to the continuous and regulated proton flux originating from the anodic compartment via acidic oxygen evolution reaction (OER).</w:t>
      </w:r>
    </w:p>
    <w:p>
      <w:pPr>
        <w:spacing w:before="120" w:after="120"/>
      </w:pPr>
      <w:r>
        <w:rPr>
          <w:sz w:val="18"/>
        </w:rPr>
        <w:t>——————————————————————————————————————————————————————————————————————</w:t>
      </w:r>
    </w:p>
    <w:p>
      <w:pPr>
        <w:spacing w:before="160" w:after="40" w:line="240" w:lineRule="auto"/>
      </w:pPr>
      <w:r>
        <w:rPr>
          <w:b/>
        </w:rPr>
        <w:t xml:space="preserve">[7] </w:t>
      </w:r>
      <w:hyperlink r:id="rId414">
        <w:r>
          <w:rPr>
            <w:color w:val="1155CC"/>
            <w:u w:val="single"/>
          </w:rPr>
          <w:t>电催化尿素定量的比色校正</w:t>
        </w:r>
      </w:hyperlink>
    </w:p>
    <w:p>
      <w:pPr>
        <w:spacing w:before="0" w:after="80"/>
      </w:pPr>
      <w:r>
        <w:rPr>
          <w:i/>
          <w:sz w:val="20"/>
        </w:rPr>
        <w:t>EN: Colorimetric correction of electrocatalytic urea quantification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作为绿色、可持续合成尿素的可行途径，电化学C-N偶联反应引起了人们的广泛关注。为了实现高催化耦合性能，高效的电催化剂是必不可少的。值得注意的是，尿素的精确定量是评估催化剂性能的基石。脲酶可以催化尿素分解为铵（NH4+），该过程通过计算NH4+浓度的增加量而广泛应用于电催化尿素合成的定量。出乎意料的是，所有四种商用脲酶中都存在 NH4+ 杂质，造成尿素浓度假阳性的巨大风险。即使使用NH4+杂质含量最低的脲酶，尿素的假阳性生产率也可以超过迄今为止在电催化尿素合成中大多数报道的性能。因此，我们推荐一个简单的程序，将商业脲酶的 NH4+ 杂质作为减项添加到传统脲酶方法的方程中，以实现可靠的尿素定量。精制脲酶方法的准确性在之前报道的 CO2/NO3− 系统中得到了验证，从而确保了尿素电合成的可靠发展。</w:t>
      </w:r>
    </w:p>
    <w:p>
      <w:pPr>
        <w:spacing w:before="0" w:after="200" w:lineRule="auto" w:line="276"/>
      </w:pPr>
      <w:r>
        <w:rPr>
          <w:b/>
        </w:rPr>
        <w:t xml:space="preserve">Abstract (EN): </w:t>
      </w:r>
      <w:r>
        <w:t>As a feasible path for the green and sustainable synthesis of urea, electrochemical C-N coupling reactions have attracted considerable attention. To achieve high catalytic coupling performances, efficient electrocatalysts are indispensable. Notably, precise quantification of urea serves as the cornerstone for assessing catalyst performance. Urease can catalyze the decomposition of urea into ammonium (NH4+), and this process is widely used in the quantification of electrocatalytic urea synthesis via calculating the increase of NH4+ concentration. Unexpectedly, NH4+ impurities are present in all four commercial ureases, posing a substantial risk of false-positive of urea concentration. Even when using the urease with the lowest content of NH4+ impurity, the false-positive production rate of urea can exceed most reported performance thus far in electrocatalytic urea synthesis. Therefore, we recommend a simple procedure that adds NH4+ impurity of commercial ureases as a subtractive term into the equation of conventional urease method for reliable urea quantification. The accuracy of the refined urease method is validated in previously reported CO2/NO3− system, thereby ensuring reliable development in urea electrosynthesis.</w:t>
      </w:r>
    </w:p>
    <w:p>
      <w:pPr>
        <w:spacing w:before="120" w:after="120"/>
      </w:pPr>
      <w:r>
        <w:rPr>
          <w:sz w:val="18"/>
        </w:rPr>
        <w:t>——————————————————————————————————————————————————————————————————————</w:t>
      </w:r>
    </w:p>
    <w:p>
      <w:pPr>
        <w:spacing w:before="160" w:after="40" w:line="240" w:lineRule="auto"/>
      </w:pPr>
      <w:r>
        <w:rPr>
          <w:b/>
        </w:rPr>
        <w:t xml:space="preserve">[8] </w:t>
      </w:r>
      <w:hyperlink r:id="rId319">
        <w:r>
          <w:rPr>
            <w:color w:val="1155CC"/>
            <w:u w:val="single"/>
          </w:rPr>
          <w:t>机器学习辅助开发 CO 2 加氢高性能乙醇合成催化剂</w:t>
        </w:r>
      </w:hyperlink>
    </w:p>
    <w:p>
      <w:pPr>
        <w:spacing w:before="0" w:after="80"/>
      </w:pPr>
      <w:r>
        <w:rPr>
          <w:i/>
          <w:sz w:val="20"/>
        </w:rPr>
        <w:t>EN: Machine Learning-Assisted Development of High-Performance Ethanol Synthesis Catalysts via CO 2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320">
        <w:r>
          <w:rPr>
            <w:color w:val="1155CC"/>
            <w:u w:val="single"/>
          </w:rPr>
          <w:t>10.1021/jacs.6c06886</w:t>
        </w:r>
      </w:hyperlink>
    </w:p>
    <w:p>
      <w:pPr>
        <w:spacing w:before="0" w:after="120"/>
      </w:pPr>
      <w:r>
        <w:rPr>
          <w:b/>
        </w:rPr>
        <w:t xml:space="preserve">Notes: </w:t>
      </w:r>
      <w:r>
        <w:t>abstract_source=pubmed</w:t>
      </w:r>
    </w:p>
    <w:p>
      <w:pPr>
        <w:spacing w:before="0" w:after="80" w:lineRule="auto" w:line="276"/>
      </w:pPr>
      <w:r>
        <w:rPr>
          <w:b/>
        </w:rPr>
        <w:t xml:space="preserve">摘要（ZH）: </w:t>
      </w:r>
      <w:r>
        <w:t>高性能催化剂的发现和开发对于所有催化领域都至关重要，需要先进的技术和创新方法。最近，机器学习 (ML) 在加速这一过程方面显示出了希望，但其能力和发现真正新颖催化剂的例子仍然有限。在这项研究中，我们描述了一种超越传统元素库的机器学习方法，结合了以前未研究过的元素，以开发通过二氧化碳加氢合成乙醇的高效催化剂。从 58 种催化剂的初始数据集（在 240-400 °C 反应温度范围内获得的 274 个数据点）开始，我们对闭环发现系统（ML 预测 + 实验验证）进行了 24 次迭代，测试了总共 555 种催化剂（2477 个数据点），并构建了一个大型实验数据集。通过这种数据驱动的方法发现了 50 多种具有优异活性的催化剂。多元素Pd(0.8)-Au(0.3)/K(2.5)-Sr(1)-Fe(20)-Zn(4)-Cd(2)-Yb(1)-Re(1)/CeO2(25%)-ZrO2催化剂（括号中的数字代表重量百分比（wt %））被认为是最有效的乙醇合成催化剂（乙醇时空产率：8.2 mmol） gcat-1 h-1，反应条件为360 ℃、4 MPa、12 L gcat-1 h-1，H2/CO2 = 3/1，CO2 转化率为 57.6%，乙醇选择性为 23.2%。综合表征，包括原位/操作技术，例如 X 射线吸收光谱 (XAS)、常压 X 射线光电子能谱 (AP-XPS)、</w:t>
      </w:r>
    </w:p>
    <w:p>
      <w:pPr>
        <w:spacing w:before="0" w:after="200" w:lineRule="auto" w:line="276"/>
      </w:pPr>
      <w:r>
        <w:rPr>
          <w:b/>
        </w:rPr>
        <w:t xml:space="preserve">Abstract (EN): </w:t>
      </w:r>
      <w:r>
        <w:t>The discovery and development of high-performance catalysts, which is crucial across all catalysis areas, requires advanced technologies and innovative approaches. Recently, machine learning (ML) has shown promise in accelerating this process, but its capability and examples of discovery of truly novel catalysts have remained limited. In this study, we describe an ML approach that goes beyond the traditional element pool, incorporating elements that have not been previously studied, to develop highly efficient catalysts for ethanol synthesis via CO2 hydrogenation. Starting with an initial data set of 58 catalysts (274 data points obtained at reaction temperatures ranging from 240-400 °C), we conducted 24 iterations of a closed-loop discovery system (ML predictions + experimental validation), testing a total of 555 catalysts (2477 data points), and building a large experimental data set. More than 50 catalysts with superior activity were discovered through this data-driven approach. The multielemental Pd(0.8)-Au(0.3)/K(2.5)-Sr(1)-Fe(20)-Zn(4)-Cd(2)-Yb(1)-Re(1)/CeO2(25%)-ZrO2 catalyst, where the numbers in parentheses represent weight percent (wt %), was identified as the most effective catalyst for ethanol synthesis (ethanol space-time yield: 8.2 mmol gcat-1 h-1 with a CO2 conversion of 57.6% and an ethanol selectivity of 23.2% under reaction conditions of 360 °C, 4 MPa, 12 L gcat-1 h-1, H2/CO2 = 3/1). Comprehensive characterizations, including in situ/operando techniques such as X-ray absorption spectroscopy (XAS), ambient-pressure X-ray photoelectron spectroscopy (AP-XPS), and diffuse reflectance infrared Fourier transform spectroscopy (DRIFTS), enable us to highlight the critical roles of each constituting element in improving ethanol synthesis efficiency.</w:t>
      </w:r>
    </w:p>
    <w:p>
      <w:pPr>
        <w:spacing w:before="120" w:after="120"/>
      </w:pPr>
      <w:r>
        <w:rPr>
          <w:sz w:val="18"/>
        </w:rPr>
        <w:t>——————————————————————————————————————————————————————————————————————</w:t>
      </w:r>
    </w:p>
    <w:p>
      <w:pPr>
        <w:spacing w:before="160" w:after="40" w:line="240" w:lineRule="auto"/>
      </w:pPr>
      <w:r>
        <w:rPr>
          <w:b/>
        </w:rPr>
        <w:t xml:space="preserve">[9] </w:t>
      </w:r>
      <w:hyperlink r:id="rId377">
        <w:r>
          <w:rPr>
            <w:color w:val="1155CC"/>
            <w:u w:val="single"/>
          </w:rPr>
          <w:t>结合碳管理技术的氢基炼钢效率驱动经济分析</w:t>
        </w:r>
      </w:hyperlink>
    </w:p>
    <w:p>
      <w:pPr>
        <w:spacing w:before="0" w:after="80"/>
      </w:pPr>
      <w:r>
        <w:rPr>
          <w:i/>
          <w:sz w:val="20"/>
        </w:rPr>
        <w:t>EN: An efficiency driving economic analysis for hydrogen-based steel making integrated with carbon management technologies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415">
        <w:r>
          <w:rPr>
            <w:color w:val="1155CC"/>
            <w:u w:val="single"/>
          </w:rPr>
          <w:t>流道晶体中类似纳米线的 C2H2 组装可增强 348 K 下的 C2H2/CO2 分离</w:t>
        </w:r>
      </w:hyperlink>
    </w:p>
    <w:p>
      <w:pPr>
        <w:spacing w:before="0" w:after="80"/>
      </w:pPr>
      <w:r>
        <w:rPr>
          <w:i/>
          <w:sz w:val="20"/>
        </w:rPr>
        <w:t>EN: Nanowire-like C2H2 assembly in a flow-channel crystal boosts C2H2/CO2 separation at 348 K</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由于传统吸附剂中主客体相互作用的热不稳定性，在高温下有效吸附分离乙炔（C2H2）和二氧化碳（CO2）（这意味着节省能源消耗）仍然是一个艰巨的挑战。受聚合物系统中观察到的线性分子组装稳定性的启发，我们报告了一种微孔晶体 NTU-103，其一维 (1D) 螺旋流道形状将 C2H2 分子吸附成“纳米线”状结构，通过 348 K 下的协同主客体和客体客体相互作用稳定，同时隔离 CO2。这种独特的限制机制得到了变温原位晶体学、红外光谱分析和建模计算的证实，使强大的 NTU-103 能够在工业优选条件 (348 K) 下实现高 C2H2/CO2 选择性（高达 96）和可循环的突破性分离性能。这项工作解决了高温分离的关键挑战，并提供了对成形气体纳米结构的基本见解，以推进多孔材料以最小的能量输入实现具有挑战性的分离。</w:t>
      </w:r>
    </w:p>
    <w:p>
      <w:pPr>
        <w:spacing w:before="0" w:after="200" w:lineRule="auto" w:line="276"/>
      </w:pPr>
      <w:r>
        <w:rPr>
          <w:b/>
        </w:rPr>
        <w:t xml:space="preserve">Abstract (EN): </w:t>
      </w:r>
      <w:r>
        <w:t>Efficient adsorptive separation of acetylene (C2H2) from carbon dioxide (CO2) at elevated temperatures, which signifies saved energy consumption, remains a formidable challenge due to the thermal instability of host–guest interactions in conventional adsorbents. Inspired by the stability of linear molecular assemblies observed in polymer systems, we report a microporous crystal, NTU-103, whose one-dimensional (1D) helical flow-channel shapes adsorbed C2H2 molecules into a “nanowire”-like structure stabilized by synergistic host–guest and guest–guest interactions at 348 K, while isolating CO2. This unique confinement mechanism, confirmed by varied-temperature in-situ crystallographic, infrared spectroscopic analyses and modeling calculations, enables the robust NTU-103 to achieve a high C2H2/CO2 selectivity (up to 96) and cyclable breakthrough separation performance at industrially preferred conditions (348 K). This work addresses a key challenge of high-temperature separation, and provides fundamental insights into shaped gas nanostructures for advancing porous materials targeting challenging separations with minimal energy input.</w:t>
      </w:r>
    </w:p>
    <w:p>
      <w:pPr>
        <w:spacing w:before="120" w:after="120"/>
      </w:pPr>
      <w:r>
        <w:rPr>
          <w:sz w:val="18"/>
        </w:rPr>
        <w:t>——————————————————————————————————————————————————————————————————————</w:t>
      </w:r>
    </w:p>
    <w:p>
      <w:pPr>
        <w:spacing w:before="160" w:after="40" w:line="240" w:lineRule="auto"/>
      </w:pPr>
      <w:r>
        <w:rPr>
          <w:b/>
        </w:rPr>
        <w:t xml:space="preserve">[11] </w:t>
      </w:r>
      <w:hyperlink r:id="rId416">
        <w:r>
          <w:rPr>
            <w:color w:val="1155CC"/>
            <w:u w:val="single"/>
          </w:rPr>
          <w:t>环对亚苯基衍生的多孔有机圆柱体</w:t>
        </w:r>
      </w:hyperlink>
    </w:p>
    <w:p>
      <w:pPr>
        <w:spacing w:before="0" w:after="80"/>
      </w:pPr>
      <w:r>
        <w:rPr>
          <w:i/>
          <w:sz w:val="20"/>
        </w:rPr>
        <w:t>EN: Cycloparaphenylene-Derived Porous Organic Cylinders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417">
        <w:r>
          <w:rPr>
            <w:color w:val="1155CC"/>
            <w:u w:val="single"/>
          </w:rPr>
          <w:t>10.1021/jacs.6c11182</w:t>
        </w:r>
      </w:hyperlink>
    </w:p>
    <w:p>
      <w:pPr>
        <w:spacing w:before="0" w:after="120"/>
      </w:pPr>
      <w:r>
        <w:rPr>
          <w:b/>
        </w:rPr>
        <w:t xml:space="preserve">Notes: </w:t>
      </w:r>
      <w:r>
        <w:t>abstract_source=pubmed</w:t>
      </w:r>
    </w:p>
    <w:p>
      <w:pPr>
        <w:spacing w:before="0" w:after="80" w:lineRule="auto" w:line="276"/>
      </w:pPr>
      <w:r>
        <w:rPr>
          <w:b/>
        </w:rPr>
        <w:t xml:space="preserve">摘要（ZH）: </w:t>
      </w:r>
      <w:r>
        <w:t>环对亚苯基具有独特的径向共轭和高大环刚性，在开发新型多孔结构方面具有显着但尚未充分开发的潜力。我们报告了三种多孔有机圆柱体（POCys）的合理设计和简便合成。通过动态硼酸酯键，两个儿茶酚官能化环对亚苯基的同轴共价组装可以生成圆柱形支架，该支架具有具有互连通道网络的大内部空腔。其中一种POCys具有高孔隙率，Brunauer-Emmett-Teller比表面积为1241 m2·g-1，具有优异的气体吸附能力。这项工作证明了环对亚苯基衍生物作为设计功能性多孔有机结构的分子平台的前景。</w:t>
      </w:r>
    </w:p>
    <w:p>
      <w:pPr>
        <w:spacing w:before="0" w:after="200" w:lineRule="auto" w:line="276"/>
      </w:pPr>
      <w:r>
        <w:rPr>
          <w:b/>
        </w:rPr>
        <w:t xml:space="preserve">Abstract (EN): </w:t>
      </w:r>
      <w:r>
        <w:t>Cycloparaphenylenes, with their distinctive radial conjugation and high macrocyclic rigidity, hold significant yet underexplored potential for the development of novel porous structures. We report the rational design and facile synthesis of three porous organic cylinders (POCys). Through dynamic boronate ester linkages, the coaxial covalent assembly of two catechol-functionalized cycloparaphenylenes could generate cylindrical scaffolds featuring large intrinsic cavities with interconnected channel networks. One of the POCys exhibits high porosity, showing a Brunauer-Emmett-Teller surface area of 1241 m2·g-1 and excellent gas adsorption capability. This work demonstrates the promise of cycloparaphenylene derivatives as a molecular platform for designing functional porous organic architectures.</w:t>
      </w:r>
    </w:p>
    <w:p>
      <w:pPr>
        <w:spacing w:before="120" w:after="120"/>
      </w:pPr>
      <w:r>
        <w:rPr>
          <w:sz w:val="18"/>
        </w:rPr>
        <w:t>——————————————————————————————————————————————————————————————————————</w:t>
      </w:r>
    </w:p>
    <w:p>
      <w:pPr>
        <w:spacing w:before="160" w:after="40" w:line="240" w:lineRule="auto"/>
      </w:pPr>
      <w:r>
        <w:rPr>
          <w:b/>
        </w:rPr>
        <w:t xml:space="preserve">[12] </w:t>
      </w:r>
      <w:hyperlink r:id="rId418">
        <w:r>
          <w:rPr>
            <w:color w:val="1155CC"/>
            <w:u w:val="single"/>
          </w:rPr>
          <w:t>用于CO 2 光还原的光活性异孔共价金属有机框架</w:t>
        </w:r>
      </w:hyperlink>
    </w:p>
    <w:p>
      <w:pPr>
        <w:spacing w:before="0" w:after="80"/>
      </w:pPr>
      <w:r>
        <w:rPr>
          <w:i/>
          <w:sz w:val="20"/>
        </w:rPr>
        <w:t>EN: Photoactive Heteropore Covalent Metal–Organic Frameworks for CO 2 Photoreduction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419">
        <w:r>
          <w:rPr>
            <w:color w:val="1155CC"/>
            <w:u w:val="single"/>
          </w:rPr>
          <w:t>10.1021/jacs.6c08157</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金属有机框架（MOF）作为一类有前景的光催化剂已被用于光催化二氧化碳还原反应（CO2RR）。尽管已经开发了许多增强光催化活性的策略，但构建用于 CO2RR 的光活性异孔 MOF 仍然很大程度上未被探索。在此，我们报道了两种基于二维（2D）铜环状三核单元（Cu-CTU）的异孔共价MOF（CMOF）和两种同质孔类似物的合成。有趣的是，异孔 CMOF 的二氧化碳吸收量是同孔类似物的两倍。此外，在异孔CMOF中引入光敏单元促进了光捕获和电荷分离，在[Ru(bpy)3]Cl2存在的情况下，CO生成率为3548 μmol g-1 h-1，选择性为94.7%，表观量子产率(AQY)为6.78%（在420 nm处）。值得注意的是，光活性异孔 CMOF 在稀释 CO2 和自然阳光条件下具有高光催化活性。我们的工作表明，将异质孔结构和光敏单元纳入 MOF 中可以协同增强光催化 CO2RR 性能。</w:t>
      </w:r>
    </w:p>
    <w:p>
      <w:pPr>
        <w:spacing w:before="0" w:after="200" w:lineRule="auto" w:line="276"/>
      </w:pPr>
      <w:r>
        <w:rPr>
          <w:b/>
        </w:rPr>
        <w:t xml:space="preserve">Abstract (EN): </w:t>
      </w:r>
      <w:r>
        <w:t>Metal-organic frameworks (MOFs) as a class of promising photocatalysts have been used for photocatalytic CO2 reduction reaction (CO2RR). Although many strategies have been developed for enhancing the photocatalytic activities, constructing photoactive heteropore MOFs for CO2RR remains largely unexplored. Herein, we report the synthesis of two two-dimensional (2D) copper cyclic trinuclear unit (Cu-CTU)-based heteropore covalent MOFs (CMOFs) and two homopore analogues. Interestingly, the heteropore CMOFs showed two times higher CO2 uptake than their homopore analogues. Moreover, the introduction of photosensitive units into heteropore CMOFs promoted light harvesting as well as charge separation, achieving a CO generation rate of 3548 μmol g-1 h-1 with 94.7% selectivity and an apparent quantum yield (AQY) of 6.78% at 420 nm in the presence of [Ru(bpy)3]Cl2. Notably, the photoactive heteropore CMOFs delivered high photocatalytic activity under diluted CO2 and natural sunlight conditions. Our work demonstrated that incorporation of heteropore structures and photosensitive units into MOFs can synergistically enhance photocatalytic CO2RR performance.</w:t>
      </w:r>
    </w:p>
    <w:p>
      <w:pPr>
        <w:spacing w:before="120" w:after="120"/>
      </w:pPr>
      <w:r>
        <w:rPr>
          <w:sz w:val="18"/>
        </w:rPr>
        <w:t>——————————————————————————————————————————————————————————————————————</w:t>
      </w:r>
    </w:p>
    <w:p>
      <w:pPr>
        <w:spacing w:before="160" w:after="40" w:line="240" w:lineRule="auto"/>
      </w:pPr>
      <w:r>
        <w:rPr>
          <w:b/>
        </w:rPr>
        <w:t xml:space="preserve">[13] </w:t>
      </w:r>
      <w:hyperlink r:id="rId328">
        <w:r>
          <w:rPr>
            <w:color w:val="1155CC"/>
            <w:u w:val="single"/>
          </w:rPr>
          <w:t>用于高效节能气体分离的可扩展准纯 MOF 膜</w:t>
        </w:r>
      </w:hyperlink>
    </w:p>
    <w:p>
      <w:pPr>
        <w:spacing w:before="0" w:after="80"/>
      </w:pPr>
      <w:r>
        <w:rPr>
          <w:i/>
          <w:sz w:val="20"/>
        </w:rPr>
        <w:t>EN: Scalable quasi-pure MOF membranes for energy-efficient gas separations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329">
        <w:r>
          <w:rPr>
            <w:color w:val="1155CC"/>
            <w:u w:val="single"/>
          </w:rPr>
          <w:t>10.1038/s41586-026-10655-9</w:t>
        </w:r>
      </w:hyperlink>
    </w:p>
    <w:p>
      <w:pPr>
        <w:spacing w:before="0" w:after="120"/>
      </w:pPr>
      <w:r>
        <w:rPr>
          <w:b/>
        </w:rPr>
        <w:t xml:space="preserve">Notes: </w:t>
      </w:r>
      <w:r>
        <w:t>abstract_source=nature_html</w:t>
      </w:r>
    </w:p>
    <w:p>
      <w:pPr>
        <w:spacing w:before="0" w:after="80" w:lineRule="auto" w:line="276"/>
      </w:pPr>
      <w:r>
        <w:rPr>
          <w:b/>
        </w:rPr>
        <w:t xml:space="preserve">摘要（ZH）: </w:t>
      </w:r>
      <w:r>
        <w:t>金属有机骨架 (MOF) 膜在解决能源密集型气体分离的能源问题方面具有巨大潜力1,2,3,4,5。导出方便的可扩展协议对于将基于 MOF 的膜成功转化和部署到实际应用中至关重要6,7,8。在这里，我们报告了一种新的膜结构，即准纯 MOF 膜（&gt; 90 vol% MOF），可使用行业可靠的溶液加工技术进行大规模制造，并提供接近相关纯 MOF 膜的分离性能，充分发挥 MOF 的内在潜力。这一进步是通过合并相方法实现的，该方法将 MOF 和聚合物融合成单个伪连续相，并提供具有类似聚合物表面特性的 MOF，即使在极端固体浓度下也能实现流变控制的絮凝网络。代表性基准 MOF（ZIF-67、CALF-20 和 CuBDC）被制成准纯膜，并对其基本分离进行了评估，包括丙烯/丙烷、乙烯/乙烷、碳捕获和氢气纯化。工业工厂实现了准纯 (110) 取向 ZIF-67 膜的连续卷对卷制造，展示了工业相关性。对于丙烯/丙烷分离，这些膜的丙烯渗透性约为 160 barrer，混合气体选择性约为 100，足以生产聚合物级丙烯，根据技术经济分析，与蒸馏相比，纯化成本降低 80%。这项研究解决了绩效之间长期存在的差距</w:t>
      </w:r>
    </w:p>
    <w:p>
      <w:pPr>
        <w:spacing w:before="0" w:after="200" w:lineRule="auto" w:line="276"/>
      </w:pPr>
      <w:r>
        <w:rPr>
          <w:b/>
        </w:rPr>
        <w:t xml:space="preserve">Abstract (EN): </w:t>
      </w:r>
      <w:r>
        <w:t>Metal–organic framework (MOF) membranes offer great potential to address the energy penalties of energy-intensive gas separations1,2,3,4,5. Deriving convenient scalable protocols is essential for the successful translation and deployment of MOF-based membranes into practical applications6,7,8. Here we report a new membrane architecture, the quasi-pure MOF membrane (&gt;90 vol% MOF), manufacturable at scale using industry-reliable solution-processing techniques and offering separation performance approaching that of associated pure MOF membranes, fully realizing the MOF intrinsic potential. This advance is enabled by a merged-phase approach fusing MOFs and polymers into a single pseudo-continuous phase and proffering MOFs with polymer-like surface properties, allowing rheologically controlled flocculated networks even at extreme solid concentrations. Representative benchmark MOFs (ZIF-67, CALF-20 and CuBDC) were fabricated into quasi-pure membranes and evaluated for essential separations, including propylene/propane, ethylene/ethane, carbon capture and hydrogen purification. Demonstrating industrial relevance, continuous roll-to-roll fabrication of quasi-pure (110)-oriented ZIF-67 membranes was achieved at an industrial plant. For propylene/propane separation, these membranes achieve a propylene permeability of about 160 barrer and mixed-gas selectivity of about 100—sufficient to produce polymer-grade propylene, offering an 80% purification cost reduction compared with distillation based on techno-economic analysis. This study addresses the long-standing gap between performance and scalability of crystalline membranes for demanding molecular separations.</w:t>
      </w:r>
    </w:p>
    <w:p>
      <w:pPr>
        <w:spacing w:before="120" w:after="120"/>
      </w:pPr>
      <w:r>
        <w:rPr>
          <w:sz w:val="18"/>
        </w:rPr>
        <w:t>——————————————————————————————————————————————————————————————————————</w:t>
      </w:r>
    </w:p>
    <w:p>
      <w:pPr>
        <w:spacing w:before="160" w:after="40" w:line="240" w:lineRule="auto"/>
      </w:pPr>
      <w:r>
        <w:rPr>
          <w:b/>
        </w:rPr>
        <w:t xml:space="preserve">[14] </w:t>
      </w:r>
      <w:hyperlink r:id="rId420">
        <w:r>
          <w:rPr>
            <w:color w:val="1155CC"/>
            <w:u w:val="single"/>
          </w:rPr>
          <w:t>通过双齿配位稳定 Cu δ+ 位点以实现高效电化学 C-C 耦合</w:t>
        </w:r>
      </w:hyperlink>
    </w:p>
    <w:p>
      <w:pPr>
        <w:spacing w:before="0" w:after="80"/>
      </w:pPr>
      <w:r>
        <w:rPr>
          <w:i/>
          <w:sz w:val="20"/>
        </w:rPr>
        <w:t>EN: Stabilizing Cu δ+ Sites via Bidentate Coordination toward Efficient Electrochemical C–C Coupling</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421">
        <w:r>
          <w:rPr>
            <w:color w:val="1155CC"/>
            <w:u w:val="single"/>
          </w:rPr>
          <w:t>10.1021/acsami.6c03478</w:t>
        </w:r>
      </w:hyperlink>
    </w:p>
    <w:p>
      <w:pPr>
        <w:spacing w:before="0" w:after="120"/>
      </w:pPr>
      <w:r>
        <w:rPr>
          <w:b/>
        </w:rPr>
        <w:t xml:space="preserve">Notes: </w:t>
      </w:r>
      <w:r>
        <w:t>abstract_source=pubmed</w:t>
      </w:r>
    </w:p>
    <w:p>
      <w:pPr>
        <w:spacing w:before="0" w:after="80" w:lineRule="auto" w:line="276"/>
      </w:pPr>
      <w:r>
        <w:rPr>
          <w:b/>
        </w:rPr>
        <w:t xml:space="preserve">摘要（ZH）: </w:t>
      </w:r>
      <w:r>
        <w:t>铜（Cu）基电催化剂可以促进电催化二氧化碳还原反应（eCO2RR）过程中的C-C耦合。然而，Cu 容易变化的氧化态导致生成的 *CO 中间体解吸为 CO 或进一步偶联成 C2+ 产物的混合物，导致乙醇的选择性和收率较差。在此，我们在聚丙烯酸固定化铜（PAA-Cu）电催化剂中以高分散度稳定Cuδ+（0 &lt; δ &lt; 1）活性位点，其中铜原子与PAA基质中的羧酸根（-COO-）配体形成强双齿螯合物。这种配位环境精确调节Cu的局域电子结构，促进电子重新分布，并使Cu离子的d带中心上移。密度泛函理论计算表明，稳定的Cuδ+位点促进*CO-COH偶联形成*OCCOH中间体，从而有利于选择性生产乙醇，其法拉第效率高达61.9%，大约是未修饰的Cu纳米粒子电极（31.2%）的两倍，同时保持稳定运行约28小时。这项工作证明了配体介导的协调工程在调节选择性 eCO2RR 的 Cu 活性位点中的关键作用。</w:t>
      </w:r>
    </w:p>
    <w:p>
      <w:pPr>
        <w:spacing w:before="0" w:after="200" w:lineRule="auto" w:line="276"/>
      </w:pPr>
      <w:r>
        <w:rPr>
          <w:b/>
        </w:rPr>
        <w:t xml:space="preserve">Abstract (EN): </w:t>
      </w:r>
      <w:r>
        <w:t>Copper (Cu)-based electrocatalysts can promote C-C coupling during the electrocatalytic CO2 reduction reaction (eCO2RR). However, the easily variable oxide states of Cu cause the generated *CO intermediate to either desorb as CO or undergo further coupling into a mixture of C2+ products, resulting in poor selectivity and yield toward ethanol. Herein, we stabilize Cuδ+ (0 &lt; δ &lt; 1) active sites with high dispersion in a polyacrylic acid immobilized Cu (PAA-Cu) electrocatalyst, where Cu atoms form strongly bidentate chelates with carboxylate (-COO-) ligands in the PAA matrix. This coordination environment precisely modulates the local electronic structure of Cu, promotes electron redistribution, and upshifts the d-band center of Cu ions. Density functional theory calculations reveal that stabilized Cuδ+ sites facilitate *CO-COH coupling to form the *OCCOH intermediate, thereby favoring the selective production of ethanol with a Faradaic efficiency of up to 61.9%, which is approximately twofold higher than that of an unmodified Cu nanoparticle electrode (31.2%) while maintaining stable operation for ∼28 h. This work demonstrates the critical role of ligand-mediated coordination engineering in regulating Cu active sites for selective eCO2RR.</w:t>
      </w:r>
    </w:p>
    <w:p>
      <w:pPr>
        <w:spacing w:before="120" w:after="120"/>
      </w:pPr>
      <w:r>
        <w:rPr>
          <w:sz w:val="18"/>
        </w:rPr>
        <w:t>——————————————————————————————————————————————————————————————————————</w:t>
      </w:r>
    </w:p>
    <w:p>
      <w:pPr>
        <w:spacing w:before="160" w:after="40" w:line="240" w:lineRule="auto"/>
      </w:pPr>
      <w:r>
        <w:rPr>
          <w:b/>
        </w:rPr>
        <w:t xml:space="preserve">[15] </w:t>
      </w:r>
      <w:hyperlink r:id="rId422">
        <w:r>
          <w:rPr>
            <w:color w:val="1155CC"/>
            <w:u w:val="single"/>
          </w:rPr>
          <w:t>Re-Ni原子对的双齿吸附模式在CO2电还原中诱导超低过电势</w:t>
        </w:r>
      </w:hyperlink>
    </w:p>
    <w:p>
      <w:pPr>
        <w:spacing w:before="0" w:after="80"/>
      </w:pPr>
      <w:r>
        <w:rPr>
          <w:i/>
          <w:sz w:val="20"/>
        </w:rPr>
        <w:t>EN: The Bidentate Adsorption Mode of Re‐Ni Atomic Pairs Inducing the Ultralow Overpotential in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2026-07-15 11:47:47+00:00</w:t>
      </w:r>
      <w:r>
        <w:t xml:space="preserve">    </w:t>
      </w:r>
      <w:r>
        <w:rPr>
          <w:b/>
        </w:rPr>
        <w:t xml:space="preserve">DOI: </w:t>
      </w:r>
      <w:hyperlink r:id="rId423">
        <w:r>
          <w:rPr>
            <w:color w:val="1155CC"/>
            <w:u w:val="single"/>
          </w:rPr>
          <w:t>10.1002/anie.1716945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开发用于电化学二氧化碳还原反应（eCO</w:t>
      </w:r>
      <w:r>
        <w:rPr>
          <w:vertAlign w:val="subscript"/>
        </w:rPr>
        <w:t>2</w:t>
      </w:r>
      <w:r>
        <w:t>R) 对于减少大气中的二氧化碳至关重要</w:t>
      </w:r>
      <w:r>
        <w:rPr>
          <w:vertAlign w:val="subscript"/>
        </w:rPr>
        <w:t>2</w:t>
      </w:r>
      <w:r>
        <w:t>水平并实现碳中和能源循环。在此，受天然一氧化碳脱氢酶激活机制的启发，我们制备了一种负载于氮掺杂碳催化剂（ReNi-N/C）上的Re-Ni双原子催化剂，具有相邻的Re-Ni原子对，表现出出色的eCO</w:t>
      </w:r>
      <w:r>
        <w:rPr>
          <w:vertAlign w:val="subscript"/>
        </w:rPr>
        <w:t>2</w:t>
      </w:r>
      <w:r>
        <w:t>CO 部分电流密度为 −427.6 mA cm 时的 R 性能</w:t>
      </w:r>
      <w:r>
        <w:t xml:space="preserve"> </w:t>
      </w:r>
      <w:r>
        <w:t>−2</w:t>
      </w:r>
      <w:r>
        <w:t xml:space="preserve"> </w:t>
      </w:r>
      <w:r>
        <w:t>CO 的法拉第效率接近 100% (FE</w:t>
      </w:r>
      <w:r>
        <w:t xml:space="preserve"> </w:t>
      </w:r>
      <w:r>
        <w:t>一氧化碳</w:t>
      </w:r>
      <w:r>
        <w:t xml:space="preserve"> </w:t>
      </w:r>
      <w:r>
        <w:t>）。值得注意的是，它在 0.16 V 的超低过电势下工作，可实现 -27.0 mA cm 的 CO 部分电流密度</w:t>
      </w:r>
      <w:r>
        <w:t xml:space="preserve"> </w:t>
      </w:r>
      <w:r>
        <w:t>−1</w:t>
      </w:r>
      <w:r>
        <w:t xml:space="preserve"> </w:t>
      </w:r>
      <w:r>
        <w:t>并保持 95% 以上的 FE</w:t>
      </w:r>
      <w:r>
        <w:t xml:space="preserve"> </w:t>
      </w:r>
      <w:r>
        <w:t>一氧化碳</w:t>
      </w:r>
      <w:r>
        <w:t xml:space="preserve"> </w:t>
      </w:r>
      <w:r>
        <w:t>在-0.27 V至-0.80 V的宽电位范围内。原位光谱和密度泛函理论（DFT）计算表明，Re-Ni对的形成不仅导致Ni d带中心下移0.22 eV，而且还使*COOH中间体在Ni−Re位点上形成双齿吸附构型，从而加速*COOH形成和*CO解吸，从而在eCO中实现高活性和选择性</w:t>
      </w:r>
      <w:r>
        <w:rPr>
          <w:vertAlign w:val="subscript"/>
        </w:rPr>
        <w:t>2</w:t>
      </w:r>
      <w:r>
        <w:t>R.这项工作展示了一个n</w:t>
      </w:r>
    </w:p>
    <w:p>
      <w:pPr>
        <w:spacing w:before="0" w:after="200" w:lineRule="auto" w:line="276"/>
      </w:pPr>
      <w:r>
        <w:rPr>
          <w:b/>
        </w:rPr>
        <w:t xml:space="preserve">Abstract (EN): </w:t>
      </w:r>
      <w:r>
        <w:t>Developing highly efficient, selective, and low‐overpotential electrocatalysts for the electrochemical carbon dioxide reduction reaction (eCO</w:t>
      </w:r>
      <w:r>
        <w:rPr>
          <w:vertAlign w:val="subscript"/>
        </w:rPr>
        <w:t>2</w:t>
      </w:r>
      <w:r>
        <w:t>R) is crucial for mitigating atmospheric CO</w:t>
      </w:r>
      <w:r>
        <w:rPr>
          <w:vertAlign w:val="subscript"/>
        </w:rPr>
        <w:t>2</w:t>
      </w:r>
      <w:r>
        <w:t>levels and enabling carbon‐neutral energy cycles. Herein, inspired by the activation mechanism of natural carbon monoxide dehydrogenase, we fabricated a Re‐Ni dual‐atom catalyst supported on a nitrogen‐doped carbon catalyst (ReNi‐N/C), featuring adjacent Re‐Ni atomic pairs, that exhibits outstanding eCO</w:t>
      </w:r>
      <w:r>
        <w:rPr>
          <w:vertAlign w:val="subscript"/>
        </w:rPr>
        <w:t>2</w:t>
      </w:r>
      <w:r>
        <w:t>R performance with a CO partial current density of −427.6 mA cm</w:t>
      </w:r>
      <w:r>
        <w:t xml:space="preserve"> </w:t>
      </w:r>
      <w:r>
        <w:t>−2</w:t>
      </w:r>
      <w:r>
        <w:t xml:space="preserve"> </w:t>
      </w:r>
      <w:r>
        <w:t>and near 100% Faradaic efficiency for CO (FE</w:t>
      </w:r>
      <w:r>
        <w:t xml:space="preserve"> </w:t>
      </w:r>
      <w:r>
        <w:t>CO</w:t>
      </w:r>
      <w:r>
        <w:t xml:space="preserve"> </w:t>
      </w:r>
      <w:r>
        <w:t>). Notably, it operates at an ultralow overpotential of 0.16 V to achieve a CO partial current density of −27.0 mA cm</w:t>
      </w:r>
      <w:r>
        <w:t xml:space="preserve"> </w:t>
      </w:r>
      <w:r>
        <w:t>−1</w:t>
      </w:r>
      <w:r>
        <w:t xml:space="preserve"> </w:t>
      </w:r>
      <w:r>
        <w:t>and maintains over 95% FE</w:t>
      </w:r>
      <w:r>
        <w:t xml:space="preserve"> </w:t>
      </w:r>
      <w:r>
        <w:t>CO</w:t>
      </w:r>
      <w:r>
        <w:t xml:space="preserve"> </w:t>
      </w:r>
      <w:r>
        <w:t>within a broad potential range from −0.27 V to −0.80 V. In situ spectroscopy and density functional theory (DFT) calculations reveal that the formation of Re‐Ni pairs not only induces a downshift by 0.22 eV of the Ni d‐band center but also enables a bidentate adsorption configuration of the *COOH intermediate on the Ni−Re site, which accelerates *COOH formation and *CO desorption, thereby achieving high activity and selectivity in eCO</w:t>
      </w:r>
      <w:r>
        <w:rPr>
          <w:vertAlign w:val="subscript"/>
        </w:rPr>
        <w:t>2</w:t>
      </w:r>
      <w:r>
        <w:t>R. This work demonstrates a new strategy and theoretical basis for the rational design of bimetallic sites toward efficient CO</w:t>
      </w:r>
      <w:r>
        <w:rPr>
          <w:vertAlign w:val="subscript"/>
        </w:rPr>
        <w:t>2</w:t>
      </w:r>
      <w:r>
        <w:t>reduction electrocatalysts.</w:t>
      </w:r>
    </w:p>
    <w:p>
      <w:pPr>
        <w:spacing w:before="120" w:after="120"/>
      </w:pPr>
      <w:r>
        <w:rPr>
          <w:sz w:val="18"/>
        </w:rPr>
        <w:t>——————————————————————————————————————————————————————————————————————</w:t>
      </w:r>
    </w:p>
    <w:p>
      <w:pPr>
        <w:spacing w:before="160" w:after="40" w:line="240" w:lineRule="auto"/>
      </w:pPr>
      <w:r>
        <w:rPr>
          <w:b/>
        </w:rPr>
        <w:t xml:space="preserve">[16] </w:t>
      </w:r>
      <w:hyperlink r:id="rId424">
        <w:r>
          <w:rPr>
            <w:color w:val="1155CC"/>
            <w:u w:val="single"/>
          </w:rPr>
          <w:t>CO2 电还原中选择性 C3+ 形成的反应环境工程：进展与展望</w:t>
        </w:r>
      </w:hyperlink>
    </w:p>
    <w:p>
      <w:pPr>
        <w:spacing w:before="0" w:after="80"/>
      </w:pPr>
      <w:r>
        <w:rPr>
          <w:i/>
          <w:sz w:val="20"/>
        </w:rPr>
        <w:t>EN: Reaction Environment Engineering for Selective C3+ Formation in CO2 Electroreduction: Progress and Perspectives</w:t>
      </w:r>
    </w:p>
    <w:p>
      <w:pPr>
        <w:spacing w:before="0" w:after="120"/>
      </w:pPr>
      <w:r>
        <w:rPr>
          <w:b/>
        </w:rPr>
        <w:t xml:space="preserve">Source: </w:t>
      </w:r>
      <w:r>
        <w:t>Wiley: Angewandte Chemie International Edition: Table of Contents</w:t>
      </w:r>
      <w:r>
        <w:t xml:space="preserve">    </w:t>
      </w:r>
      <w:r>
        <w:rPr>
          <w:b/>
        </w:rPr>
        <w:t xml:space="preserve">Pub date: </w:t>
      </w:r>
      <w:r>
        <w:t>2026-07-15 11:49:31+00:00</w:t>
      </w:r>
      <w:r>
        <w:t xml:space="preserve">    </w:t>
      </w:r>
      <w:r>
        <w:rPr>
          <w:b/>
        </w:rPr>
        <w:t xml:space="preserve">DOI: </w:t>
      </w:r>
      <w:hyperlink r:id="rId425">
        <w:r>
          <w:rPr>
            <w:color w:val="1155CC"/>
            <w:u w:val="single"/>
          </w:rPr>
          <w:t>10.1002/anie.8317143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电催化CO</w:t>
      </w:r>
      <w:r>
        <w:rPr>
          <w:vertAlign w:val="subscript"/>
        </w:rPr>
        <w:t>2</w:t>
      </w:r>
      <w:r>
        <w:t>减少（ECRR）提供了生产高价值化学品的可持续方式。而C</w:t>
      </w:r>
      <w:r>
        <w:rPr>
          <w:vertAlign w:val="subscript"/>
        </w:rPr>
        <w:t>1</w:t>
      </w:r>
      <w:r>
        <w:t>和C</w:t>
      </w:r>
      <w:r>
        <w:rPr>
          <w:vertAlign w:val="subscript"/>
        </w:rPr>
        <w:t>2</w:t>
      </w:r>
      <w:r>
        <w:t>电合成取得了显着的成功，ECRR-to-C</w:t>
      </w:r>
      <w:r>
        <w:t xml:space="preserve"> </w:t>
      </w:r>
      <w:r>
        <w:t>3+</w:t>
      </w:r>
      <w:r>
        <w:t xml:space="preserve"> </w:t>
      </w:r>
      <w:r>
        <w:t>转化率仍然受到两个关键挑战的限制： 总体 C 较低</w:t>
      </w:r>
      <w:r>
        <w:t xml:space="preserve"> </w:t>
      </w:r>
      <w:r>
        <w:t>3+</w:t>
      </w:r>
      <w:r>
        <w:t xml:space="preserve"> </w:t>
      </w:r>
      <w:r>
        <w:t>对特定 C 的选择性和较差的选择性</w:t>
      </w:r>
      <w:r>
        <w:t xml:space="preserve"> </w:t>
      </w:r>
      <w:r>
        <w:t>3+</w:t>
      </w:r>
      <w:r>
        <w:t xml:space="preserve"> </w:t>
      </w:r>
      <w:r>
        <w:t>产品。为了解决这些问题，本综述总结了三种主要形成机制：*CO–*CO–*CO 偶联、*CO</w:t>
      </w:r>
      <w:r>
        <w:rPr>
          <w:vertAlign w:val="subscript"/>
        </w:rPr>
        <w:t>2</w:t>
      </w:r>
      <w:r>
        <w:t>–*OCHCH</w:t>
      </w:r>
      <w:r>
        <w:rPr>
          <w:vertAlign w:val="subscript"/>
        </w:rPr>
        <w:t>2</w:t>
      </w:r>
      <w:r>
        <w:t>耦合（*CO</w:t>
      </w:r>
      <w:r>
        <w:rPr>
          <w:vertAlign w:val="subscript"/>
        </w:rPr>
        <w:t>2</w:t>
      </w:r>
      <w:r>
        <w:t>插入）和*CO–*OCHCH</w:t>
      </w:r>
      <w:r>
        <w:rPr>
          <w:vertAlign w:val="subscript"/>
        </w:rPr>
        <w:t>2</w:t>
      </w:r>
      <w:r>
        <w:t>耦合（*CO 插入）。我们采用 Cu(100) 的热力学分析来构建综合反应网络。这种做法确定了关键的分支点以及碳氢化合物和含氧化合物途径之间的竞争。基于这些见解，我们重点介绍了一些新的反应环境工程策略，其中包括催化剂架构和电解质界面工程。这种集成方法有望同时促进 C-C 耦合和调整耦合后选择性。最后，我们提出了 ECRR-to-C 进一步发展的挑战和前景</w:t>
      </w:r>
      <w:r>
        <w:t xml:space="preserve"> </w:t>
      </w:r>
      <w:r>
        <w:t>3+</w:t>
      </w:r>
      <w:r>
        <w:t xml:space="preserve"> </w:t>
      </w:r>
      <w:r>
        <w:t>转换，旨在指导未来的研究</w:t>
      </w:r>
    </w:p>
    <w:p>
      <w:pPr>
        <w:spacing w:before="0" w:after="200" w:lineRule="auto" w:line="276"/>
      </w:pPr>
      <w:r>
        <w:rPr>
          <w:b/>
        </w:rPr>
        <w:t xml:space="preserve">Abstract (EN): </w:t>
      </w:r>
      <w:r>
        <w:t>Electrocatalytic CO</w:t>
      </w:r>
      <w:r>
        <w:rPr>
          <w:vertAlign w:val="subscript"/>
        </w:rPr>
        <w:t>2</w:t>
      </w:r>
      <w:r>
        <w:t>reduction (ECRR) offers a sustainable way to produce high‐value chemicals. While C</w:t>
      </w:r>
      <w:r>
        <w:rPr>
          <w:vertAlign w:val="subscript"/>
        </w:rPr>
        <w:t>1</w:t>
      </w:r>
      <w:r>
        <w:t>and C</w:t>
      </w:r>
      <w:r>
        <w:rPr>
          <w:vertAlign w:val="subscript"/>
        </w:rPr>
        <w:t>2</w:t>
      </w:r>
      <w:r>
        <w:t>electrosynthesis have achieved notable success, ECRR‐to‐C</w:t>
      </w:r>
      <w:r>
        <w:t xml:space="preserve"> </w:t>
      </w:r>
      <w:r>
        <w:t>3+</w:t>
      </w:r>
      <w:r>
        <w:t xml:space="preserve"> </w:t>
      </w:r>
      <w:r>
        <w:t>conversion remains limited by two key challenges: low overall C</w:t>
      </w:r>
      <w:r>
        <w:t xml:space="preserve"> </w:t>
      </w:r>
      <w:r>
        <w:t>3+</w:t>
      </w:r>
      <w:r>
        <w:t xml:space="preserve"> </w:t>
      </w:r>
      <w:r>
        <w:t>selectivity and poor selectivity for specific C</w:t>
      </w:r>
      <w:r>
        <w:t xml:space="preserve"> </w:t>
      </w:r>
      <w:r>
        <w:t>3+</w:t>
      </w:r>
      <w:r>
        <w:t xml:space="preserve"> </w:t>
      </w:r>
      <w:r>
        <w:t>products. To address these issues, this review summarizes three main formation mechanisms: *CO–*CO–*CO coupling, *CO</w:t>
      </w:r>
      <w:r>
        <w:rPr>
          <w:vertAlign w:val="subscript"/>
        </w:rPr>
        <w:t>2</w:t>
      </w:r>
      <w:r>
        <w:t>–*OCHCH</w:t>
      </w:r>
      <w:r>
        <w:rPr>
          <w:vertAlign w:val="subscript"/>
        </w:rPr>
        <w:t>2</w:t>
      </w:r>
      <w:r>
        <w:t>coupling (*CO</w:t>
      </w:r>
      <w:r>
        <w:rPr>
          <w:vertAlign w:val="subscript"/>
        </w:rPr>
        <w:t>2</w:t>
      </w:r>
      <w:r>
        <w:t>insertion), and *CO–*OCHCH</w:t>
      </w:r>
      <w:r>
        <w:rPr>
          <w:vertAlign w:val="subscript"/>
        </w:rPr>
        <w:t>2</w:t>
      </w:r>
      <w:r>
        <w:t>coupling (*CO insertion). We employ thermodynamic analysis on Cu(100) to build a comprehensive reaction network. This practice identifies key branching points and the competition between hydrocarbon and oxygenate pathways. Building on these insights, we highlight a couple of new reaction environment engineering strategies, which include catalyst architecture and electrolyte interface engineering. This integrated approach holds promise for simultaneously promoting C–C couplings and tuning post‐coupling selectivity. Finally, we propose challenges and perspectives for further development of ECRR‐to‐C</w:t>
      </w:r>
      <w:r>
        <w:t xml:space="preserve"> </w:t>
      </w:r>
      <w:r>
        <w:t>3+</w:t>
      </w:r>
      <w:r>
        <w:t xml:space="preserve"> </w:t>
      </w:r>
      <w:r>
        <w:t>conversion, aiming to guide future research in this field.</w:t>
      </w:r>
    </w:p>
    <w:p>
      <w:pPr>
        <w:spacing w:before="120" w:after="120"/>
      </w:pPr>
      <w:r>
        <w:rPr>
          <w:sz w:val="18"/>
        </w:rPr>
        <w:t>——————————————————————————————————————————————————————————————————————</w:t>
      </w:r>
    </w:p>
    <w:p>
      <w:pPr>
        <w:spacing w:before="160" w:after="40" w:line="240" w:lineRule="auto"/>
      </w:pPr>
      <w:r>
        <w:rPr>
          <w:b/>
        </w:rPr>
        <w:t xml:space="preserve">[17] </w:t>
      </w:r>
      <w:hyperlink r:id="rId426">
        <w:r>
          <w:rPr>
            <w:color w:val="1155CC"/>
            <w:u w:val="single"/>
          </w:rPr>
          <w:t>用于高性能 CO 2 电解的芴基阴离子交换膜中的分子量驱动链缠结</w:t>
        </w:r>
      </w:hyperlink>
    </w:p>
    <w:p>
      <w:pPr>
        <w:spacing w:before="0" w:after="80"/>
      </w:pPr>
      <w:r>
        <w:rPr>
          <w:i/>
          <w:sz w:val="20"/>
        </w:rPr>
        <w:t>EN: Molecular Weight-Driven Chain Entanglement in Fluorene-Based Anion Exchange Membranes for High-Performance CO 2 Electrolysis</w:t>
      </w:r>
    </w:p>
    <w:p>
      <w:pPr>
        <w:spacing w:before="0" w:after="120"/>
      </w:pPr>
      <w:r>
        <w:rPr>
          <w:b/>
        </w:rPr>
        <w:t xml:space="preserve">Source: </w:t>
      </w:r>
      <w:r>
        <w:t>ACS Energy Letters: Latest Articles (ACS Publications)</w:t>
      </w:r>
      <w:r>
        <w:t xml:space="preserve">    </w:t>
      </w:r>
      <w:r>
        <w:rPr>
          <w:b/>
        </w:rPr>
        <w:t xml:space="preserve">Pub date: </w:t>
      </w:r>
      <w:r>
        <w:t>2026-07-16 00:00:00+00:00</w:t>
      </w:r>
      <w:r>
        <w:t xml:space="preserve">    </w:t>
      </w:r>
      <w:r>
        <w:rPr>
          <w:b/>
        </w:rPr>
        <w:t xml:space="preserve">DOI: </w:t>
      </w:r>
      <w:hyperlink r:id="rId427">
        <w:r>
          <w:rPr>
            <w:color w:val="1155CC"/>
            <w:u w:val="single"/>
          </w:rPr>
          <w:t>10.1021/acsenergylett.6c01341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428">
        <w:r>
          <w:rPr>
            <w:color w:val="1155CC"/>
            <w:u w:val="single"/>
          </w:rPr>
          <w:t>通过原位表面增强拉曼光谱鉴定 CO 2 -to-C 2 H 4 电化学还原中的中间体</w:t>
        </w:r>
      </w:hyperlink>
    </w:p>
    <w:p>
      <w:pPr>
        <w:spacing w:before="0" w:after="80"/>
      </w:pPr>
      <w:r>
        <w:rPr>
          <w:i/>
          <w:sz w:val="20"/>
        </w:rPr>
        <w:t>EN: Identifying Intermediates in CO 2 -to-C 2 H 4 Electrochemical Reduction by In Situ Surface-Enhanced Raman Spectroscopy</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429">
        <w:r>
          <w:rPr>
            <w:color w:val="1155CC"/>
            <w:u w:val="single"/>
          </w:rPr>
          <w:t>10.1021/acsami.6c03703</w:t>
        </w:r>
      </w:hyperlink>
    </w:p>
    <w:p>
      <w:pPr>
        <w:spacing w:before="0" w:after="120"/>
      </w:pPr>
      <w:r>
        <w:rPr>
          <w:b/>
        </w:rPr>
        <w:t xml:space="preserve">Notes: </w:t>
      </w:r>
      <w:r>
        <w:t>abstract_source=pubmed</w:t>
      </w:r>
    </w:p>
    <w:p>
      <w:pPr>
        <w:spacing w:before="0" w:after="80" w:lineRule="auto" w:line="276"/>
      </w:pPr>
      <w:r>
        <w:rPr>
          <w:b/>
        </w:rPr>
        <w:t xml:space="preserve">摘要（ZH）: </w:t>
      </w:r>
      <w:r>
        <w:t>增值C2+产品的生产是电化学CO2还原反应（CO2RR）研究中的一个重要课题，原位光谱可以识别关键中间体，并为更深入地理解反应机理提供重要细节。应用“借用”表面增强拉曼光谱（SERS）策略，使用不同壳厚度的核壳Au@Cu2O纳米催化剂来探测中性（KHCO3 + KCl）和碱性（KOH）电解质中Cu2O表面的CO2RR路径。原位拉曼光谱测量表明，SERS 效应发生在表观壳厚度高达 100 nm 的情况下。比较分析揭示了低频结合 (LFB) 和高频结合 (HFB) *CO 中间体与电化学选择性之间的相关性。较高的*COLFB/*COHFB 比率有利于C2H4 的生成，而丰富的*COHFB 则导致主要CO 的形成。</w:t>
      </w:r>
    </w:p>
    <w:p>
      <w:pPr>
        <w:spacing w:before="0" w:after="200" w:lineRule="auto" w:line="276"/>
      </w:pPr>
      <w:r>
        <w:rPr>
          <w:b/>
        </w:rPr>
        <w:t xml:space="preserve">Abstract (EN): </w:t>
      </w:r>
      <w:r>
        <w:t>Production of value-added C2+ products is an important topic in the research of electrochemical CO2 reduction reaction (CO2RR), and in situ spectroscopy identifies key intermediates and provides important details for a deeper understanding of the reaction mechanism. Applying a "borrowing" surface-enhanced Raman spectroscopy (SERS) strategy, core-shell Au@Cu2O nanocatalysts with different shell thickness were used to probe the CO2RR pathways on the surface of Cu2O in both neutral (KHCO3 + KCl) and alkaline (KOH) electrolytes. In situ Raman spectroscopic measurements showed that the SERS effect occurs at the apparent shell thicknesses of up to 100 nm. Comparative analysis uncovers the correlation between low-frequency-binding (LFB) and high-frequency-binding (HFB) *CO intermediates and electrochemical selectivity. A higher *COLFB/*COHFB ratio favors the generation of C2H4, while abundant *COHFB leads to predominant CO formation.</w:t>
      </w:r>
    </w:p>
    <w:p>
      <w:pPr>
        <w:spacing w:before="120" w:after="120"/>
      </w:pPr>
      <w:r>
        <w:rPr>
          <w:sz w:val="18"/>
        </w:rPr>
        <w:t>——————————————————————————————————————————————————————————————————————</w:t>
      </w:r>
    </w:p>
    <w:p>
      <w:pPr>
        <w:spacing w:before="160" w:after="40" w:line="240" w:lineRule="auto"/>
      </w:pPr>
      <w:r>
        <w:rPr>
          <w:b/>
        </w:rPr>
        <w:t xml:space="preserve">[19] </w:t>
      </w:r>
      <w:hyperlink r:id="rId430">
        <w:r>
          <w:rPr>
            <w:color w:val="1155CC"/>
            <w:u w:val="single"/>
          </w:rPr>
          <w:t>无序多孔材料中气体传输的广义努森理论</w:t>
        </w:r>
      </w:hyperlink>
    </w:p>
    <w:p>
      <w:pPr>
        <w:spacing w:before="0" w:after="80"/>
      </w:pPr>
      <w:r>
        <w:rPr>
          <w:i/>
          <w:sz w:val="20"/>
        </w:rPr>
        <w:t>EN: A generalized Knudsen theory for gas transport in disordered porous materials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通过纳米多孔材料的气体传输是膜分离、催化和能源技术的核心。预测这些材料的渗透率对于性能评估和材料设计至关重要，但其复杂的多孔网络带来了重大挑战。在这里，我们开发了随机多孔材料中克努森流的通用理论框架。我们进一步推导了一个简洁的渗透率方程，该方程仅依赖于两个可测量的结构参数：平均孔径和孔隙率。对 5000 个孔隙率范围为 0 到 0.8 的随机多孔网络进行蒙特卡洛模拟，验证了 R2 = 0.985 的理论。非平衡分子动力学模拟证实了该理论对多孔膜材料的适用性，包括固有微孔聚合物、聚酰胺和沸石咪唑酯框架。通过考虑分子尺寸效应，我们扩展了框架来预测具有亚纳米孔的材料中的气体选择性，这与弱吸附气体的实验数据表现出良好的一致性。这项工作将努森理论扩展到随机多孔网络和分子大小的孔隙，为预测纳米多孔材料的气体渗透率和选择性提供了实用且易于使用的工具。</w:t>
      </w:r>
    </w:p>
    <w:p>
      <w:pPr>
        <w:spacing w:before="0" w:after="200" w:lineRule="auto" w:line="276"/>
      </w:pPr>
      <w:r>
        <w:rPr>
          <w:b/>
        </w:rPr>
        <w:t xml:space="preserve">Abstract (EN): </w:t>
      </w:r>
      <w:r>
        <w:t>Gas transport through nanoporous materials is central to membrane separations, catalysis, and energy technologies. Predicting permeability in these materials is crucial for performance evaluation and material design, but their complex porous network poses significant challenges. Here, we develop a generalized theoretical framework for Knudsen flow in random porous materials. We further derive a concise permeability equation dependent solely on two measurable structural parameters: mean pore size and porosity. Monte Carlo simulations across 5000 random porous networks with porosities ranging from 0 to 0.8 validate the theory with R2 = 0.985. Non-equilibrium molecular dynamics simulations confirm the applicability of the theory to porous membrane materials, including polymers of intrinsic microporosity, polyamide, and zeolitic imidazolate frameworks. By accounting for molecular size effects, we extend the framework to predict gas selectivity in materials with sub-nanometer pores, showing good agreement with experimental data for weakly adsorbing gases. This work extends Knudsen theory to random porous networks and molecular-sized pores, providing a practical and accessible tool for predicting gas permeability and selectivity in nanoporous materials.</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431">
        <w:r>
          <w:rPr>
            <w:color w:val="1155CC"/>
            <w:u w:val="single"/>
          </w:rPr>
          <w:t>海底采矿需要及时治理</w:t>
        </w:r>
      </w:hyperlink>
    </w:p>
    <w:p>
      <w:pPr>
        <w:spacing w:before="0" w:after="80"/>
      </w:pPr>
      <w:r>
        <w:rPr>
          <w:i/>
          <w:sz w:val="20"/>
        </w:rPr>
        <w:t>EN: Seabed mining requires timely governance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432">
        <w:r>
          <w:rPr>
            <w:color w:val="1155CC"/>
            <w:u w:val="single"/>
          </w:rPr>
          <w:t>10.1126/science.aei7769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433">
        <w:r>
          <w:rPr>
            <w:color w:val="1155CC"/>
            <w:u w:val="single"/>
          </w:rPr>
          <w:t>具有闭环可回收性和拓扑可编程性的高度动态且稳定的聚酮亚胺网络</w:t>
        </w:r>
      </w:hyperlink>
    </w:p>
    <w:p>
      <w:pPr>
        <w:spacing w:before="0" w:after="80"/>
      </w:pPr>
      <w:r>
        <w:rPr>
          <w:i/>
          <w:sz w:val="20"/>
        </w:rPr>
        <w:t>EN: Highly Dynamic Yet Stable Polyketimine Networks with Closed-Loop Recyclability and Topological Programmability</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434">
        <w:r>
          <w:rPr>
            <w:color w:val="1155CC"/>
            <w:u w:val="single"/>
          </w:rPr>
          <w:t>10.1021/jacs.6c00544</w:t>
        </w:r>
      </w:hyperlink>
    </w:p>
    <w:p>
      <w:pPr>
        <w:spacing w:before="0" w:after="120"/>
      </w:pPr>
      <w:r>
        <w:rPr>
          <w:b/>
        </w:rPr>
        <w:t xml:space="preserve">Notes: </w:t>
      </w:r>
      <w:r>
        <w:t>abstract_source=pubmed</w:t>
      </w:r>
    </w:p>
    <w:p>
      <w:pPr>
        <w:spacing w:before="0" w:after="80" w:lineRule="auto" w:line="276"/>
      </w:pPr>
      <w:r>
        <w:rPr>
          <w:b/>
        </w:rPr>
        <w:t xml:space="preserve">摘要（ZH）: </w:t>
      </w:r>
      <w:r>
        <w:t>通过解聚进行闭环回收已成为减轻塑料污染的一种有前景的策略。理想的可回收聚合物网络应具有高度动态的键，可有效解聚成单体/低聚物。然而，这种内在的键不稳定性不可避免地会带来关键的权衡，因为它通常会破坏材料的稳定性。在这项工作中，我们设计了一种聚酮亚胺网络，可以在温和条件下闭环回收，无需消耗性试剂或催化剂，同时在使用过程中保持强大的机械性能。在分子水平上，由于酮和胺反应物的空间位阻，受阻酮亚胺键仍然足够不稳定，可以解聚回设计的低聚物。然而，在网络层面，疏水相可阻止水的进入，有效“锁定”网络，即使在恶劣条件下（85°C，85% 相对湿度，48 小时）也能保持机械性能。当需要回收时，相容的有机溶剂会破坏这些疏水相，使水渗透网络并引发解聚。因此，解聚和再聚合循环可以仅使用易于回收的水和溶剂在温和条件下进行。通过利用这种动态化学，合成的聚合物可以分解并重新组装成不同的网络拓扑，对应于跨越 6 个数量级的杨氏模量。我们的工作表明，可以利用本质上不稳定的动态键来构建稳定的材料</w:t>
      </w:r>
    </w:p>
    <w:p>
      <w:pPr>
        <w:spacing w:before="0" w:after="200" w:lineRule="auto" w:line="276"/>
      </w:pPr>
      <w:r>
        <w:rPr>
          <w:b/>
        </w:rPr>
        <w:t xml:space="preserve">Abstract (EN): </w:t>
      </w:r>
      <w:r>
        <w:t>Closed-loop recycling via depolymerization has emerged as a promising strategy to mitigate plastic pollution. Ideal recyclable polymer networks should feature highly dynamic bonds that depolymerize efficiently into monomers/oligomers. However, this intrinsic bond lability inevitably introduces a critical trade-off, as it typically undermines the material's stability. In this work, we design a polyketimine network that can be closed-loop recycled under mild conditions, without the need for consumable reagents or catalysts, while retaining robust mechanical properties during use. At the molecular level, hindered ketimine bonds remain sufficiently labile to depolymerize back to the designed oligomers, due to the steric hindrance from the ketone and amine reactants. At the network level, however, hydrophobic phases block water ingress, effectively "locking" the network and preserving mechanical performance even under harsh conditions (85 °C, 85% relative humidity, 48 h). When recycling is desired, a compatible organic solvent disrupts these hydrophobic phases, allowing water to penetrate the network and trigger depolymerization. Consequently, depolymerization and repolymerization cycles can be conducted using only easily recoverable water and solvents under mild conditions. By leveraging this dynamic chemistry, the synthesized polymers can be disassembled and reassembled into diverse network topologies, corresponding to a Young's modulus that spans 6 orders of magnitude. Our work demonstrates that intrinsically labile dynamic bonds can be harnessed to build stable materials with tunable properties, offering a versatile platform for next-generation closed-loop recyclable polymers.</w:t>
      </w:r>
    </w:p>
    <w:p>
      <w:pPr>
        <w:spacing w:before="120" w:after="120"/>
      </w:pPr>
      <w:r>
        <w:rPr>
          <w:sz w:val="18"/>
        </w:rPr>
        <w:t>——————————————————————————————————————————————————————————————————————</w:t>
      </w:r>
    </w:p>
    <w:p>
      <w:pPr>
        <w:spacing w:before="160" w:after="40" w:line="240" w:lineRule="auto"/>
      </w:pPr>
      <w:r>
        <w:rPr>
          <w:b/>
        </w:rPr>
        <w:t xml:space="preserve">[2] </w:t>
      </w:r>
      <w:hyperlink r:id="rId435">
        <w:r>
          <w:rPr>
            <w:color w:val="1155CC"/>
            <w:u w:val="single"/>
          </w:rPr>
          <w:t>无催化剂、微滴介导的废塑料转化为二酸</w:t>
        </w:r>
      </w:hyperlink>
    </w:p>
    <w:p>
      <w:pPr>
        <w:spacing w:before="0" w:after="80"/>
      </w:pPr>
      <w:r>
        <w:rPr>
          <w:i/>
          <w:sz w:val="20"/>
        </w:rPr>
        <w:t>EN: Catalyst-free, microdroplet-mediated waste plastic conversion to diacids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436">
        <w:r>
          <w:rPr>
            <w:color w:val="1155CC"/>
            <w:u w:val="single"/>
          </w:rPr>
          <w:t>10.1038/s41586-026-10746-7</w:t>
        </w:r>
      </w:hyperlink>
    </w:p>
    <w:p>
      <w:pPr>
        <w:spacing w:before="0" w:after="120"/>
      </w:pPr>
      <w:r>
        <w:rPr>
          <w:b/>
        </w:rPr>
        <w:t xml:space="preserve">Notes: </w:t>
      </w:r>
      <w:r>
        <w:t>abstract_source=nature_html</w:t>
      </w:r>
    </w:p>
    <w:p>
      <w:pPr>
        <w:spacing w:before="0" w:after="80" w:lineRule="auto" w:line="276"/>
      </w:pPr>
      <w:r>
        <w:rPr>
          <w:b/>
        </w:rPr>
        <w:t xml:space="preserve">摘要（ZH）: </w:t>
      </w:r>
      <w:r>
        <w:t>塑料废物堆积对环境和公众健康构成全球威胁1,2,3。尽管催化升级循环生产增值化学品前景广阔，但其工业应用受到添加剂引起的催化剂失活、原料异质性、工艺不灵活性和有限的经济可行性的阻碍4。在此，我们报告了一种无催化剂的升级回收策略，该策略利用微滴界面处原位生成羟基自由基5,6,7,8，使各种废塑料（从聚烯烃到橡胶）在温和条件下氧化裂解为羧酸。通过消除依赖于催化剂的途径，这种方法规避了催化剂设计和中毒的关键挑战，同时大大降低了技术障碍和成本9,10。我们的方法在相对温和的条件下实现了聚乙烯 (PE) 的完全转化，对短链二酸的选择性接近 69%，并证明了对混合商业塑料的广泛适用性，并具有高达 300 克规模的可扩展性。自由基中间体分析揭示了 H2O 在介导独特的氧化降解机制中的关键作用：羟基自由基与烷基自由基的连续加成，与烷烃的经典液相有氧氧化不同。这种界面自由基介导的策略能够以最少的基础设施实现可持续的聚合物升级回收。更广泛地说，据我们所知，这项工作为第一个微滴化学的工业实施提供了可扩展的蓝图，对氧化过程或</w:t>
      </w:r>
    </w:p>
    <w:p>
      <w:pPr>
        <w:spacing w:before="0" w:after="200" w:lineRule="auto" w:line="276"/>
      </w:pPr>
      <w:r>
        <w:rPr>
          <w:b/>
        </w:rPr>
        <w:t xml:space="preserve">Abstract (EN): </w:t>
      </w:r>
      <w:r>
        <w:t>Plastic waste accumulation poses a global threat to both the environment and public health1,2,3. Although catalytic upcycling to value-added chemicals holds promise, its industrial adoption is hindered by additive-induced catalyst deactivation, feedstock heterogeneity, process inflexibility and limited economic viability4. Here we report a catalyst-free upcycling strategy that makes use of in situ generation of hydroxyl radicals at microdroplet interfaces5,6,7,8 to enable oxidative cleavage of diverse waste plastics—from polyolefins to rubbers—into carboxylic acids under mild conditions. By eliminating catalyst-dependent pathways, this approach circumvents key challenges of catalyst design and poisoning, while substantially lowering technical barriers and costs9,10. Our method achieves complete conversion of polyethylene (PE) with selectivity to short-chain diacids approaching 69% under relatively mild conditions and demonstrated broad applicability to mixed commercial plastics, with scalability demonstrated up to the 300-g scale. Radical intermediate analysis reveals the crucial role of H2O in mediating a unique oxidative degradation mechanism: sequential hydroxyl radical addition to alkyl radicals, distinct from classical liquid-phase aerobic oxidation of alkane11. This interfacial radical-mediated strategy enables sustainable polymer upcycling with minimal infrastructure. More broadly, this work provides a scalable blueprint for the first, to our knowledge, industrial implementation of microdroplet chemistry, with transformative implications for oxidation processes in organic acid synthesis and beyond.</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437">
        <w:r>
          <w:rPr>
            <w:color w:val="1155CC"/>
            <w:u w:val="single"/>
          </w:rPr>
          <w:t>用于过氧化氢光合作用的具有重组抑制顺序电荷转移的仿生 D–A1–A2 有机笼</w:t>
        </w:r>
      </w:hyperlink>
    </w:p>
    <w:p>
      <w:pPr>
        <w:spacing w:before="0" w:after="80"/>
      </w:pPr>
      <w:r>
        <w:rPr>
          <w:i/>
          <w:sz w:val="20"/>
        </w:rPr>
        <w:t>EN: Biomimetic D–A1–A2 Organic Cages with Recombination-Suppressed Sequential Charge Transfer for Hydrogen Peroxide Photosynthesis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438">
        <w:r>
          <w:rPr>
            <w:color w:val="1155CC"/>
            <w:u w:val="single"/>
          </w:rPr>
          <w:t>10.1021/jacs.6c08119</w:t>
        </w:r>
      </w:hyperlink>
    </w:p>
    <w:p>
      <w:pPr>
        <w:spacing w:before="0" w:after="120"/>
      </w:pPr>
      <w:r>
        <w:rPr>
          <w:b/>
        </w:rPr>
        <w:t xml:space="preserve">Notes: </w:t>
      </w:r>
      <w:r>
        <w:t>abstract_source=pubmed</w:t>
      </w:r>
    </w:p>
    <w:p>
      <w:pPr>
        <w:spacing w:before="0" w:after="80" w:lineRule="auto" w:line="276"/>
      </w:pPr>
      <w:r>
        <w:rPr>
          <w:b/>
        </w:rPr>
        <w:t xml:space="preserve">摘要（ZH）: </w:t>
      </w:r>
      <w:r>
        <w:t>过氧化氢（H2O2）的光催化合成为绿色氧化和环境修复提供了一条可持续的途径，但其效率从根本上受到快速反向电荷重组的限制，这凸显了创建能够强制定向和重组抑制电荷转移的分子结构的综合挑战。受自然光合作用中类囊体膜分区反应中心内逐步电子转移的启发，我们设计了仿生供体-受体1-受体2（D-A1-A2）有机笼，其中供体和受体沿着能量梯度有序定位，以实现重组抑制的顺序电荷转移（RS-SCT）过程，从而促进光催化H2O2的产生。原位生成的二位硼化单体和 C3 对称单体通过 B-N 配位键成功构建了两种 D-A1-A2 有机笼单晶 BNC-O 和 BNC-S。两个笼都显示了从作为 D 的富电子三苯胺到作为 A1 的配位吡啶到作为 A2 的缺电子苯并恶二唑或苯并噻二唑的 RS-SCT 过程，这使得顺序电荷迁移并抑制反向电荷复合，并延长激发态寿命。结果，具有组织良好的活性位点的自组装二维晶体笼表现出显着增强的光催化H2O2生产性能，晶体BNC-O的产率达到4.15 mmol g-1 h-1，明显高于相应的复合材料。</w:t>
      </w:r>
    </w:p>
    <w:p>
      <w:pPr>
        <w:spacing w:before="0" w:after="200" w:lineRule="auto" w:line="276"/>
      </w:pPr>
      <w:r>
        <w:rPr>
          <w:b/>
        </w:rPr>
        <w:t xml:space="preserve">Abstract (EN): </w:t>
      </w:r>
      <w:r>
        <w:t>Photocatalytic synthesis of hydrogen peroxide (H2O2) offers a sustainable route toward green oxidation and environmental remediation, yet its efficiency is fundamentally constrained by rapid backward charge recombination, underscoring the synthetic challenge of creating molecular architectures capable of enforcing directional and recombination-suppressed charge transfer. Inspired by the stepwise electron transfer within the compartmentalized reaction centers of thylakoid membranes in natural photosynthesis, we design here biomimetic donor-acceptor 1-acceptor 2 (D-A1-A2) organic cages, where donors and acceptors are orderly positioned along an energy gradient to achieve a recombination-suppressed sequential charge transfer (RS-SCT) process, thereby promoting photocatalytic H2O2 production. Two single crystals of D-A1-A2 organic cages, BNC-O and BNC-S, are successfully constructed from in situ generated ditopic boronated monomers and C3-symmetric monomers via B-N dative bonds. Both cages show the RS-SCT process from electron-rich triphenylamines as the D through coordinated pyridines as A1 to more electron-deficient benzoxadiazoles or benzothiadiazoles as A2, which enable sequential charge migration and suppress backward charge recombination with prolonged excited-state lifetimes. As a result, the self-assembled two-dimensional crystalline cages featuring well-organized active sites exhibit significantly enhanced photocatalytic H2O2 production performance, achieving a rate of 4.15 mmol g-1 h-1 for crystalline BNC-O, which is markedly higher than those of the corresponding components lacking RS-SCT, including the individual D, A1, A2, and D-A systems. Furthermore, these D-A1-A2 organic cages are implemented in a photocatalytic microflow reactor for controllable in situ H2O2 generation under sunlight, which is further integrated into a cascade phenol-containing wastewater treatment system.</w:t>
      </w:r>
    </w:p>
    <w:p>
      <w:pPr>
        <w:spacing w:before="120" w:after="120"/>
      </w:pPr>
      <w:r>
        <w:rPr>
          <w:sz w:val="18"/>
        </w:rPr>
        <w:t>——————————————————————————————————————————————————————————————————————</w:t>
      </w:r>
    </w:p>
    <w:p>
      <w:pPr>
        <w:spacing w:before="160" w:after="40" w:line="240" w:lineRule="auto"/>
      </w:pPr>
      <w:r>
        <w:rPr>
          <w:b/>
        </w:rPr>
        <w:t xml:space="preserve">[2] </w:t>
      </w:r>
      <w:hyperlink r:id="rId439">
        <w:r>
          <w:rPr>
            <w:color w:val="1155CC"/>
            <w:u w:val="single"/>
          </w:rPr>
          <w:t>平衡气候目标和价格稳定：南非碳税案例</w:t>
        </w:r>
      </w:hyperlink>
    </w:p>
    <w:p>
      <w:pPr>
        <w:spacing w:before="0" w:after="80"/>
      </w:pPr>
      <w:r>
        <w:rPr>
          <w:i/>
          <w:sz w:val="20"/>
        </w:rPr>
        <w:t>EN: Balancing climate ambition and price stability: The case of South Africa’s carbon tax</w:t>
      </w:r>
    </w:p>
    <w:p>
      <w:pPr>
        <w:spacing w:before="0" w:after="120"/>
      </w:pPr>
      <w:r>
        <w:rPr>
          <w:b/>
        </w:rPr>
        <w:t xml:space="preserve">Source: </w:t>
      </w:r>
      <w:r>
        <w:t>ScienceDirect Publication: Energy Policy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40">
        <w:r>
          <w:rPr>
            <w:color w:val="1155CC"/>
            <w:u w:val="single"/>
          </w:rPr>
          <w:t>权力与平等：从发展中国家性别不平等的角度看待能源贫困</w:t>
        </w:r>
      </w:hyperlink>
    </w:p>
    <w:p>
      <w:pPr>
        <w:spacing w:before="0" w:after="80"/>
      </w:pPr>
      <w:r>
        <w:rPr>
          <w:i/>
          <w:sz w:val="20"/>
        </w:rPr>
        <w:t>EN: Power and parity: Viewing energy poverty from the lens of gender inequality in the developing countries</w:t>
      </w:r>
    </w:p>
    <w:p>
      <w:pPr>
        <w:spacing w:before="0" w:after="120"/>
      </w:pPr>
      <w:r>
        <w:rPr>
          <w:b/>
        </w:rPr>
        <w:t xml:space="preserve">Source: </w:t>
      </w:r>
      <w:r>
        <w:t>ScienceDirect Publication: Energy Policy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41">
        <w:r>
          <w:rPr>
            <w:color w:val="1155CC"/>
            <w:u w:val="single"/>
          </w:rPr>
          <w:t>连接宏观趋势和微观动态：用于中期负荷预测的稳健混合频率框架</w:t>
        </w:r>
      </w:hyperlink>
    </w:p>
    <w:p>
      <w:pPr>
        <w:spacing w:before="0" w:after="80"/>
      </w:pPr>
      <w:r>
        <w:rPr>
          <w:i/>
          <w:sz w:val="20"/>
        </w:rPr>
        <w:t>EN: Bridging macro-trend and micro-dynamics: A robust mixed-frequency framework for mid-term load forecasting</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442">
        <w:r>
          <w:rPr>
            <w:color w:val="1155CC"/>
            <w:u w:val="single"/>
          </w:rPr>
          <w:t>基于产消者的配电网络中非凸 P2P 能源交易的两阶段分布式优化</w:t>
        </w:r>
      </w:hyperlink>
    </w:p>
    <w:p>
      <w:pPr>
        <w:spacing w:before="0" w:after="80"/>
      </w:pPr>
      <w:r>
        <w:rPr>
          <w:i/>
          <w:sz w:val="20"/>
        </w:rPr>
        <w:t>EN: A two-stage distributed optimization for non-convex P2P energy trading in prosumer-based distribution networks</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443">
        <w:r>
          <w:rPr>
            <w:color w:val="1155CC"/>
            <w:u w:val="single"/>
          </w:rPr>
          <w:t>噬菌体门户蛋白抵消严格反应介导的限制</w:t>
        </w:r>
      </w:hyperlink>
    </w:p>
    <w:p>
      <w:pPr>
        <w:spacing w:before="0" w:after="80"/>
      </w:pPr>
      <w:r>
        <w:rPr>
          <w:i/>
          <w:sz w:val="20"/>
        </w:rPr>
        <w:t>EN: Phage portal proteins counteract stringent-response–mediated restriction</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细菌不仅通过专门的防御系统，而且通过进入限制细胞资源的生理状态来限制病毒复制，但噬菌体如何克服这种宿主施加的障碍仍不清楚。由报警素核苷酸 ppGpp 和 pppGpp 驱动的严格反应可以施加生长限制状态，阻碍特定噬菌体宿主环境中的噬菌体感染。在这里，我们发现警报素信号传导限制噬菌体 T7 感染，并且门蛋白 Gp8 通过与 RelA 和 SpoT 结合、抑制其合成酶活性并抑制警报素积累来抵消这一屏障。破坏这种相互作用的门户突变会维持警报素升高、延迟裂解并损害复制，但在警报素缺乏的宿主中，这种情况会得到缓解。来自代表性大肠杆菌噬菌体的门户蛋白具有相关的严格响应相关特征，表明重要的病毒颗粒成分可以兼职作为宿主应激生理学的拮抗剂，并且这种机制并非 T7 所独有，并且可能扩展到其他大肠杆菌噬菌体。</w:t>
      </w:r>
    </w:p>
    <w:p>
      <w:pPr>
        <w:spacing w:before="0" w:after="200" w:lineRule="auto" w:line="276"/>
      </w:pPr>
      <w:r>
        <w:rPr>
          <w:b/>
        </w:rPr>
        <w:t xml:space="preserve">Abstract (EN): </w:t>
      </w:r>
      <w:r>
        <w:t>Bacteria restrict viral replication not only through dedicated defense systems but also by entering physiological states that limit cellular resources, yet how phages overcome such host-imposed barriers remains unclear. The stringent response, driven by the alarmone nucleotides ppGpp and pppGpp, can impose a growth-restrictive state that hinders phage infection in specific phage–host contexts. Here, we show that alarmone signaling constrains bacteriophage T7 infection and that the portal protein Gp8 counteracts this barrier by engaging RelA and SpoT, inhibiting their synthetase activities and suppressing alarmone accumulation. Portal mutations that disrupt this interaction sustain alarmone elevation, delay lysis and impair replication in a manner relieved in alarmone-deficient hosts. Portal proteins from representative coliphages share related stringent-response-linked features, indicating that essential virion components can moonlight as antagonists of host stress physiology and that this mechanism is not unique to T7 and may extend to additional coliphages.</w:t>
      </w:r>
    </w:p>
    <w:p>
      <w:pPr>
        <w:spacing w:before="120" w:after="120"/>
      </w:pPr>
      <w:r>
        <w:rPr>
          <w:sz w:val="18"/>
        </w:rPr>
        <w:t>——————————————————————————————————————————————————————————————————————</w:t>
      </w:r>
    </w:p>
    <w:p>
      <w:pPr>
        <w:spacing w:before="160" w:after="40" w:line="240" w:lineRule="auto"/>
      </w:pPr>
      <w:r>
        <w:rPr>
          <w:b/>
        </w:rPr>
        <w:t xml:space="preserve">[7] </w:t>
      </w:r>
      <w:hyperlink r:id="rId444">
        <w:r>
          <w:rPr>
            <w:color w:val="1155CC"/>
            <w:u w:val="single"/>
          </w:rPr>
          <w:t>Invas：一种用于转录组组装的反转感知方法</w:t>
        </w:r>
      </w:hyperlink>
    </w:p>
    <w:p>
      <w:pPr>
        <w:spacing w:before="0" w:after="80"/>
      </w:pPr>
      <w:r>
        <w:rPr>
          <w:i/>
          <w:sz w:val="20"/>
        </w:rPr>
        <w:t>EN: Invas: an inversion-aware method for transcriptome assembly</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基因内倒位反转了基因内的序列方向，并产生了标准转录组装程序会遗漏的非共线剪接点，从而导致不完整的重建和定量偏差。在这里，我们展示了 Invas，一个使用批量短读测序数据运行的倒置感知框架。 Invas 将全基因组测序断点与转录组测序证据相结合，挽救未映射的读数，并使用共轭流优化组装亚型。在 42,000 个事件的计算机模拟中，与传统工具相比，Invas 表现出高精度和召回率，并提高了未受影响转录本的量化。我们将 Invas 应用于七个疾病队列，识别复发性种系易感性变异和体细胞驱动因素。此外，Invas 有助于发现具有强预测免疫原性的体细胞倒置衍生的肿瘤特异性抗原。我们将 Invas 和 InvasDB 作为社区资源发布，以准确表征受倒位影响的基因，填补结构变异感知转录组学的关键空白。</w:t>
      </w:r>
    </w:p>
    <w:p>
      <w:pPr>
        <w:spacing w:before="0" w:after="200" w:lineRule="auto" w:line="276"/>
      </w:pPr>
      <w:r>
        <w:rPr>
          <w:b/>
        </w:rPr>
        <w:t xml:space="preserve">Abstract (EN): </w:t>
      </w:r>
      <w:r>
        <w:t>Intragenic inversions reverse sequence orientation within genes and create non-collinear splice junctions that standard transcript assemblers miss, resulting in incomplete reconstruction and biased quantification. Here we show Invas, an inversion-aware framework operating with bulk short-read sequencing data. Invas integrates whole-genome sequencing breakpoints with transcriptomic sequencing evidence, rescues unmapped reads, and assembles isoforms using conjugate flow optimization. In silico across 42,000 events, Invas demonstrates high precision and recall and improves quantification of unaffected transcripts compared with conventional tools. We apply Invas to seven disease cohorts, identifying recurrent germline susceptibility variants and somatic drivers. Furthermore, Invas facilitates the discovery of somatic inversion-derived tumor-specific antigens with strong predicted immunogenicity. We release Invas and InvasDB as community resources to enable accurate characterization of inversion-affected genes, filling a critical gap in structural variant-aware transcriptomics.</w:t>
      </w:r>
    </w:p>
    <w:p>
      <w:pPr>
        <w:spacing w:before="120" w:after="120"/>
      </w:pPr>
      <w:r>
        <w:rPr>
          <w:sz w:val="18"/>
        </w:rPr>
        <w:t>——————————————————————————————————————————————————————————————————————</w:t>
      </w:r>
    </w:p>
    <w:p>
      <w:pPr>
        <w:spacing w:before="160" w:after="40" w:line="240" w:lineRule="auto"/>
      </w:pPr>
      <w:r>
        <w:rPr>
          <w:b/>
        </w:rPr>
        <w:t xml:space="preserve">[8] </w:t>
      </w:r>
      <w:hyperlink r:id="rId445">
        <w:r>
          <w:rPr>
            <w:color w:val="1155CC"/>
            <w:u w:val="single"/>
          </w:rPr>
          <w:t>TACI 抑制线粒体 ROS 维持骨髓浆细胞</w:t>
        </w:r>
      </w:hyperlink>
    </w:p>
    <w:p>
      <w:pPr>
        <w:spacing w:before="0" w:after="80"/>
      </w:pPr>
      <w:r>
        <w:rPr>
          <w:i/>
          <w:sz w:val="20"/>
        </w:rPr>
        <w:t>EN: Inhibition of mitochondrial ROS by TACI sustains bone marrow plasma cells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疫苗通过中和抗体建立体液保护，中和抗体由骨髓长寿浆细胞 (LLPC) 维持。 LLPC 的寿命决定了保护的持续时间，然而，LLPC 生存的机制仍然知之甚少。在这里，我们使用浆细胞特异性条件敲除小鼠来系统地剖析候选利基因子受体的作用。出乎意料的是，我们发现细胞因子受体TACI对于LLPC的生存至关重要。 TACI 的缺失会减少多克隆浆细胞数量，并消除由 T 细胞依赖性和 T 细胞非依赖性抗原诱导的 LLPC。重要的是，TACI 缺陷严重损害了 SARS-CoV-2 和流感疫苗所产生的保护作用。从机制上讲，TACI 的丧失会导致线粒体活性氧的积累和随后的浆细胞死亡。重要的是，使用 FDA 批准的药物 N-乙酰半胱氨酸进行药物抗氧化治疗可以减轻 ROS 积累，挽救 LLPC 数量，并增强流感疫苗的体内功效。总之，这些结果确立了 TACI 作为 LLPC 寿命和疫苗诱导保护的非冗余调节剂，通过限制氧化应激，为增强疫苗功效和耐久性提供了潜在目标。</w:t>
      </w:r>
    </w:p>
    <w:p>
      <w:pPr>
        <w:spacing w:before="0" w:after="200" w:lineRule="auto" w:line="276"/>
      </w:pPr>
      <w:r>
        <w:rPr>
          <w:b/>
        </w:rPr>
        <w:t xml:space="preserve">Abstract (EN): </w:t>
      </w:r>
      <w:r>
        <w:t>Vaccines establish humoral protection via neutralizing antibodies, which are sustained by bone marrow long-lived plasma cells (LLPC). The lifespan of LLPCs determines the duration of protection, however, the mechanisms underlying LLPC survival remain poorly understood. Here, we employ plasma cell–specific conditional knockout mice to systematically dissect the roles of receptors for candidate niche factors. Unexpectedly, we find that the cytokine receptor TACI is essential for LLPC survival. Loss of TACI reduces polyclonal plasma cell numbers and abrogated LLPCs induced by both T cell-dependent and T cell-independent antigens. Importantly, TACI deficiency severely compromises protection elicited by both SARS-CoV-2 and influenza vaccines. Mechanistically, loss of TACI causes accumulation of mitochondrial reactive oxygen species and subsequent plasma cell death. Importantly, pharmacologic antioxidant treatment with the FDA-approved drug, N‑acetylcysteine, mitigates ROS accumulation, rescues LLPC numbers, and enhances influenza vaccine efficacy in vivo. Together, these results establish TACI as a non-redundant regulator of LLPC longevity and vaccine-induced protection by limiting oxidative stress, providing a potential target for enhancing vaccine efficacy and durability.</w:t>
      </w:r>
    </w:p>
    <w:p>
      <w:pPr>
        <w:spacing w:before="120" w:after="120"/>
      </w:pPr>
      <w:r>
        <w:rPr>
          <w:sz w:val="18"/>
        </w:rPr>
        <w:t>——————————————————————————————————————————————————————————————————————</w:t>
      </w:r>
    </w:p>
    <w:p>
      <w:pPr>
        <w:spacing w:before="160" w:after="40" w:line="240" w:lineRule="auto"/>
      </w:pPr>
      <w:r>
        <w:rPr>
          <w:b/>
        </w:rPr>
        <w:t xml:space="preserve">[9] </w:t>
      </w:r>
      <w:hyperlink r:id="rId446">
        <w:r>
          <w:rPr>
            <w:color w:val="1155CC"/>
            <w:u w:val="single"/>
          </w:rPr>
          <w:t>乙酰转移酶 HBO1 复合物的 JADE 和 BRPF 支架亚基的不同作用</w:t>
        </w:r>
      </w:hyperlink>
    </w:p>
    <w:p>
      <w:pPr>
        <w:spacing w:before="0" w:after="80"/>
      </w:pPr>
      <w:r>
        <w:rPr>
          <w:i/>
          <w:sz w:val="20"/>
        </w:rPr>
        <w:t>EN: Distinct roles of the JADE and BRPF scaffolding subunits of the acetyltransferase HBO1 complex</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人类乙酰转移酶复合物 HBO1 与癌症和发育性疾病有关。在这里，我们报告了复合物、JADE 和 BRPF 旁系同源物的支架亚基的染色质关联机制。结构和生化研究揭示了 JADE1/2/3 和 BRPF1 的 PZP 结构域与核小体的明显旁系同源特异性结合。我们发现，只有 JADE1 的 PZP 结构域具有很强的内在 DNA 结合活性，并与几乎整个组蛋白 H3 尾部结合，与核小体形成紧密的复合物。相比之下，BRPF1 PZP 结构域与核小体的关联要弱千倍，因为它无法与 H3 尾部的大部分结合并且与 DNA 的结合较弱。这些结果表明，JADE1 PZP 结构域可以保护 H3 尾部不被修饰，但 BRPF1 PZP 结构域不能，这可能导致 HBO1 复合物中观察到的功能差异。我们证明了旁系同源物在整个胚胎发育和胚胎干细胞多能性、心肌细胞分化过程中以及分化的肝细胞中的非冗余功能。我们的研究结果提供了对 HBO1 复合物的不同作用机制的见解，并有助于了解支架亚基如何介导其不同的细胞功能。</w:t>
      </w:r>
    </w:p>
    <w:p>
      <w:pPr>
        <w:spacing w:before="0" w:after="200" w:lineRule="auto" w:line="276"/>
      </w:pPr>
      <w:r>
        <w:rPr>
          <w:b/>
        </w:rPr>
        <w:t xml:space="preserve">Abstract (EN): </w:t>
      </w:r>
      <w:r>
        <w:t>The human acetyltransferase complex HBO1 is implicated in cancer and developmental diseases. Here, we report the chromatin association mechanisms for scaffolding subunits of the complex, the JADE and BRPF paralogs. Structural and biochemical studies reveal a distinct paralog-specific engagement of the PZP domains of JADE1/2/3 and BRPF1 with the nucleosome. We show that only JADE1’s PZP domain possesses a strong intrinsic DNA binding activity and binds to an almost entire histone H3 tail, forming a tight complex with the nucleosome. In contrast, the BRPF1 PZP domain’s association with the nucleosome is a thousand-fold weaker due to its inability to engage with the large portion of H3 tail and a weak binding to DNA. These results suggest that the JADE1 PZP domain can protect the H3 tail from being modified, but the BRPF1 PZP domain cannot, which could contribute to functional differences observed in the HBO1 complexes. We demonstrate non-redundant functions of the paralogs throughout embryonic development and embryonic stem cell pluripotency, during cardiac cell differentiation, and in differentiated liver cells. Our findings provide insights into the diverse mechanisms of action of the HBO1 complex and help to understand how the scaffolding subunits mediate its different cellular functions.</w:t>
      </w:r>
    </w:p>
    <w:p>
      <w:pPr>
        <w:spacing w:before="120" w:after="120"/>
      </w:pPr>
      <w:r>
        <w:rPr>
          <w:sz w:val="18"/>
        </w:rPr>
        <w:t>——————————————————————————————————————————————————————————————————————</w:t>
      </w:r>
    </w:p>
    <w:p>
      <w:pPr>
        <w:spacing w:before="160" w:after="40" w:line="240" w:lineRule="auto"/>
      </w:pPr>
      <w:r>
        <w:rPr>
          <w:b/>
        </w:rPr>
        <w:t xml:space="preserve">[10] </w:t>
      </w:r>
      <w:hyperlink r:id="rId447">
        <w:r>
          <w:rPr>
            <w:color w:val="1155CC"/>
            <w:u w:val="single"/>
          </w:rPr>
          <w:t>单细胞多组学揭示了控制不同 EMT 肿瘤状态的转录网络</w:t>
        </w:r>
      </w:hyperlink>
    </w:p>
    <w:p>
      <w:pPr>
        <w:spacing w:before="0" w:after="80"/>
      </w:pPr>
      <w:r>
        <w:rPr>
          <w:i/>
          <w:sz w:val="20"/>
        </w:rPr>
        <w:t>EN: Single cell multiomics unravel the transcription networks controlling the different EMT tumor states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上皮间质转化（EMT）是一个动态过程，在此过程中细胞失去上皮特征并获得间质特征。在癌症中，EMT 与肿瘤的发生、进展、侵袭、转移和治疗耐药密切相关。 EMT 不是一个二元状态开关，而是包含一系列具有不同功能特性的肿瘤状态。然而，控制这些 EMT 状态之间转换的转录因子 (TF) 仍不清楚。在这里，我们使用结合单细胞 RNA-seq 和单细胞 ATAC-seq 的多组学方法，描绘了皮肤鳞状细胞癌 (SCC) 小鼠模型中不同 EMT 状态的转录组和染色质图谱。通过 CRISPR/Cas9 介导的功能丧失研究以及体外和体内功能测定，我们确定了调节特定 EMT 状态的 TF。 Klf5 和 Pitx1 控制 EMT 的早期阶段，对于转移形成至关重要。相比之下，Nfatc1 和 Creb3l1 在 EMT 的后期发挥作用。在小鼠胰腺腺癌和人类癌症中也发现了类似的 EMT 状态和调控模式。总而言之，我们的研究定义了控制小鼠皮肤 SCC 中 EMT 进展的转录和染色质景观，识别了 EMT 状态特异性 TF，并强调了它们在调节转移中的重要作用。</w:t>
      </w:r>
    </w:p>
    <w:p>
      <w:pPr>
        <w:spacing w:before="0" w:after="200" w:lineRule="auto" w:line="276"/>
      </w:pPr>
      <w:r>
        <w:rPr>
          <w:b/>
        </w:rPr>
        <w:t xml:space="preserve">Abstract (EN): </w:t>
      </w:r>
      <w:r>
        <w:t>Epithelial-to-mesenchymal transition (EMT) is a dynamic process during which cells lose their epithelial characteristics and acquire mesenchymal traits. In cancer, EMT is closely associated with tumor initiation, progression, invasion, metastasis, and therapy resistance. Rather than being a binary state switch, EMT encompasses a spectrum of tumor states with distinct functional properties. However, the transcription factors (TFs) that govern transitions between these EMT states remain poorly defined. Here, using multi-omic approaches combining single-cell RNA-seq and single-cell ATAC-seq, we delineate the transcriptomic and chromatin landscapes of distinct EMT states in a mouse model of skin squamous cell carcinoma (SCC). Through CRISPR/Cas9-mediated loss-of-function studies coupled with in vitro and in vivo functional assays, we identify TFs regulating specific EMT states. Klf5 and Pitx1 control the early stages of EMT and are essential for metastasis formation. In contrast, Nfatc1 and Creb3l1 act at later stages of EMT. Similar EMT states and regulatory patterns are found in mouse pancreatic adenocarcinoma and human cancers. Altogether, our study defines the transcriptional and chromatin landscape controlling EMT progression in mouse skin SCC, identifies EMT state-specific TFs and highlights their essential roles in regulating metastasis.</w:t>
      </w:r>
    </w:p>
    <w:p>
      <w:pPr>
        <w:spacing w:before="120" w:after="120"/>
      </w:pPr>
      <w:r>
        <w:rPr>
          <w:sz w:val="18"/>
        </w:rPr>
        <w:t>——————————————————————————————————————————————————————————————————————</w:t>
      </w:r>
    </w:p>
    <w:p>
      <w:pPr>
        <w:spacing w:before="160" w:after="40" w:line="240" w:lineRule="auto"/>
      </w:pPr>
      <w:r>
        <w:rPr>
          <w:b/>
        </w:rPr>
        <w:t xml:space="preserve">[11] </w:t>
      </w:r>
      <w:hyperlink r:id="rId448">
        <w:r>
          <w:rPr>
            <w:color w:val="1155CC"/>
            <w:u w:val="single"/>
          </w:rPr>
          <w:t>源自患者的模型捕捉免疫冷高级别浆液性肿瘤的缺氧和细胞外基质重塑</w:t>
        </w:r>
      </w:hyperlink>
    </w:p>
    <w:p>
      <w:pPr>
        <w:spacing w:before="0" w:after="80"/>
      </w:pPr>
      <w:r>
        <w:rPr>
          <w:i/>
          <w:sz w:val="20"/>
        </w:rPr>
        <w:t>EN: Patient-derived model capturing hypoxia and extracellular matrix remodelling of immunologically cold high-grade serous tumours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高级别浆液性癌的生存率较低，通常与缺氧和广泛的细胞外基质重塑导致的免疫排斥环境有关，从而破坏肿瘤-基质-免疫相互作用。目前的实验模型无法完全捕捉这些微环境特征，限制了对肿瘤免疫动力学和药物开发的理解。在这里，我们提出了生物工程患者来源的肿瘤免疫模型，以模拟生理相关的氧水平和细胞外基质重塑。癌细胞与癌症相关成纤维细胞在人血浆 3D 基质中共培养或在脱细胞人卵巢上生长。免疫细胞要么被包含在 3D 结构中以研究多细胞相互作用，要么被挑战渗透到基质中。我们证明，瘤内缺氧既是朋友又是敌人，增强了 CD8 + T 细胞的激活和细胞毒性，同时诱导与免疫浸润受损相关的基质/基质失调。靶向 TGF-β 信号传导可减弱缺氧驱动的基质介导的免疫排斥。这些相关模型可能有助于开发靶向疗法，将免疫冷肿瘤转化为免疫原性肿瘤，从而使女性患者受益。</w:t>
      </w:r>
    </w:p>
    <w:p>
      <w:pPr>
        <w:spacing w:before="0" w:after="200" w:lineRule="auto" w:line="276"/>
      </w:pPr>
      <w:r>
        <w:rPr>
          <w:b/>
        </w:rPr>
        <w:t xml:space="preserve">Abstract (EN): </w:t>
      </w:r>
      <w:r>
        <w:t>High-grade serous carcinoma tumours present poor survival rates, often associated with immunologically excluded environments driven by hypoxia and extensive extracellular matrix remodelling that disrupt tumour-stromal-immune interactions. Current experimental models fail to fully capture these microenvironmental features, limiting understanding of tumour-immune dynamics and drug development. Here, we present bioengineered patient-derived tumour-immune models to mimic physiologically relevant oxygen levels and extracellular matrix remodelling. Cancer cells are co-cultured with cancer-associated fibroblasts within human plasma-3D matrices or grown on decellularized human ovaries. Immune cells are either included within the 3D constructs to study multi-cellular interactions or challenged to infiltrate the matrices. We demonstrate that intratumoural hypoxia acts as a friend and a foe enhancing the activation and cytotoxicity of CD8 + T cells while inducing stromal/matrix dysregulation associated with impaired immune infiltration. Targeting TGF-β signalling attenuates the hypoxia-driven stromal-mediated immune exclusion. These relevant models may aid the development of targeted therapies to transform immunologically cold tumours into immunogenic to benefit female patients.</w:t>
      </w:r>
    </w:p>
    <w:p>
      <w:pPr>
        <w:spacing w:before="120" w:after="120"/>
      </w:pPr>
      <w:r>
        <w:rPr>
          <w:sz w:val="18"/>
        </w:rPr>
        <w:t>——————————————————————————————————————————————————————————————————————</w:t>
      </w:r>
    </w:p>
    <w:p>
      <w:pPr>
        <w:spacing w:before="160" w:after="40" w:line="240" w:lineRule="auto"/>
      </w:pPr>
      <w:r>
        <w:rPr>
          <w:b/>
        </w:rPr>
        <w:t xml:space="preserve">[12] </w:t>
      </w:r>
      <w:hyperlink r:id="rId449">
        <w:r>
          <w:rPr>
            <w:color w:val="1155CC"/>
            <w:u w:val="single"/>
          </w:rPr>
          <w:t>结直肠癌在转移过程中采用表皮伤口愈合程序来产生播散性肿瘤细胞</w:t>
        </w:r>
      </w:hyperlink>
    </w:p>
    <w:p>
      <w:pPr>
        <w:spacing w:before="0" w:after="80"/>
      </w:pPr>
      <w:r>
        <w:rPr>
          <w:i/>
          <w:sz w:val="20"/>
        </w:rPr>
        <w:t>EN: Colorectal cancer co-opts an epidermal wound healing program during metastasis to generate disseminated tumor cells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转移是结直肠癌 (CRC) 死亡的主要原因，但导致肿瘤扩散的细胞状态仍不清楚。播散性肿瘤细胞（DTC）是罕见的、短暂的且临床上难以接近的，限制了对其生物学机制的了解。在这里，我们发现结直肠癌细胞短暂地采用了表皮角质形成细胞在组织修复过程中通常使用的伤口愈合程序，以实现转移扩散。使用患者来源的类器官的连续原位移植来模拟转移，我们发现 DTC 失去了癌症干细胞特征，而是在转移生长之前表达伤口诱导角蛋白，包括 KRT17。这种状态是可逆的，因为细胞在远处器官定植后重新获得原发性肿瘤样特征。从机制上讲，这种转变与 EZH2 活性降低和 YAP 信号传导激活相关。临床上，KRT17⁺ 细胞定位于原发性 CRC 的侵袭性前沿，并且不存在于邻近的正常组织中。这些发现揭示了不同发育起源中意想不到的谱系可塑性，并确定了对转移进展至关重要的短暂的、可靶向的状态。</w:t>
      </w:r>
    </w:p>
    <w:p>
      <w:pPr>
        <w:spacing w:before="0" w:after="200" w:lineRule="auto" w:line="276"/>
      </w:pPr>
      <w:r>
        <w:rPr>
          <w:b/>
        </w:rPr>
        <w:t xml:space="preserve">Abstract (EN): </w:t>
      </w:r>
      <w:r>
        <w:t>Metastasis is the principal cause of death from colorectal cancer (CRC), yet the cellular states that enable tumor dissemination remain poorly defined. Disseminated tumor cells (DTCs) are rare, transient, and clinically inaccessible, limiting mechanistic insight into their biology. Here we show that CRC cells transiently adopt a wound-healing program normally used by epidermal keratinocytes during tissue repair to enable metastatic dissemination. Using serial orthotopic transplantation of patient-derived organoids to model metastasis, we find that DTCs lose cancer stem cell features and instead express wound-inducible keratins, including KRT17, before metastatic outgrowth. This state is reversible, as cells reacquire primary tumor–like characteristics upon colonization of distant organs. Mechanistically, this transition is associated with reduced EZH2 activity and activation of YAP signaling. Clinically, KRT17⁺ cells localize to the invasive front of primary CRCs and are absent from adjacent normal tissue. These findings uncover unexpected lineage plasticity across distinct developmental origins and identify a transient, targetable state critical for metastatic progression.</w:t>
      </w:r>
    </w:p>
    <w:p>
      <w:pPr>
        <w:spacing w:before="120" w:after="120"/>
      </w:pPr>
      <w:r>
        <w:rPr>
          <w:sz w:val="18"/>
        </w:rPr>
        <w:t>——————————————————————————————————————————————————————————————————————</w:t>
      </w:r>
    </w:p>
    <w:p>
      <w:pPr>
        <w:spacing w:before="160" w:after="40" w:line="240" w:lineRule="auto"/>
      </w:pPr>
      <w:r>
        <w:rPr>
          <w:b/>
        </w:rPr>
        <w:t xml:space="preserve">[13] </w:t>
      </w:r>
      <w:hyperlink r:id="rId450">
        <w:r>
          <w:rPr>
            <w:color w:val="1155CC"/>
            <w:u w:val="single"/>
          </w:rPr>
          <w:t>Mlc介导的碳水化合物代谢转录调控的结构基础</w:t>
        </w:r>
      </w:hyperlink>
    </w:p>
    <w:p>
      <w:pPr>
        <w:spacing w:before="0" w:after="80"/>
      </w:pPr>
      <w:r>
        <w:rPr>
          <w:i/>
          <w:sz w:val="20"/>
        </w:rPr>
        <w:t>EN: Structural basis of Mlc-mediated transcriptional regulation of carbohydrate metabolism</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大肠杆菌的全局转录抑制子 Mlc 调节参与碳水化合物转运和代谢的基因，特别是通过葡萄糖特异性磷酸转移酶系统 (PTS) 的葡萄糖摄取。与传统的阻遏蛋白不同，MLC 体现了一个系统，其中与不同大分子的相互作用控制其活性。在这里，我们展示了单独的 Mlc 以及与调节伙伴的复合物的冷冻电子显微镜结构，包括葡萄糖特异性 PTS 转运蛋白 IICBGlc、同源 DNA 操纵子和抗阻遏蛋白 MtfA，捕获转录控制核心的多个组装体。这些结构揭示了 Mlc 的分子结构及其与结合伙伴的相互作用。与分子动力学模拟一起，它们提供了对这些复合物的结构动力学的见解。我们的研究结果确立了膜转运蛋白参与转录调控、抗阻抑作用和 DNA 识别的机制的结构基础。这项工作为理解不同系统中的细菌转录调控提供了一个结构框架。</w:t>
      </w:r>
    </w:p>
    <w:p>
      <w:pPr>
        <w:spacing w:before="0" w:after="200" w:lineRule="auto" w:line="276"/>
      </w:pPr>
      <w:r>
        <w:rPr>
          <w:b/>
        </w:rPr>
        <w:t xml:space="preserve">Abstract (EN): </w:t>
      </w:r>
      <w:r>
        <w:t>The global transcriptional repressor Mlc of Escherichia coli regulates genes involved in carbohydrate transport and metabolism, particularly glucose uptake via the glucose-specific phosphotransferase system (PTS). Unlike conventional repressors, Mlc exemplifies a system in which interactions with diverse macromolecules govern its activity. Here, we present cryo-electron microscopy structures of Mlc alone and in complexes with regulatory partners, including the glucose-specific PTS transporter IICBGlc, a cognate DNA operator and the anti-repressor MtfA, capturing multiple assemblies central to transcription control. These structures reveal the molecular architecture of Mlc and its interactions with binding partners. Together with molecular dynamics simulations, they provide insights into the structural dynamics of these complexes. Our findings establish the structural basis of membrane-transporter involvement in transcriptional regulation, the mechanism of anti-repressor action and DNA recognition. This work provides a structural framework for understanding bacterial transcriptional regulation across diverse systems.</w:t>
      </w:r>
    </w:p>
    <w:p>
      <w:pPr>
        <w:spacing w:before="120" w:after="120"/>
      </w:pPr>
      <w:r>
        <w:rPr>
          <w:sz w:val="18"/>
        </w:rPr>
        <w:t>——————————————————————————————————————————————————————————————————————</w:t>
      </w:r>
    </w:p>
    <w:p>
      <w:pPr>
        <w:spacing w:before="160" w:after="40" w:line="240" w:lineRule="auto"/>
      </w:pPr>
      <w:r>
        <w:rPr>
          <w:b/>
        </w:rPr>
        <w:t xml:space="preserve">[14] </w:t>
      </w:r>
      <w:hyperlink r:id="rId451">
        <w:r>
          <w:rPr>
            <w:color w:val="1155CC"/>
            <w:u w:val="single"/>
          </w:rPr>
          <w:t>冠层结构多样性调节气候对森林初级生产力的影响</w:t>
        </w:r>
      </w:hyperlink>
    </w:p>
    <w:p>
      <w:pPr>
        <w:spacing w:before="0" w:after="80"/>
      </w:pPr>
      <w:r>
        <w:rPr>
          <w:i/>
          <w:sz w:val="20"/>
        </w:rPr>
        <w:t>EN: Canopy structural diversity mediates the effect of climate on primary productivity in forests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冠层结构多样性随着北方、温带和热带生物群落的气候和物种多样性而系统性地变化。然而，这种纬度变化如何影响森林生产力——特别是结构多样性在调节气候对整个生物群落生产力影响中的作用——仍然悬而未决。通过综合机载激光扫描数据和跨越北方到热带森林的地面森林清单，我们发现，除了对森林生产力的直接影响之外，气候还通过调节冠层结构多样性来间接影响生产力——这是一个重要但之前未被充分认识的机制，其精确程度很难分离。值得注意的是，我们观察到结构多样性和生产力热点之间存在明显的纬度一致性。这使得结构多样性不仅作为生产力的补充指标，而且作为气候和物种多样性影响的关键中介因素，对于改进预测至关重要。</w:t>
      </w:r>
    </w:p>
    <w:p>
      <w:pPr>
        <w:spacing w:before="0" w:after="200" w:lineRule="auto" w:line="276"/>
      </w:pPr>
      <w:r>
        <w:rPr>
          <w:b/>
        </w:rPr>
        <w:t xml:space="preserve">Abstract (EN): </w:t>
      </w:r>
      <w:r>
        <w:t>Canopy structural diversity varies systematically with climate and species diversity across boreal, temperate, and tropical biomes. Yet, how this latitudinal variation affects forest productivity—particularly the role of structural diversity in mediating effects of climate on productivity across biomes—remains unresolved. By synthesizing airborne laser scanning data and ground-based forest inventories spanning boreal to tropical forests, we show that beyond its direct effects on forest productivity, climate influences productivity indirectly by regulating canopy structural diversity—a significant, yet previously underappreciated mechanism whose precise magnitude is challenging to isolate. Notably, we observe a pronounced latitudinal congruence between hotspots of structural diversity and productivity. This positions structural diversity not only as a complementary indicator of productivity but also as a critical mediator of the influence of climate and species diversity, essential for improved forecasting.</w:t>
      </w:r>
    </w:p>
    <w:p>
      <w:pPr>
        <w:spacing w:before="120" w:after="120"/>
      </w:pPr>
      <w:r>
        <w:rPr>
          <w:sz w:val="18"/>
        </w:rPr>
        <w:t>——————————————————————————————————————————————————————————————————————</w:t>
      </w:r>
    </w:p>
    <w:p>
      <w:pPr>
        <w:spacing w:before="160" w:after="40" w:line="240" w:lineRule="auto"/>
      </w:pPr>
      <w:r>
        <w:rPr>
          <w:b/>
        </w:rPr>
        <w:t xml:space="preserve">[15] </w:t>
      </w:r>
      <w:hyperlink r:id="rId452">
        <w:r>
          <w:rPr>
            <w:color w:val="1155CC"/>
            <w:u w:val="single"/>
          </w:rPr>
          <w:t>血浆蛋白质组学与人体器官成像的联系</w:t>
        </w:r>
      </w:hyperlink>
    </w:p>
    <w:p>
      <w:pPr>
        <w:spacing w:before="0" w:after="80"/>
      </w:pPr>
      <w:r>
        <w:rPr>
          <w:i/>
          <w:sz w:val="20"/>
        </w:rPr>
        <w:t>EN: The landscape of plasma proteomic links to human organ imaging</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血浆蛋白水平为了解人类疾病提供了重要的见解，但缺乏对跨器官血浆蛋白质组学的全面评估。利用英国生物银行的大规模多模式数据，我们将血浆蛋白质组学与器官成像相结合，绘制其表型和遗传联系，分析多个器官的 2923 种蛋白质和 1051 种成像特征。我们发现了 5067 个表型蛋白质成像关联，识别了器官特异性和器官共享的蛋白质组关系，以及丰富的蛋白质-蛋白质相互作用网络和生物途径。敏感性分析表明，这些关联并未受到血浆采样和影像检查之间中位间隔 10.18 年的显着影响。我们还绘制了器官结构的关键蛋白质预测因子，并展示了基于血浆蛋白质的预测模型的分层能力。此外，我们还确定了 8116 个假定的蛋白质成像因果关系。成像相关的蛋白质成分在多种复杂疾病中表现出富集。我们的研究表明，将血浆蛋白质组学与多器官成像相结合，提供了全面的泛器官成像蛋白质组学图谱，并揭示了将循环蛋白与人体器官生物学联系起来的分子途径。</w:t>
      </w:r>
    </w:p>
    <w:p>
      <w:pPr>
        <w:spacing w:before="0" w:after="200" w:lineRule="auto" w:line="276"/>
      </w:pPr>
      <w:r>
        <w:rPr>
          <w:b/>
        </w:rPr>
        <w:t xml:space="preserve">Abstract (EN): </w:t>
      </w:r>
      <w:r>
        <w:t>Plasma protein levels provide important insights into human disease, yet a comprehensive assessment of plasma proteomics across organs is lacking. Using large-scale multimodal data from the UK Biobank, we integrate plasma proteomics with organ imaging to map their phenotypic and genetic links, analyzing 2923 proteins and 1051 imaging traits across multiple organs. We uncover 5067 phenotypic protein-imaging associations, identifying both organ-specific and organ-shared proteomic relations, along with enriched protein-protein interaction networks and biological pathways. Sensitivity analyses suggest that these associations are not substantially influenced by the median 10.18-year interval between plasma sampling and imaging visits. We also map key protein predictors of organ structures and show the stratification capability of plasma protein-based prediction models. Furthermore, we identify 8116 putative causal protein-imaging links. Imaging-associated protein components show enrichment across diverse complex diseases. Our study shows that integrating plasma proteomics with multi-organ imaging provides a comprehensive pan-organ imaging-proteomics map and reveals molecular pathways linking circulating proteins to human organ biology.</w:t>
      </w:r>
    </w:p>
    <w:p>
      <w:pPr>
        <w:spacing w:before="120" w:after="120"/>
      </w:pPr>
      <w:r>
        <w:rPr>
          <w:sz w:val="18"/>
        </w:rPr>
        <w:t>——————————————————————————————————————————————————————————————————————</w:t>
      </w:r>
    </w:p>
    <w:p>
      <w:pPr>
        <w:spacing w:before="160" w:after="40" w:line="240" w:lineRule="auto"/>
      </w:pPr>
      <w:r>
        <w:rPr>
          <w:b/>
        </w:rPr>
        <w:t xml:space="preserve">[16] </w:t>
      </w:r>
      <w:hyperlink r:id="rId453">
        <w:r>
          <w:rPr>
            <w:color w:val="1155CC"/>
            <w:u w:val="single"/>
          </w:rPr>
          <w:t>SARS-CoV-2 感染的超分辨率图谱揭示了蛋白酶依赖性细胞器成熟、dsRNA 景观和细胞内结构蛋白</w:t>
        </w:r>
      </w:hyperlink>
    </w:p>
    <w:p>
      <w:pPr>
        <w:spacing w:before="0" w:after="80"/>
      </w:pPr>
      <w:r>
        <w:rPr>
          <w:i/>
          <w:sz w:val="20"/>
        </w:rPr>
        <w:t>EN: Super-resolution atlas of SARS-CoV-2 infection reveals protease-dependent organelle maturation, dsRNA landscapes, and intracellular structural proteins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冠状病毒复制依赖于双膜囊泡（DMV），但多蛋白加工发生在哪里以及复制细胞器如何成熟仍然悬而未决。我们将 3D 单分子定位与径向和角度配对相关分析相结合，构建了受感染人类细胞中 SARS-CoV-2 RNA、非结构和结构蛋白的多色超分辨率图谱。该地图集揭示了基本的空间原理。首先，nsp5 (3CLpro) 定位在孔附近的 DMV 管腔内，nsp7-nsp16 位于 nsp4 内部，支持蛋白酶依赖性成熟模型，其中 nsp5 作用允许膜闭合，随后完成囊泡内多蛋白加工以激活复制复合物。其次，我们确定了桥接 DMV 和非规范的、缺乏 nsp3/4 的 dsRNA 颗粒的 dsRNA 连接器，这些 dsRNA 颗粒装饰有复制酶成分，这与冷凝物介导的复制中间体运输途径一致。第三，绘制结构蛋白图谱揭示了沿分泌途径的 M 和 S 阳性病毒粒子组装中间体，而过早的细胞内 S1 脱落则捕获了原始病毒分离株在进化适应之前的基线不稳定性。最后，抗病毒药物 nirmatrelvir 诱导未切割多蛋白 (nsp4-5-10-16) 的多层体，其在冲洗后持续存在并在快速反弹之前，表明药物诱导的储存状态。除了绘制病毒结构之外，该图谱还解决了蛋白水解和细胞器重塑的空间背景，为泛冠状病毒机制提供了一个框架</w:t>
      </w:r>
    </w:p>
    <w:p>
      <w:pPr>
        <w:spacing w:before="0" w:after="200" w:lineRule="auto" w:line="276"/>
      </w:pPr>
      <w:r>
        <w:rPr>
          <w:b/>
        </w:rPr>
        <w:t xml:space="preserve">Abstract (EN): </w:t>
      </w:r>
      <w:r>
        <w:t>Coronaviral replication depends on double-membrane vesicles (DMVs), yet where polyprotein processing occurs and how replication organelles mature remain unresolved. We built a multi-color super-resolution atlas of SARS-CoV-2 RNA, non-structural and structural proteins in infected human cells, combining 3D single-molecule localization with radial and angular pair-correlation analysis. The atlas uncovers fundamental spatial principles. First, nsp5 (3CLpro) localizes within the DMV lumen near pores, with nsp7–nsp16 positioned interior to nsp4, supporting a protease-dependent maturation model in which nsp5 action permits membrane closure and subsequently completes intravesicular polyprotein processing to activate replication complexes. Second, we identify dsRNA connectors bridging DMVs and non-canonical, nsp3/4-lacking dsRNA granules decorated with replicase components, consistent with a condensate-mediated route for trafficking replication intermediates. Third, mapping structural proteins reveals M- and S-positive virion assembly intermediates along the secretory route, while premature intracellular S1 shedding captures the baseline instability of the original virus isolate prior to evolutionary adaptation. Finally, the antiviral nirmatrelvir induces multilayered bodies of uncleaved polyproteins (nsp4–5–10–16) that persist after washout and precede rapid rebound, suggesting a drug-induced reservoir state. Beyond mapping the viral architecture, this atlas resolves the spatial context of proteolysis and organelle remodeling, providing a framework for pan-coronaviral mechanisms and antiviral design.</w:t>
      </w:r>
    </w:p>
    <w:p>
      <w:pPr>
        <w:spacing w:before="120" w:after="120"/>
      </w:pPr>
      <w:r>
        <w:rPr>
          <w:sz w:val="18"/>
        </w:rPr>
        <w:t>——————————————————————————————————————————————————————————————————————</w:t>
      </w:r>
    </w:p>
    <w:p>
      <w:pPr>
        <w:spacing w:before="160" w:after="40" w:line="240" w:lineRule="auto"/>
      </w:pPr>
      <w:r>
        <w:rPr>
          <w:b/>
        </w:rPr>
        <w:t xml:space="preserve">[17] </w:t>
      </w:r>
      <w:hyperlink r:id="rId454">
        <w:r>
          <w:rPr>
            <w:color w:val="1155CC"/>
            <w:u w:val="single"/>
          </w:rPr>
          <w:t>甘胆酸抑制 TRIB3-ID1 轴，通过抑制肠道干细胞更新来加速结肠炎进展</w:t>
        </w:r>
      </w:hyperlink>
    </w:p>
    <w:p>
      <w:pPr>
        <w:spacing w:before="0" w:after="80"/>
      </w:pPr>
      <w:r>
        <w:rPr>
          <w:i/>
          <w:sz w:val="20"/>
        </w:rPr>
        <w:t>EN: Glycocholic acid inhibits TRIB3-ID1 axis to acelerate colitis progression via suppressing intestinal stem cell renewal</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肠道干细胞数量或其再生能力对于实现粘膜愈合至关重要。破译炎症性肠病中肠道干细胞受损的分子机制可能会产生创新的治疗见解。胆汁酸代谢改变是炎症性肠病的一个标志性特征，其典型特征是粪便中初级胆汁酸（例如甘胆酸）水平升高。然而，甘胆酸与炎症性肠病之间的关系仍不清楚。在这里，我们报道甘胆酸通过下调 TRIB3 表达破坏肠道干细胞的自我更新来加速炎症性肠病的进展。 TRIB3 在隐窝细胞中高表达，并通过防止 ID1 棕榈酰化和 AP3D1 介导的溶酶体降解来维持肠上皮干性。研究发现甘胆酸可抑制 TRIB3-ID1 轴，从而损害肠上皮的完整性。值得注意的是，我们将天然化合物 Bergenin 确定为通过上调 TRIB3 来对抗炎症性肠病的潜在治疗剂。这些发现强调 TRIB3-ID1 轴作为炎症性肠病治疗的一个有前途的治疗靶点。</w:t>
      </w:r>
    </w:p>
    <w:p>
      <w:pPr>
        <w:spacing w:before="0" w:after="200" w:lineRule="auto" w:line="276"/>
      </w:pPr>
      <w:r>
        <w:rPr>
          <w:b/>
        </w:rPr>
        <w:t xml:space="preserve">Abstract (EN): </w:t>
      </w:r>
      <w:r>
        <w:t>Intestinal stem cell number or their regeneration ability is crucial for attaining mucosal healing. Deciphering the molecular mechanisms responsible for the impairment of intestinal stem cells in inflammatory bowel disease could yield innovative therapeutic insights. Altered bile acid metabolism is a hallmark feature of inflammatory bowel disease, typically characterized by elevated fecal levels of primary bile acids, such as glycocholic acid. However, the relationship between glycocholic acid and inflammatory bowel disease remains unclear. Here, we report that glycocholic acid accelerates inflammatory bowel disease progression through downregulating TRIB3 expression to disrupt intestinal stem cells self-renewal. TRIB3 is highly expressed in crypt cells and sustains intestinal epithelial stemness by preventing ID1 palmitoylation and AP3D1-mediated lysosomal degradation. Glycocholic acid is found to suppress TRIB3-ID1 axis, thereby compromising intestinal epithelium integrity. Notably, we identify Bergenin, a natural compound, as a potential therapeutic agent against inflammatory bowel disease via upregulating TRIB3. These findings highlight the TRIB3-ID1 axis as a promising therapeutic target for inflammatory bowel disease therapy.</w:t>
      </w:r>
    </w:p>
    <w:p>
      <w:pPr>
        <w:spacing w:before="120" w:after="120"/>
      </w:pPr>
      <w:r>
        <w:rPr>
          <w:sz w:val="18"/>
        </w:rPr>
        <w:t>——————————————————————————————————————————————————————————————————————</w:t>
      </w:r>
    </w:p>
    <w:p>
      <w:pPr>
        <w:spacing w:before="160" w:after="40" w:line="240" w:lineRule="auto"/>
      </w:pPr>
      <w:r>
        <w:rPr>
          <w:b/>
        </w:rPr>
        <w:t xml:space="preserve">[18] </w:t>
      </w:r>
      <w:hyperlink r:id="rId455">
        <w:r>
          <w:rPr>
            <w:color w:val="1155CC"/>
            <w:u w:val="single"/>
          </w:rPr>
          <w:t>脂蛋白转运蛋白 LolDF 的构象劫持可实现针对鲍曼不动杆菌的精确抗菌活性</w:t>
        </w:r>
      </w:hyperlink>
    </w:p>
    <w:p>
      <w:pPr>
        <w:spacing w:before="0" w:after="80"/>
      </w:pPr>
      <w:r>
        <w:rPr>
          <w:i/>
          <w:sz w:val="20"/>
        </w:rPr>
        <w:t>EN: Conformational hijacking of lipoprotein transporter LolDF enables precision antimicrobial activity against Acinetobacter baumannii</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鲍曼不动杆菌是一种抗生素耐药性不断增加的重要病原体。在这里，我们定义了 abaucin 的作用机制，abaucin 是一种一流的窄谱抗生素，通过抑制其必需的脂蛋白转运蛋白 LolDF 来选择性地靶向鲍曼不动杆菌。扩展了先前对存档菌株的研究，我们在体外和小鼠肺炎模型中证明了对临床分离的碳青霉烯类耐药鲍曼不动杆菌（CRAB）菌株的有效活性。结合 Abaucin 的 LolDF 的冷冻电镜结构揭示了 LolDF 腔内两个 abaucin 分子的对称结合，这将转运蛋白锁定在非生产性、向外开放的构象中。生化和结构分析表明，abaucin 不会阻断底物结合，而是捕获底物负载的转运蛋白并阻止转移至 LolA。总之，这些发现揭示了一种独特的对称性构象劫持机制，并将 LolDF 确立为精准抗生素开发的易处理目标。</w:t>
      </w:r>
    </w:p>
    <w:p>
      <w:pPr>
        <w:spacing w:before="0" w:after="200" w:lineRule="auto" w:line="276"/>
      </w:pPr>
      <w:r>
        <w:rPr>
          <w:b/>
        </w:rPr>
        <w:t xml:space="preserve">Abstract (EN): </w:t>
      </w:r>
      <w:r>
        <w:t>Acinetobacter baumannii is a critical-priority pathogen with increasing antibiotic resistance. Here, we define the mechanism of abaucin, a first-in-class narrow-spectrum antibiotic that selectively targets A. baumannii by inhibiting its essential lipoprotein transporter, LolDF. Extending prior studies of archived strains, we demonstrate potent activity against clinically isolated carbapenem-resistant A. baumannii (CRAB) strains both in vitro and in a murine pneumonia model. Cryo-EM structures of abaucin-bound LolDF reveal symmetric binding of two abaucin molecules within the LolDF cavity, which lock the transporter in a non-productive, outward-open conformation. Biochemical and structural analyses show that abaucin does not block substrate binding but instead traps the substrate-loaded transporter and prevents transfer to LolA. Together, these findings uncover a unique symmetry-enabled conformation-hijacking mechanism and establish LolDF as a tractable target for precision antibiotic development.</w:t>
      </w:r>
    </w:p>
    <w:p>
      <w:pPr>
        <w:spacing w:before="120" w:after="120"/>
      </w:pPr>
      <w:r>
        <w:rPr>
          <w:sz w:val="18"/>
        </w:rPr>
        <w:t>——————————————————————————————————————————————————————————————————————</w:t>
      </w:r>
    </w:p>
    <w:p>
      <w:pPr>
        <w:spacing w:before="160" w:after="40" w:line="240" w:lineRule="auto"/>
      </w:pPr>
      <w:r>
        <w:rPr>
          <w:b/>
        </w:rPr>
        <w:t xml:space="preserve">[19] </w:t>
      </w:r>
      <w:hyperlink r:id="rId456">
        <w:r>
          <w:rPr>
            <w:color w:val="1155CC"/>
            <w:u w:val="single"/>
          </w:rPr>
          <w:t>人细胞中 NatB 共翻译蛋白 N 末端乙酰化的结构基础</w:t>
        </w:r>
      </w:hyperlink>
    </w:p>
    <w:p>
      <w:pPr>
        <w:spacing w:before="0" w:after="80"/>
      </w:pPr>
      <w:r>
        <w:rPr>
          <w:i/>
          <w:sz w:val="20"/>
        </w:rPr>
        <w:t>EN: Structural basis of cotranslational protein N-terminal acetylation by NatB in human cells</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共翻译 N 末端乙酰化是一种广泛的修饰，可影响真核细胞中蛋白质的稳定性、定位和功能。人类必需的 NatB 复合物 (NAA25-NAA20) 乙酰化大部分蛋白质组的起始甲硫氨酸，但 NatB 如何参与核糖体翻译仍不清楚。在这里，我们定义了 NatB 函数底层的共翻译机制。 NatB 通过 NACα UBA 结构域和辅助亚基 NAA25 之间的高亲和力相互作用被新生多肽相关复合物 (NAC) 招募，同时两个 NatB 亚基与隧道出口附近的核糖体表面形成额外的接触。总之，这些相互作用将 NatB 活性位点直接邻近新兴的新生链，从而能够有效修饰新合成的蛋白质。结构比较揭示了与其他 N-乙酰转移酶（包括 NatA/E 和 NatD）共享的保守核糖体结合结构，这意味着相互排斥的核糖体占据。与之前的工作一起，这些发现确立了 NAC 作为共翻译 N 端加工的中心组织者。</w:t>
      </w:r>
    </w:p>
    <w:p>
      <w:pPr>
        <w:spacing w:before="0" w:after="200" w:lineRule="auto" w:line="276"/>
      </w:pPr>
      <w:r>
        <w:rPr>
          <w:b/>
        </w:rPr>
        <w:t xml:space="preserve">Abstract (EN): </w:t>
      </w:r>
      <w:r>
        <w:t>Cotranslational N-terminal acetylation is a widespread modification that shapes protein stability, localization, and function in eukaryotic cells. The essential human NatB complex (NAA25-NAA20) acetylates the initiator methionine of a substantial fraction of the proteome, yet how NatB engages translating ribosomes has remained unclear. Here we define the cotranslational mechanism underlying NatB function. NatB is recruited by the nascent polypeptide-associated complex (NAC) through a high-affinity interaction between the NACα UBA domain and the auxiliary subunit NAA25, while both NatB subunits form additional contacts with the ribosomal surface near the tunnel exit. Together, these interactions position the NatB active site directly adjacent to the emerging nascent chain, enabling efficient modification of newly synthesized proteins. Structural comparisons reveal a conserved ribosome-binding architecture shared with other N-acetyltransferases, including NatA/E and NatD, implying mutually exclusive ribosome occupancy. Together with prior work, these findings establish NAC as a central organizer of cotranslational N-terminal processing.</w:t>
      </w:r>
    </w:p>
    <w:p>
      <w:pPr>
        <w:spacing w:before="120" w:after="120"/>
      </w:pPr>
      <w:r>
        <w:rPr>
          <w:sz w:val="18"/>
        </w:rPr>
        <w:t>——————————————————————————————————————————————————————————————————————</w:t>
      </w:r>
    </w:p>
    <w:p>
      <w:pPr>
        <w:spacing w:before="160" w:after="40" w:line="240" w:lineRule="auto"/>
      </w:pPr>
      <w:r>
        <w:rPr>
          <w:b/>
        </w:rPr>
        <w:t xml:space="preserve">[20] </w:t>
      </w:r>
      <w:hyperlink r:id="rId457">
        <w:r>
          <w:rPr>
            <w:color w:val="1155CC"/>
            <w:u w:val="single"/>
          </w:rPr>
          <w:t>地缘政治冲突与企业能源转型：俄罗斯-乌克兰冲突的准自然实验</w:t>
        </w:r>
      </w:hyperlink>
    </w:p>
    <w:p>
      <w:pPr>
        <w:spacing w:before="0" w:after="80"/>
      </w:pPr>
      <w:r>
        <w:rPr>
          <w:i/>
          <w:sz w:val="20"/>
        </w:rPr>
        <w:t>EN: Geopolitical conflict and firms’ energy transition: A quasi-natural experiment from the Russia–Ukraine conflict</w:t>
      </w:r>
    </w:p>
    <w:p>
      <w:pPr>
        <w:spacing w:before="0" w:after="120"/>
      </w:pPr>
      <w:r>
        <w:rPr>
          <w:b/>
        </w:rPr>
        <w:t xml:space="preserve">Source: </w:t>
      </w:r>
      <w:r>
        <w:t>ScienceDirect Publication: Energy Policy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458">
        <w:r>
          <w:rPr>
            <w:color w:val="1155CC"/>
            <w:u w:val="single"/>
          </w:rPr>
          <w:t>在实时事件驱动的电力系统应急控制中迈向值得信赖的人工智能：知识替代引导的深度学习方法</w:t>
        </w:r>
      </w:hyperlink>
    </w:p>
    <w:p>
      <w:pPr>
        <w:spacing w:before="0" w:after="80"/>
      </w:pPr>
      <w:r>
        <w:rPr>
          <w:i/>
          <w:sz w:val="20"/>
        </w:rPr>
        <w:t>EN: Toward trustworthy AI in real-time event-driven power system emergency control: A knowledge-surrogate-guided deep learning approach</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459">
        <w:r>
          <w:rPr>
            <w:color w:val="1155CC"/>
            <w:u w:val="single"/>
          </w:rPr>
          <w:t>实时估计废水中病原体传播动态</w:t>
        </w:r>
      </w:hyperlink>
    </w:p>
    <w:p>
      <w:pPr>
        <w:spacing w:before="0" w:after="80"/>
      </w:pPr>
      <w:r>
        <w:rPr>
          <w:i/>
          <w:sz w:val="20"/>
        </w:rPr>
        <w:t>EN: Real-time estimation of pathogen transmission dynamics from wastewater</w:t>
      </w:r>
    </w:p>
    <w:p>
      <w:pPr>
        <w:spacing w:before="0" w:after="120"/>
      </w:pPr>
      <w:r>
        <w:rPr>
          <w:b/>
        </w:rPr>
        <w:t xml:space="preserve">Source: </w:t>
      </w:r>
      <w:r>
        <w:t>Biological sciences : Nature Communications subject feeds</w:t>
      </w:r>
      <w:r>
        <w:t xml:space="preserve">    </w:t>
      </w:r>
      <w:r>
        <w:rPr>
          <w:b/>
        </w:rPr>
        <w:t xml:space="preserve">Pub date: </w:t>
      </w:r>
      <w:r>
        <w:t>2026-07-11 00:00:00+00:00</w:t>
      </w:r>
    </w:p>
    <w:p>
      <w:pPr>
        <w:spacing w:before="0" w:after="120"/>
      </w:pPr>
      <w:r>
        <w:rPr>
          <w:b/>
        </w:rPr>
        <w:t xml:space="preserve">Notes: </w:t>
      </w:r>
      <w:r>
        <w:t>abstract_source=nature_html</w:t>
      </w:r>
    </w:p>
    <w:p>
      <w:pPr>
        <w:spacing w:before="0" w:after="80" w:lineRule="auto" w:line="276"/>
      </w:pPr>
      <w:r>
        <w:rPr>
          <w:b/>
        </w:rPr>
        <w:t xml:space="preserve">摘要（ZH）: </w:t>
      </w:r>
      <w:r>
        <w:t>事实证明，废水监测对于追踪 COVID-19 大流行期间的 SARS-CoV-2 传播是有效的。然而，由于污水中浓度较低、脱落动力学不确定以及临床验证数据有限，估计其他病原体的传播参数仍然很困难。在这里，我们介绍 EpiSewer，这是一种贝叶斯半机械废水模型，它共同考虑了感染动态、病原体脱落和测量噪声，包括异常值和未检测到的噪声。这使得可以从原始浓度和流量数据直接推断有效繁殖数 (Rt) 和流行病增长率 (rt)，从而无需事先进行平滑、插补或异常值去除。我们在瑞士 6-14 个处理厂的三个季节（2022 年 11 月至 2025 年 5 月）的多病原体废水监测中评估了 EpiSewer，实时跟踪 SARS-CoV-2、甲型流感病毒 (IAV) 和呼吸道合胞病毒 (RSV) 传播。即使 IAV 和 RSV 浓度比 SARS-CoV-2 低 10-50 倍，Rt 估计值仍与测量噪声一致且稳健。该模型提供了经过良好校准的十四天浓度预测，在流行阶段的偏差最小。在采样频率降低的情况下，EpiSewer 保持了公正的预测，同时准确反映了不确定性。我们的方法可以通过有限的临床监测，每周仅使用少量废水样本，对低丰度病原体的传播动态进行可靠的推断。</w:t>
      </w:r>
    </w:p>
    <w:p>
      <w:pPr>
        <w:spacing w:before="0" w:after="200" w:lineRule="auto" w:line="276"/>
      </w:pPr>
      <w:r>
        <w:rPr>
          <w:b/>
        </w:rPr>
        <w:t xml:space="preserve">Abstract (EN): </w:t>
      </w:r>
      <w:r>
        <w:t>Wastewater monitoring proved effective for tracking SARS-CoV-2 transmission during the COVID-19 pandemic. However, estimating transmission parameters for other pathogens remains difficult due to lower concentrations in sewage, uncertain shedding kinetics, and limited clinical validation data. Here we present EpiSewer, a Bayesian semi-mechanistic wastewater model that jointly accounts for infection dynamics, pathogen shedding, and measurement noise, including outliers and non-detects. This enables direct inference of the effective reproduction number (Rt) and epidemic growth rate (rt) from raw concentration and flow data, eliminating the need for prior smoothing, imputation, or outlier removal. We assessed EpiSewer across three seasons of multi-pathogen wastewater surveillance (Nov 2022 – May 2025) at 6–14 treatment plants in Switzerland, tracking SARS-CoV-2, influenza A virus (IAV), and respiratory syncytial virus (RSV) transmission in real time. Rt estimates were consistent and robust to measurement noise, even with IAV and RSV concentrations 10–50 times lower than SARS-CoV-2. The model provided well-calibrated fourteen-day concentration forecasts, with minimal bias across epidemic phases. Under reduced sampling frequencies, EpiSewer maintained unbiased forecasts while accurately reflecting uncertainty. Our approach enables robust inference of transmission dynamics for lower-abundance pathogens with limited clinical surveillance, using only a few wastewater samples per week.</w:t>
      </w:r>
    </w:p>
    <w:p>
      <w:pPr>
        <w:spacing w:before="120" w:after="120"/>
      </w:pPr>
      <w:r>
        <w:rPr>
          <w:sz w:val="18"/>
        </w:rPr>
        <w:t>——————————————————————————————————————————————————————————————————————</w:t>
      </w:r>
    </w:p>
    <w:p>
      <w:pPr>
        <w:spacing w:before="160" w:after="40" w:line="240" w:lineRule="auto"/>
      </w:pPr>
      <w:r>
        <w:rPr>
          <w:b/>
        </w:rPr>
        <w:t xml:space="preserve">[23] </w:t>
      </w:r>
      <w:hyperlink r:id="rId460">
        <w:r>
          <w:rPr>
            <w:color w:val="1155CC"/>
            <w:u w:val="single"/>
          </w:rPr>
          <w:t>用于活细胞标记的双四嗪荧光（硅）-罗丹明染料</w:t>
        </w:r>
      </w:hyperlink>
    </w:p>
    <w:p>
      <w:pPr>
        <w:spacing w:before="0" w:after="80"/>
      </w:pPr>
      <w:r>
        <w:rPr>
          <w:i/>
          <w:sz w:val="20"/>
        </w:rPr>
        <w:t>EN: Bis-Tetrazine Fluorogenic (Silicon)-Rhodamine Dyes for Live-Cell Labeling</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461">
        <w:r>
          <w:rPr>
            <w:color w:val="1155CC"/>
            <w:u w:val="single"/>
          </w:rPr>
          <w:t>10.1021/jacs.6c04723</w:t>
        </w:r>
      </w:hyperlink>
    </w:p>
    <w:p>
      <w:pPr>
        <w:spacing w:before="0" w:after="120"/>
      </w:pPr>
      <w:r>
        <w:rPr>
          <w:b/>
        </w:rPr>
        <w:t xml:space="preserve">Notes: </w:t>
      </w:r>
      <w:r>
        <w:t>abstract_source=pubmed</w:t>
      </w:r>
    </w:p>
    <w:p>
      <w:pPr>
        <w:spacing w:before="0" w:after="80" w:lineRule="auto" w:line="276"/>
      </w:pPr>
      <w:r>
        <w:rPr>
          <w:b/>
        </w:rPr>
        <w:t xml:space="preserve">摘要（ZH）: </w:t>
      </w:r>
      <w:r>
        <w:t>荧光点击染料是双正交标记的重要工具，可实现天然环境中生物分子和细胞过程的实时可视化。然而，在单个染料支架内实现有效的猝灭和高荧光开启仍然是一个重大挑战。在此，我们报告了一类荧光点击染料，其基于呫吨支架的氨基上的（硅）-罗丹明的结构修饰，产生特别短的接头和高度优化的猝灭状态。这种修饰使得能够合成单官能和双官能衍生物。单功能染料与已建立的点击标记策略完全兼容，并显示出出色的荧光响应，荧光增强高达 2 个数量级。值得注意的是，双功能衍生物是荧光染料，在双正交反应时表现出接近 3 个数量级的荧光开启比，使其特别适合活细胞应用。我们表明，短双接头在各向异性测量方面具有很高的潜力，可以报告蛋白质的大小和动力学。我们进一步证明了这些双功能染料在肽环化方面的独特用途，可增强细胞摄取，同时实现实时可视化。总之，这项工作引入了一种多功能染料类，它大大扩展了点击化学的范围，并将推进在活细胞成像以及蛋白质结构和动力学研究中的应用。</w:t>
      </w:r>
    </w:p>
    <w:p>
      <w:pPr>
        <w:spacing w:before="0" w:after="200" w:lineRule="auto" w:line="276"/>
      </w:pPr>
      <w:r>
        <w:rPr>
          <w:b/>
        </w:rPr>
        <w:t xml:space="preserve">Abstract (EN): </w:t>
      </w:r>
      <w:r>
        <w:t>Fluorogenic click dyes are valuable tools for biorthogonal labeling, enabling real-time visualization of biomolecules and cellular processes in their native environments. However, achieving efficient quenching and high fluorescence turn-on within a single dye scaffold remains a significant challenge. Herein, we report a class of fluorogenic click dyes based on a structural modification of (silicon)-rhodamines at the amino groups of the xanthene scaffold, resulting in a particularly short linker and a highly optimized quenched state. This modification enables the synthesis of both mono- and bis-functional derivatives. The monofunctional dyes are fully compatible with established click-labeling strategies and display exceptional fluorogenic responses, with fluorescence enhancements of up to 2 orders of magnitude. Notably, the bis-functional derivatives are fluorogenic dyes that exhibit fluorescence turn-on ratios approaching 3 orders of magnitude upon biorthogonal reaction, making them particularly suitable for live-cell applications. We show that the short bis-linker has high potential for anisotropy measurements that can report on protein size and dynamics. We further demonstrate the unique utility of these bis-functional dyes for peptide cyclization, enhancing cellular uptake while enabling real-time visualization. Together, this work introduces a versatile dye class that substantially expands the scope of click chemistry and will advance applications in live-cell imaging as well as studies of protein structure and dynamics.</w:t>
      </w:r>
    </w:p>
    <w:p>
      <w:pPr>
        <w:spacing w:before="120" w:after="120"/>
      </w:pPr>
      <w:r>
        <w:rPr>
          <w:sz w:val="18"/>
        </w:rPr>
        <w:t>——————————————————————————————————————————————————————————————————————</w:t>
      </w:r>
    </w:p>
    <w:p>
      <w:pPr>
        <w:spacing w:before="160" w:after="40" w:line="240" w:lineRule="auto"/>
      </w:pPr>
      <w:r>
        <w:rPr>
          <w:b/>
        </w:rPr>
        <w:t xml:space="preserve">[24] </w:t>
      </w:r>
      <w:hyperlink r:id="rId462">
        <w:r>
          <w:rPr>
            <w:color w:val="1155CC"/>
            <w:u w:val="single"/>
          </w:rPr>
          <w:t>光诱导铜催化环烷基胺的位点和立体选择性去对称 β-C(sp 3 )-H 炔基化</w:t>
        </w:r>
      </w:hyperlink>
    </w:p>
    <w:p>
      <w:pPr>
        <w:spacing w:before="0" w:after="80"/>
      </w:pPr>
      <w:r>
        <w:rPr>
          <w:i/>
          <w:sz w:val="20"/>
        </w:rPr>
        <w:t>EN: Photoinduced Copper-Catalyzed Site- and Stereoselective Desymmetrizing β-C(sp 3 )-H Alkynylation of Cycloalkyl Amines</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463">
        <w:r>
          <w:rPr>
            <w:color w:val="1155CC"/>
            <w:u w:val="single"/>
          </w:rPr>
          <w:t>10.1021/jacs.6c04253</w:t>
        </w:r>
      </w:hyperlink>
    </w:p>
    <w:p>
      <w:pPr>
        <w:spacing w:before="0" w:after="120"/>
      </w:pPr>
      <w:r>
        <w:rPr>
          <w:b/>
        </w:rPr>
        <w:t xml:space="preserve">Notes: </w:t>
      </w:r>
      <w:r>
        <w:t>abstract_source=pubmed</w:t>
      </w:r>
    </w:p>
    <w:p>
      <w:pPr>
        <w:spacing w:before="0" w:after="80" w:lineRule="auto" w:line="276"/>
      </w:pPr>
      <w:r>
        <w:rPr>
          <w:b/>
        </w:rPr>
        <w:t xml:space="preserve">摘要（ZH）: </w:t>
      </w:r>
      <w:r>
        <w:t>一步构建多个连续的立体中心以获得结构复杂、对映体丰富的分子仍然是有机合成中长期存在的挑战，并引起了相当大的关注。催化去对称化已成为在单一操作中锻造此类阵列的关键策略，在药物合成和材料开发中被证明具有无价的价值。在此，我们报道了一种通过分子内1,5-氢原子转移（HAT）策略对环烷基胺进行光诱导、铜催化的位点和立体选择性β-C(sp3)-H炔基化反应，实现了对映体C(sp3)-H键的去对称自由基交叉偶联(DRCC)，从而在具有挑战性的无应变环系统中形成C(sp3)-C(sp)键。联萘酚和三齿阴离子手性配体的新型组合既充当光敏剂又充当手性催化剂。这一实用的方案显示出广泛的官能团耐受性，并通过底物控制提供出色的立体选择性，一步安装多个手性中心。对于一系列无环胺底物，该反应还表现出优异的位点选择性。通过将炔基直接掺入复杂的支架中，进一步证明了该方法的多功能性，有利于后续的合成应用和生物活性分子的有效合成。 DFT 计算表明自由基炔基化是通过协同偶联途径实现的。结构分析揭示了强健的 N-H·π 氢键和大基团在赤道的位置</w:t>
      </w:r>
    </w:p>
    <w:p>
      <w:pPr>
        <w:spacing w:before="0" w:after="200" w:lineRule="auto" w:line="276"/>
      </w:pPr>
      <w:r>
        <w:rPr>
          <w:b/>
        </w:rPr>
        <w:t xml:space="preserve">Abstract (EN): </w:t>
      </w:r>
      <w:r>
        <w:t>The one-step construction of multiple contiguous stereogenic centers to access structurally complex, enantioenriched molecules remains a long-standing challenge in organic synthesis and has garnered considerable attention. Catalytic desymmetrization has emerged as a pivotal strategy for forging such arrays in a single operation, proving invaluable in pharmaceutical synthesis and materials development. Herein, we report a photoinduced, copper-catalyzed site- and stereoselective β-C(sp3)-H alkynylation of cycloalkyl amines via an intramolecular 1,5-hydrogen atom transfer (HAT) strategy, achieving the desymmetrizing radical cross-coupling (DRCC) of enantiotopic C(sp3)-H bonds to form C(sp3)-C(sp) bonds in the challenging unstrained ring system. A novel combination of binaphthol and a tridentate anionic chiral ligand serves both as the photosensitizer and the chiral catalyst. This practical protocol displays broad functional group tolerance and delivers excellent stereoselectivity via substrate control, installing multiple chiral centers in one step. For a range of acyclic amine substrates, this reaction also exhibits excellent site-selectivity. The method's versatility is further demonstrated by the direct incorporation of alkynyl groups into complex scaffolds, facilitating subsequent synthetic applications and the efficient synthesis of bioactive molecules. DFT calculations indicate that the radical alkynylation is achieved through a concerted coupling pathway. Structural analysis unveils that the robust N-H···π hydrogen bond and the positioning of bulky groups in equatorial orientations are two key factors that stabilize the concerted coupling transition state and guarantee high enantioselectivity.</w:t>
      </w:r>
    </w:p>
    <w:p>
      <w:pPr>
        <w:spacing w:before="120" w:after="120"/>
      </w:pPr>
      <w:r>
        <w:rPr>
          <w:sz w:val="18"/>
        </w:rPr>
        <w:t>——————————————————————————————————————————————————————————————————————</w:t>
      </w:r>
    </w:p>
    <w:p>
      <w:pPr>
        <w:spacing w:before="160" w:after="40" w:line="240" w:lineRule="auto"/>
      </w:pPr>
      <w:r>
        <w:rPr>
          <w:b/>
        </w:rPr>
        <w:t xml:space="preserve">[25] </w:t>
      </w:r>
      <w:hyperlink r:id="rId464">
        <w:r>
          <w:rPr>
            <w:color w:val="1155CC"/>
            <w:u w:val="single"/>
          </w:rPr>
          <w:t>Ce 4+ 氢化铝络合物</w:t>
        </w:r>
      </w:hyperlink>
    </w:p>
    <w:p>
      <w:pPr>
        <w:spacing w:before="0" w:after="80"/>
      </w:pPr>
      <w:r>
        <w:rPr>
          <w:i/>
          <w:sz w:val="20"/>
        </w:rPr>
        <w:t>EN: A Ce 4+ Aluminum Hydride Complex</w:t>
      </w:r>
    </w:p>
    <w:p>
      <w:pPr>
        <w:spacing w:before="0" w:after="120"/>
      </w:pPr>
      <w:r>
        <w:rPr>
          <w:b/>
        </w:rPr>
        <w:t xml:space="preserve">Source: </w:t>
      </w:r>
      <w:r>
        <w:t>Journal of the American Chemical Society: Latest Articles (ACS Publications)</w:t>
      </w:r>
      <w:r>
        <w:t xml:space="preserve">    </w:t>
      </w:r>
      <w:r>
        <w:rPr>
          <w:b/>
        </w:rPr>
        <w:t xml:space="preserve">Pub date: </w:t>
      </w:r>
      <w:r>
        <w:t>2026-07-11 00:00:00+00:00</w:t>
      </w:r>
      <w:r>
        <w:t xml:space="preserve">    </w:t>
      </w:r>
      <w:r>
        <w:rPr>
          <w:b/>
        </w:rPr>
        <w:t xml:space="preserve">DOI: </w:t>
      </w:r>
      <w:hyperlink r:id="rId465">
        <w:r>
          <w:rPr>
            <w:color w:val="1155CC"/>
            <w:u w:val="single"/>
          </w:rPr>
          <w:t>10.1021/jacs.6c09952</w:t>
        </w:r>
      </w:hyperlink>
    </w:p>
    <w:p>
      <w:pPr>
        <w:spacing w:before="0" w:after="120"/>
      </w:pPr>
      <w:r>
        <w:rPr>
          <w:b/>
        </w:rPr>
        <w:t xml:space="preserve">Notes: </w:t>
      </w:r>
      <w:r>
        <w:t>abstract_source=pubmed</w:t>
      </w:r>
    </w:p>
    <w:p>
      <w:pPr>
        <w:spacing w:before="0" w:after="80" w:lineRule="auto" w:line="276"/>
      </w:pPr>
      <w:r>
        <w:rPr>
          <w:b/>
        </w:rPr>
        <w:t xml:space="preserve">摘要（ZH）: </w:t>
      </w:r>
      <w:r>
        <w:t>由于氧化还原化学的基本不匹配，高氧化态铈还原氢化物配体的配合物是未知的。在此，我们报告了第一个 Ce4+ 氢化铝配合物的合成、表征和反应性。根据Ce4+烷基配合物的制备改编的合成策略促进了[Ce4+(κ2-H3AlC(TMS)3)(NP(tBu)3)3](CeHAl)的分离。该复合物的键合和结构通过单晶 XRD、NMR、UV-vis-NIR 光谱以及 DFT 计算进行了表征。通过循环伏安法和小分子反应评估基本反应性曲线。</w:t>
      </w:r>
    </w:p>
    <w:p>
      <w:pPr>
        <w:spacing w:before="0" w:after="200" w:lineRule="auto" w:line="276"/>
      </w:pPr>
      <w:r>
        <w:rPr>
          <w:b/>
        </w:rPr>
        <w:t xml:space="preserve">Abstract (EN): </w:t>
      </w:r>
      <w:r>
        <w:t>Complexes of reducing hydride ligands by high-oxidation state cerium are unknown due to the fundamental mismatch in their redox chemistry. Herein we report the synthesis, characterization, and reactivity of the first example of a Ce4+ aluminum hydride complex. Synthetic strategies adapted from the preparation of Ce4+ alkyl complexes facilitated the isolation of [Ce4+(κ2-H3AlC(TMS)3)(NP(tBu)3)3] (CeHAl). The bonding and structure of this complex is characterized by single-crystal XRD, NMR, and UV-vis-NIR spectroscopy, and DFT computations. The fundamental reactivity profile is evaluated by cyclic voltammetry and small-molecule reactions.</w:t>
      </w:r>
    </w:p>
    <w:p>
      <w:pPr>
        <w:spacing w:before="120" w:after="120"/>
      </w:pPr>
      <w:r>
        <w:rPr>
          <w:sz w:val="18"/>
        </w:rPr>
        <w:t>——————————————————————————————————————————————————————————————————————</w:t>
      </w:r>
    </w:p>
    <w:p>
      <w:pPr>
        <w:spacing w:before="160" w:after="40" w:line="240" w:lineRule="auto"/>
      </w:pPr>
      <w:r>
        <w:rPr>
          <w:b/>
        </w:rPr>
        <w:t xml:space="preserve">[26] </w:t>
      </w:r>
      <w:hyperlink r:id="rId466">
        <w:r>
          <w:rPr>
            <w:color w:val="1155CC"/>
            <w:u w:val="single"/>
          </w:rPr>
          <w:t>锰驱动的能级调节抑制 CO 电子捐赠并削弱 CO 吸附以获得 Sabatier 最佳反应性</w:t>
        </w:r>
      </w:hyperlink>
    </w:p>
    <w:p>
      <w:pPr>
        <w:spacing w:before="0" w:after="80"/>
      </w:pPr>
      <w:r>
        <w:rPr>
          <w:i/>
          <w:sz w:val="20"/>
        </w:rPr>
        <w:t>EN: Mn-Driven Energy Level Tuning Suppresses CO Electron Donation and Weakens CO Adsorption for Sabatier-Optimal Reactivity</w:t>
      </w:r>
    </w:p>
    <w:p>
      <w:pPr>
        <w:spacing w:before="0" w:after="120"/>
      </w:pPr>
      <w:r>
        <w:rPr>
          <w:b/>
        </w:rPr>
        <w:t xml:space="preserve">Source: </w:t>
      </w:r>
      <w:r>
        <w:t>ACS Applied Materials &amp; Interfaces: Latest Articles (ACS Publications)</w:t>
      </w:r>
      <w:r>
        <w:t xml:space="preserve">    </w:t>
      </w:r>
      <w:r>
        <w:rPr>
          <w:b/>
        </w:rPr>
        <w:t xml:space="preserve">Pub date: </w:t>
      </w:r>
      <w:r>
        <w:t>2026-07-11 00:00:00+00:00</w:t>
      </w:r>
      <w:r>
        <w:t xml:space="preserve">    </w:t>
      </w:r>
      <w:r>
        <w:rPr>
          <w:b/>
        </w:rPr>
        <w:t xml:space="preserve">DOI: </w:t>
      </w:r>
      <w:hyperlink r:id="rId467">
        <w:r>
          <w:rPr>
            <w:color w:val="1155CC"/>
            <w:u w:val="single"/>
          </w:rPr>
          <w:t>10.1021/acsami.6c05085</w:t>
        </w:r>
      </w:hyperlink>
    </w:p>
    <w:p>
      <w:pPr>
        <w:spacing w:before="0" w:after="120"/>
      </w:pPr>
      <w:r>
        <w:rPr>
          <w:b/>
        </w:rPr>
        <w:t xml:space="preserve">Notes: </w:t>
      </w:r>
      <w:r>
        <w:t>abstract_source=pubmed</w:t>
      </w:r>
    </w:p>
    <w:p>
      <w:pPr>
        <w:spacing w:before="0" w:after="80" w:lineRule="auto" w:line="276"/>
      </w:pPr>
      <w:r>
        <w:rPr>
          <w:b/>
        </w:rPr>
        <w:t xml:space="preserve">摘要（ZH）: </w:t>
      </w:r>
      <w:r>
        <w:t>元素掺杂改性策略通过改变催化位点的局部结构和电子态来影响表面催化过程和反应动力学。对微观原子和电子结构的透彻理解有利于揭示材料的催化潜力。在本研究中，合成了锰掺杂的 Co3O4，与纯 Co3O4 相比，其催化性能、耐水性和长期耐久性显着优越。研究表明，Mn掺杂赋予Co3O4较高的Co3+含量和氧空位，更有利于CO催化氧化。此外，Mn 的 d 电子比 Co 少，导致 d 带中心较高，这可能会阻碍 Mn 和 CO 分子之间的电子交换。这种效应削弱了二氧化碳的吸附，使其向萨巴蒂尔原理定义的最佳范围移动。该研究揭示了反应物分子表面催化过程的可控性，为元素掺杂策略提供了理论指导。</w:t>
      </w:r>
    </w:p>
    <w:p>
      <w:pPr>
        <w:spacing w:before="0" w:after="200" w:lineRule="auto" w:line="276"/>
      </w:pPr>
      <w:r>
        <w:rPr>
          <w:b/>
        </w:rPr>
        <w:t xml:space="preserve">Abstract (EN): </w:t>
      </w:r>
      <w:r>
        <w:t>Element doping modification strategies affect the surface catalytic process and reaction kinetics by altering the local structure and electronic states of catalytic sites. A thorough understanding of the microscopic atomic and electronic structures is conducive to uncovering the catalytic potential of materials. In this study, Mn-doped Co3O4 was synthesized and demonstrated significantly superior catalytic performance, water resistance, and long-term durability compared to pure Co3O4. Research indicates that Mn doping endows Co3O4 with a relatively high Co3+ content and oxygen vacancies, which are more conducive to CO catalytic oxidation. Additionally, Mn has fewer d electrons than Co, resulting in a higher d-band center, which could hinder the electron exchange between Mn and CO molecules. Such an effect weakened the CO adsorption, shifting it toward the optimal range defined by the Sabatier principle. This study revealed the controllability of the surface catalytic process of reactant molecules and provided theoretical guidance for the element doping strategy.</w:t>
      </w:r>
    </w:p>
    <w:p>
      <w:pPr>
        <w:spacing w:before="120" w:after="120"/>
      </w:pPr>
      <w:r>
        <w:rPr>
          <w:sz w:val="18"/>
        </w:rPr>
        <w:t>——————————————————————————————————————————————————————————————————————</w:t>
      </w:r>
    </w:p>
    <w:p>
      <w:pPr>
        <w:spacing w:before="160" w:after="40" w:line="240" w:lineRule="auto"/>
      </w:pPr>
      <w:r>
        <w:rPr>
          <w:b/>
        </w:rPr>
        <w:t xml:space="preserve">[27] </w:t>
      </w:r>
      <w:hyperlink r:id="rId468">
        <w:r>
          <w:rPr>
            <w:color w:val="1155CC"/>
            <w:u w:val="single"/>
          </w:rPr>
          <w:t>在大量需氧条件下，微生物还原的黄素会破坏钛的 TiO2 钝化膜的稳定性</w:t>
        </w:r>
      </w:hyperlink>
    </w:p>
    <w:p>
      <w:pPr>
        <w:spacing w:before="0" w:after="80"/>
      </w:pPr>
      <w:r>
        <w:rPr>
          <w:i/>
          <w:sz w:val="20"/>
        </w:rPr>
        <w:t>EN: Microbially reduced flavins destabilize the TiO2 passive film of titanium under bulk aerobic conditions</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469">
        <w:r>
          <w:rPr>
            <w:color w:val="1155CC"/>
            <w:u w:val="single"/>
          </w:rPr>
          <w:t>10.1093/nsr/nwag426</w:t>
        </w:r>
      </w:hyperlink>
    </w:p>
    <w:p>
      <w:pPr>
        <w:spacing w:before="0" w:after="120"/>
      </w:pPr>
      <w:r>
        <w:rPr>
          <w:b/>
        </w:rPr>
        <w:t xml:space="preserve">Notes: </w:t>
      </w:r>
      <w:r>
        <w:t>abstract_source=rss_oup</w:t>
      </w:r>
    </w:p>
    <w:p>
      <w:pPr>
        <w:spacing w:before="0" w:after="80" w:lineRule="auto" w:line="276"/>
      </w:pPr>
      <w:r>
        <w:rPr>
          <w:b/>
        </w:rPr>
        <w:t xml:space="preserve">摘要（ZH）: </w:t>
      </w:r>
      <w:r>
        <w:t>受表面氧化膜保护的钝化金属在现代结构材料中占主导地位。因此，了解钝化膜击穿的机制至关重要。钛上的电子绝缘 TiO2 钝化膜将下面的 Ti° 与环境氧化剂分开，但据报道微生物生物膜会催化钛腐蚀。在这里，我们证明了在钛上生长的常见海洋微生物希瓦氏藻会减少 TiO2 从而破坏钝化膜的稳定性。生物膜消耗氧气，即使整体环境保持有氧，也会在金属界面附近产生厌氧条件。高分辨率表征揭示了钝化层的变薄和低价钛氧化物的积累。电化学分析表明，Ti0 的腐蚀电流增加了六倍，同时点蚀增强。突变体研究和其他方法表明，细胞外黄素可作为 S. algae TiO2 还原的中间电子载体。这些结果证明了微生物如何创造局部微环境，加速其他高度耐腐蚀金属的腐蚀。</w:t>
      </w:r>
    </w:p>
    <w:p>
      <w:pPr>
        <w:spacing w:before="0" w:after="200" w:lineRule="auto" w:line="276"/>
      </w:pPr>
      <w:r>
        <w:rPr>
          <w:b/>
        </w:rPr>
        <w:t xml:space="preserve">Abstract (EN): </w:t>
      </w:r>
      <w:r>
        <w:t>Passive metals protected by surface oxide films dominate modern structural materials. Thus, understanding the mechanisms governing passive film breakdown is essential. The electronically insulating TiO2 passive film on titanium separates the underlying Ti° from environmental oxidants, but microbial biofilms have been reported to catalyze titanium corrosion. Here we demonstrate that the common marine microbe Shewanella algae growing on titanium reduces TiO2 to destabilize the passive film. The biofilm consumes oxygen, generating anaerobic conditions near the metal interface even when the bulk environment remains aerobic. High-resolution characterizations reveal thinning of the passive layer and accumulation of lower-valence titanium oxides. Electrochemical analyses show a six-fold increase in corrosion current from Ti0 accompanied by enhanced pitting. Mutant studies and other approaches indicate that extracellular flavins function as an intermediary electron carrier for S. algae TiO2 reduction. These results demonstrate how microbes create localized microenvironments that accelerate corrosion of otherwise highly corrosion-resistant metals.</w:t>
      </w:r>
    </w:p>
    <w:p>
      <w:pPr>
        <w:spacing w:before="120" w:after="120"/>
      </w:pPr>
      <w:r>
        <w:rPr>
          <w:sz w:val="18"/>
        </w:rPr>
        <w:t>——————————————————————————————————————————————————————————————————————</w:t>
      </w:r>
    </w:p>
    <w:p>
      <w:pPr>
        <w:spacing w:before="160" w:after="40" w:line="240" w:lineRule="auto"/>
      </w:pPr>
      <w:r>
        <w:rPr>
          <w:b/>
        </w:rPr>
        <w:t xml:space="preserve">[28] </w:t>
      </w:r>
      <w:hyperlink r:id="rId470">
        <w:r>
          <w:rPr>
            <w:color w:val="1155CC"/>
            <w:u w:val="single"/>
          </w:rPr>
          <w:t>直接合成 p 型 PbS 量子点墨水以实现晶圆级短波红外成像</w:t>
        </w:r>
      </w:hyperlink>
    </w:p>
    <w:p>
      <w:pPr>
        <w:spacing w:before="0" w:after="80"/>
      </w:pPr>
      <w:r>
        <w:rPr>
          <w:i/>
          <w:sz w:val="20"/>
        </w:rPr>
        <w:t>EN: Direct synthesis of p-type PbS quantum dot inks toward wafer-scale SWIR imaging</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471">
        <w:r>
          <w:rPr>
            <w:color w:val="1155CC"/>
            <w:u w:val="single"/>
          </w:rPr>
          <w:t>10.1093/nsr/nwag421</w:t>
        </w:r>
      </w:hyperlink>
    </w:p>
    <w:p>
      <w:pPr>
        <w:spacing w:before="0" w:after="120"/>
      </w:pPr>
      <w:r>
        <w:rPr>
          <w:b/>
        </w:rPr>
        <w:t xml:space="preserve">Notes: </w:t>
      </w:r>
      <w:r>
        <w:t>abstract_source=rss_oup</w:t>
      </w:r>
    </w:p>
    <w:p>
      <w:pPr>
        <w:spacing w:before="0" w:after="80" w:lineRule="auto" w:line="276"/>
      </w:pPr>
      <w:r>
        <w:rPr>
          <w:b/>
        </w:rPr>
        <w:t xml:space="preserve">摘要（ZH）: </w:t>
      </w:r>
      <w:r>
        <w:t>PbS 量子点 (QD) 由于其可调谐带隙和溶液可加工性，在可扩展的短波红外 (SWIR) 光电子学方面非常有前景。虽然高效的器件需要明确的 p-n 同质结，但与成熟的 n 型 QD 墨水相比，p 型 QD 层的制造仍然是一个关键瓶颈。目前 p 型 QD 层的制造依赖于固态配体交换 (SSLE)。然而，SSLE 存在配体替换不完全和氧化不均匀的问题，导致薄膜不均匀，阻碍了晶圆级制造。在这里，我们报告了具有可调 QD 尺寸、光学吸收和 p 型电子特性的 p 型 PbS QD 墨水的直接合成。该墨水可在 6 英寸硅基板上生成厚度高度均匀的导电 p 型薄膜。利用这种策略，我们实现了具有完全墨水处理的 PbS QD p-n 结的短波红外光电探测器以及原型成像模块。当与识别算法集成时，成像仪提供短波红外图像，有助于雾天条件下的车辆识别。这项工作为未来高性能、晶圆级短波红外光电平台建立了一条可扩展的路线。</w:t>
      </w:r>
    </w:p>
    <w:p>
      <w:pPr>
        <w:spacing w:before="0" w:after="200" w:lineRule="auto" w:line="276"/>
      </w:pPr>
      <w:r>
        <w:rPr>
          <w:b/>
        </w:rPr>
        <w:t xml:space="preserve">Abstract (EN): </w:t>
      </w:r>
      <w:r>
        <w:t>PbS quantum dots (QDs) are highly promising for scalable short-wave infrared (SWIR) optoelectronics due to their tunable bandgap and solution-processability. While efficient devices require well-defined p-n homojunctions, the fabrication of p-type QD layers remains a critical bottleneck compared with the well-established n-type QD inks. Current fabrication of p-type QD layers relies on solid-state ligand exchange (SSLE). However, SSLE suffers from incomplete ligand replacement and non-uniform oxidation, causing film inhomogeneity that prevents wafer-scale manufacturing. Here, we report a direct synthesis of p-type PbS QD inks with tunable QD size, optical absorption, and p-type electronic characteristics. This ink yields conductive p-type films on 6-inch Si substrates with highly uniform thickness. Using this strategy, we realize SWIR photodetectors with fully ink-processed PbS QD p–n junctions, together with a prototype imaging module. When integrated with a recognition algorithm, the imager provides SWIR images that facilitate vehicle recognition under foggy conditions. This work establishes a scalable route toward future high-performance, wafer-level SWIR optoelectronic platforms.</w:t>
      </w:r>
    </w:p>
    <w:p>
      <w:pPr>
        <w:spacing w:before="120" w:after="120"/>
      </w:pPr>
      <w:r>
        <w:rPr>
          <w:sz w:val="18"/>
        </w:rPr>
        <w:t>——————————————————————————————————————————————————————————————————————</w:t>
      </w:r>
    </w:p>
    <w:p>
      <w:pPr>
        <w:spacing w:before="160" w:after="40" w:line="240" w:lineRule="auto"/>
      </w:pPr>
      <w:r>
        <w:rPr>
          <w:b/>
        </w:rPr>
        <w:t xml:space="preserve">[29] </w:t>
      </w:r>
      <w:hyperlink r:id="rId472">
        <w:r>
          <w:rPr>
            <w:color w:val="1155CC"/>
            <w:u w:val="single"/>
          </w:rPr>
          <w:t>通过神经动力学子空间聚类构建介观功能组学</w:t>
        </w:r>
      </w:hyperlink>
    </w:p>
    <w:p>
      <w:pPr>
        <w:spacing w:before="0" w:after="80"/>
      </w:pPr>
      <w:r>
        <w:rPr>
          <w:i/>
          <w:sz w:val="20"/>
        </w:rPr>
        <w:t>EN: Constructing mesoscale functionomics by neural dynamics subspace clustering</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473">
        <w:r>
          <w:rPr>
            <w:color w:val="1155CC"/>
            <w:u w:val="single"/>
          </w:rPr>
          <w:t>10.1093/nsr/nwag420</w:t>
        </w:r>
      </w:hyperlink>
    </w:p>
    <w:p>
      <w:pPr>
        <w:spacing w:before="0" w:after="120"/>
      </w:pPr>
      <w:r>
        <w:rPr>
          <w:b/>
        </w:rPr>
        <w:t xml:space="preserve">Notes: </w:t>
      </w:r>
      <w:r>
        <w:t>abstract_source=rss_oup</w:t>
      </w:r>
    </w:p>
    <w:p>
      <w:pPr>
        <w:spacing w:before="0" w:after="80" w:lineRule="auto" w:line="276"/>
      </w:pPr>
      <w:r>
        <w:rPr>
          <w:b/>
        </w:rPr>
        <w:t xml:space="preserve">摘要（ZH）: </w:t>
      </w:r>
      <w:r>
        <w:t>构建细粒度的大脑功能图谱对于破译生物智能至关重要。然而，单神经元水平上复杂且非线性的相互作用导致紧密相互作用的神经群体之间出现异步和异质的放电模式，从而对基于相关放电的聚类方法提出了挑战。在这里，我们提出了基于内在动力学稀疏表示（FRID）的功能子空间聚类，这是一种无监督方法，用于从中尺度神经记录中识别具有共享微电路连接和信息编码属性（称为功能组学）的神经元。在模拟复杂网络和经验钙记录中，FRID 显着优于基于相关放电的方法。 FRID 的准确性和实用性在感觉统合和决策任务中得到验证，以产生比解剖功能区域定义的功能组簇具有更高分辨率和编码特异性的功能组簇。作为代表性发现，我们展示了缺血性中风恢复期间的单细胞水平功能重新映射以及学习诱导的功能模块化重组。与大规模神经记录一起，FRID 可以作为通用数据驱动范例，以加速对中尺度大脑功能的理解。</w:t>
      </w:r>
    </w:p>
    <w:p>
      <w:pPr>
        <w:spacing w:before="0" w:after="200" w:lineRule="auto" w:line="276"/>
      </w:pPr>
      <w:r>
        <w:rPr>
          <w:b/>
        </w:rPr>
        <w:t xml:space="preserve">Abstract (EN): </w:t>
      </w:r>
      <w:r>
        <w:t>Building a fine-grained functional atlas of the brain is crucial for deciphering bio-intelligence. However, the intricate and non-linear interactions at single-neuron level lead to asynchronous and heterogeneous firing patterns among closely interacting neural populations, thereby challenging correlated-firing-based clustering methods. Here, we present Functional subspace clustering based on sparse Representation of Intrinsic Dynamics (FRID), an unsupervised approach for identifying neurons with shared microcircuit connectivity and information encoding properties (referred to as Functionomics) from mesoscale neural recordings. FRID significantly outperforms correlated-firing-based methods in both simulated complex networks and empirical calcium recordings. The accuracy and utility of FRID are validated across sensory integration and decision-making tasks to produce functionomic clusters with improved resolution and coding specificity than those defined by anatomical functional areas. As representative findings, we demonstrate single-cell level functional remapping during recovery from ischemic stroke and the learning-induced reorganization of functional modularization. Together with large-scale neural recordings, FRID could serve as a general data-driven paradigm to accelerate the understanding of mesoscale brain functions.</w:t>
      </w:r>
    </w:p>
    <w:p>
      <w:pPr>
        <w:spacing w:before="120" w:after="120"/>
      </w:pPr>
      <w:r>
        <w:rPr>
          <w:sz w:val="18"/>
        </w:rPr>
        <w:t>——————————————————————————————————————————————————————————————————————</w:t>
      </w:r>
    </w:p>
    <w:p>
      <w:pPr>
        <w:spacing w:before="160" w:after="40" w:line="240" w:lineRule="auto"/>
      </w:pPr>
      <w:r>
        <w:rPr>
          <w:b/>
        </w:rPr>
        <w:t xml:space="preserve">[30] </w:t>
      </w:r>
      <w:hyperlink r:id="rId474">
        <w:r>
          <w:rPr>
            <w:color w:val="1155CC"/>
            <w:u w:val="single"/>
          </w:rPr>
          <w:t>光电集成的瓶颈、架构和未来路径：戴琼海专访</w:t>
        </w:r>
      </w:hyperlink>
    </w:p>
    <w:p>
      <w:pPr>
        <w:spacing w:before="0" w:after="80"/>
      </w:pPr>
      <w:r>
        <w:rPr>
          <w:i/>
          <w:sz w:val="20"/>
        </w:rPr>
        <w:t>EN: The Bottlenecks, Architectures and Future Pathways of Optoelectronic Integration: an Interview with Qionghai Dai</w:t>
      </w:r>
    </w:p>
    <w:p>
      <w:pPr>
        <w:spacing w:before="0" w:after="120"/>
      </w:pPr>
      <w:r>
        <w:rPr>
          <w:b/>
        </w:rPr>
        <w:t xml:space="preserve">Source: </w:t>
      </w:r>
      <w:r>
        <w:t>National Science Review Advance Access</w:t>
      </w:r>
      <w:r>
        <w:t xml:space="preserve">    </w:t>
      </w:r>
      <w:r>
        <w:rPr>
          <w:b/>
        </w:rPr>
        <w:t xml:space="preserve">Pub date: </w:t>
      </w:r>
      <w:r>
        <w:t>2026-07-11 00:00:00+00:00</w:t>
      </w:r>
      <w:r>
        <w:t xml:space="preserve">    </w:t>
      </w:r>
      <w:r>
        <w:rPr>
          <w:b/>
        </w:rPr>
        <w:t xml:space="preserve">DOI: </w:t>
      </w:r>
      <w:hyperlink r:id="rId475">
        <w:r>
          <w:rPr>
            <w:color w:val="1155CC"/>
            <w:u w:val="single"/>
          </w:rPr>
          <w:t>10.1093/nsr/nwag431</w:t>
        </w:r>
      </w:hyperlink>
    </w:p>
    <w:p>
      <w:pPr>
        <w:spacing w:before="0" w:after="120"/>
      </w:pPr>
      <w:r>
        <w:rPr>
          <w:b/>
        </w:rPr>
        <w:t xml:space="preserve">Notes: </w:t>
      </w:r>
      <w:r>
        <w:t>abstract_source=openalex</w:t>
      </w:r>
    </w:p>
    <w:p>
      <w:pPr>
        <w:spacing w:before="0" w:after="80" w:lineRule="auto" w:line="276"/>
      </w:pPr>
      <w:r>
        <w:rPr>
          <w:b/>
        </w:rPr>
        <w:t xml:space="preserve">摘要（ZH）: </w:t>
      </w:r>
      <w:r>
        <w:t>吴嘉敏，陈静轩；光电集成的瓶颈、架构和未来路径：国家科学中心戴琼海专访</w:t>
      </w:r>
    </w:p>
    <w:p>
      <w:pPr>
        <w:spacing w:before="0" w:after="200" w:lineRule="auto" w:line="276"/>
      </w:pPr>
      <w:r>
        <w:rPr>
          <w:b/>
        </w:rPr>
        <w:t xml:space="preserve">Abstract (EN): </w:t>
      </w:r>
      <w:r>
        <w:t>Jiamin Wu, Jingxuan Chen; The Bottlenecks, Architectures and Future Pathways of Optoelectronic Integration: an Interview with Qionghai Dai, National Scienc</w:t>
      </w:r>
    </w:p>
    <w:p>
      <w:pPr>
        <w:spacing w:before="120" w:after="120"/>
      </w:pPr>
      <w:r>
        <w:rPr>
          <w:sz w:val="18"/>
        </w:rPr>
        <w:t>——————————————————————————————————————————————————————————————————————</w:t>
      </w:r>
    </w:p>
    <w:p>
      <w:pPr>
        <w:spacing w:before="160" w:after="40" w:line="240" w:lineRule="auto"/>
      </w:pPr>
      <w:r>
        <w:rPr>
          <w:b/>
        </w:rPr>
        <w:t xml:space="preserve">[31] </w:t>
      </w:r>
      <w:hyperlink r:id="rId476">
        <w:r>
          <w:rPr>
            <w:color w:val="1155CC"/>
            <w:u w:val="single"/>
          </w:rPr>
          <w:t>一种值得信赖的混合人类-法学硕士辅助的配电网运行安全强化学习方法</w:t>
        </w:r>
      </w:hyperlink>
    </w:p>
    <w:p>
      <w:pPr>
        <w:spacing w:before="0" w:after="80"/>
      </w:pPr>
      <w:r>
        <w:rPr>
          <w:i/>
          <w:sz w:val="20"/>
        </w:rPr>
        <w:t>EN: A trustworthy hybrid human-LLM assisted safe reinforcement learning method for distribution network operation</w:t>
      </w:r>
    </w:p>
    <w:p>
      <w:pPr>
        <w:spacing w:before="0" w:after="120"/>
      </w:pPr>
      <w:r>
        <w:rPr>
          <w:b/>
        </w:rPr>
        <w:t xml:space="preserve">Source: </w:t>
      </w:r>
      <w:r>
        <w:t>ScienceDirect Publication: Applied Energy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77">
        <w:r>
          <w:rPr>
            <w:color w:val="1155CC"/>
            <w:u w:val="single"/>
          </w:rPr>
          <w:t>金钱买不到什么：公司经验和社区对可再生能源基础设施的抵制</w:t>
        </w:r>
      </w:hyperlink>
    </w:p>
    <w:p>
      <w:pPr>
        <w:spacing w:before="0" w:after="80"/>
      </w:pPr>
      <w:r>
        <w:rPr>
          <w:i/>
          <w:sz w:val="20"/>
        </w:rPr>
        <w:t>EN: What money can’t buy: Company experience and community resistance to renewable energy infrastructure</w:t>
      </w:r>
    </w:p>
    <w:p>
      <w:pPr>
        <w:spacing w:before="0" w:after="120"/>
      </w:pPr>
      <w:r>
        <w:rPr>
          <w:b/>
        </w:rPr>
        <w:t xml:space="preserve">Source: </w:t>
      </w:r>
      <w:r>
        <w:t>ScienceDirect Publication: Energy Policy</w:t>
      </w:r>
      <w:r>
        <w:t xml:space="preserve">    </w:t>
      </w:r>
      <w:r>
        <w:rPr>
          <w:b/>
        </w:rPr>
        <w:t xml:space="preserve">Pub date: </w:t>
      </w:r>
      <w:r>
        <w:t>2026-07-11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78">
        <w:r>
          <w:rPr>
            <w:color w:val="1155CC"/>
            <w:u w:val="single"/>
          </w:rPr>
          <w:t>高效的动态感知深度强化学习，用于解决具有服务时间窗口和使用时间电价的容量电动汽车路径问题</w:t>
        </w:r>
      </w:hyperlink>
    </w:p>
    <w:p>
      <w:pPr>
        <w:spacing w:before="0" w:after="80"/>
      </w:pPr>
      <w:r>
        <w:rPr>
          <w:i/>
          <w:sz w:val="20"/>
        </w:rPr>
        <w:t>EN: Efficient dynamic-aware deep reinforcement learning for solving capacitated electric vehicle routing problems with service time windows and time-of-use electricity prices</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79">
        <w:r>
          <w:rPr>
            <w:color w:val="1155CC"/>
            <w:u w:val="single"/>
          </w:rPr>
          <w:t>N-k 突发事件下的协调输配电负荷恢复：分布式优化和强化学习方法</w:t>
        </w:r>
      </w:hyperlink>
    </w:p>
    <w:p>
      <w:pPr>
        <w:spacing w:before="0" w:after="80"/>
      </w:pPr>
      <w:r>
        <w:rPr>
          <w:i/>
          <w:sz w:val="20"/>
        </w:rPr>
        <w:t>EN: Coordinated transmission-distribution load restoration under N-k contingencies: a distributed optimization and reinforcement learning approach</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480">
        <w:r>
          <w:rPr>
            <w:color w:val="1155CC"/>
            <w:u w:val="single"/>
          </w:rPr>
          <w:t>用于增强多能源互补系统可靠性的混合共享储能规划：集成地理空间分析和深度学习预测的双层优化框架</w:t>
        </w:r>
      </w:hyperlink>
    </w:p>
    <w:p>
      <w:pPr>
        <w:spacing w:before="0" w:after="80"/>
      </w:pPr>
      <w:r>
        <w:rPr>
          <w:i/>
          <w:sz w:val="20"/>
        </w:rPr>
        <w:t>EN: Hybrid shared energy storage planning for enhanced reliability in multi-energy complementary systems: a bi-level optimization framework integrating geospatial analysis and deep learning forecasting</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481">
        <w:r>
          <w:rPr>
            <w:color w:val="1155CC"/>
            <w:u w:val="single"/>
          </w:rPr>
          <w:t>频率感知孤岛约束下多微电网配电系统非迭代协调优化调度</w:t>
        </w:r>
      </w:hyperlink>
    </w:p>
    <w:p>
      <w:pPr>
        <w:spacing w:before="0" w:after="80"/>
      </w:pPr>
      <w:r>
        <w:rPr>
          <w:i/>
          <w:sz w:val="20"/>
        </w:rPr>
        <w:t>EN: Non-iterative coordinated optimal scheduling for multi-microgrid distribution system under frequency-aware islanding constraints</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482">
        <w:r>
          <w:rPr>
            <w:color w:val="1155CC"/>
            <w:u w:val="single"/>
          </w:rPr>
          <w:t>用于电力系统稳定性评估的冲突规避联合多任务学习</w:t>
        </w:r>
      </w:hyperlink>
    </w:p>
    <w:p>
      <w:pPr>
        <w:spacing w:before="0" w:after="80"/>
      </w:pPr>
      <w:r>
        <w:rPr>
          <w:i/>
          <w:sz w:val="20"/>
        </w:rPr>
        <w:t>EN: Conflict-averse federated multi-task learning for power system stability assessment</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483">
        <w:r>
          <w:rPr>
            <w:color w:val="1155CC"/>
            <w:u w:val="single"/>
          </w:rPr>
          <w:t>可再生能源组合标准是否调节了排放与增长的关系？来自美国各州的证据，2001-2022 年</w:t>
        </w:r>
      </w:hyperlink>
    </w:p>
    <w:p>
      <w:pPr>
        <w:spacing w:before="0" w:after="80"/>
      </w:pPr>
      <w:r>
        <w:rPr>
          <w:i/>
          <w:sz w:val="20"/>
        </w:rPr>
        <w:t>EN: Do renewable portfolio standards moderate the emissions-growth relationship? Evidence from U.S. States, 2001–2022</w:t>
      </w:r>
    </w:p>
    <w:p>
      <w:pPr>
        <w:spacing w:before="0" w:after="120"/>
      </w:pPr>
      <w:r>
        <w:rPr>
          <w:b/>
        </w:rPr>
        <w:t xml:space="preserve">Source: </w:t>
      </w:r>
      <w:r>
        <w:t>ScienceDirect Publication: Energy Policy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484">
        <w:r>
          <w:rPr>
            <w:color w:val="1155CC"/>
            <w:u w:val="single"/>
          </w:rPr>
          <w:t>用于高效锶吸附和环丙沙星去除的多功能金属有机框架/碱蚀碳化硅复合材料</w:t>
        </w:r>
      </w:hyperlink>
    </w:p>
    <w:p>
      <w:pPr>
        <w:spacing w:before="0" w:after="80"/>
      </w:pPr>
      <w:r>
        <w:rPr>
          <w:i/>
          <w:sz w:val="20"/>
        </w:rPr>
        <w:t>EN: Multifunctional Metal–Organic Framework/Alkali-Etched Silicon Carbide Composite for Efficient Strontium Adsorption and Ciprofloxacin Removal</w:t>
      </w:r>
    </w:p>
    <w:p>
      <w:pPr>
        <w:spacing w:before="0" w:after="120"/>
      </w:pPr>
      <w:r>
        <w:rPr>
          <w:b/>
        </w:rPr>
        <w:t xml:space="preserve">Source: </w:t>
      </w:r>
      <w:r>
        <w:t>ACS Applied Materials &amp; Interfaces: Latest Articles (ACS Publications)</w:t>
      </w:r>
      <w:r>
        <w:t xml:space="preserve">    </w:t>
      </w:r>
      <w:r>
        <w:rPr>
          <w:b/>
        </w:rPr>
        <w:t xml:space="preserve">Pub date: </w:t>
      </w:r>
      <w:r>
        <w:t>2026-07-12 00:00:00+00:00</w:t>
      </w:r>
      <w:r>
        <w:t xml:space="preserve">    </w:t>
      </w:r>
      <w:r>
        <w:rPr>
          <w:b/>
        </w:rPr>
        <w:t xml:space="preserve">DOI: </w:t>
      </w:r>
      <w:hyperlink r:id="rId485">
        <w:r>
          <w:rPr>
            <w:color w:val="1155CC"/>
            <w:u w:val="single"/>
          </w:rPr>
          <w:t>10.1021/acsami.6c08717</w:t>
        </w:r>
      </w:hyperlink>
    </w:p>
    <w:p>
      <w:pPr>
        <w:spacing w:before="0" w:after="120"/>
      </w:pPr>
      <w:r>
        <w:rPr>
          <w:b/>
        </w:rPr>
        <w:t xml:space="preserve">Notes: </w:t>
      </w:r>
      <w:r>
        <w:t>abstract_source=pubmed</w:t>
      </w:r>
    </w:p>
    <w:p>
      <w:pPr>
        <w:spacing w:before="0" w:after="80" w:lineRule="auto" w:line="276"/>
      </w:pPr>
      <w:r>
        <w:rPr>
          <w:b/>
        </w:rPr>
        <w:t xml:space="preserve">摘要（ZH）: </w:t>
      </w:r>
      <w:r>
        <w:t>随着全球工业化进程的加快，水体中放射性核素和有机污染物的化学残留问题已成为日益严峻的问题。本研究开发了一种三元异质结构材料ZIF-8@ZIF-67/AE-SiC，它是一种兼具核素吸附和有机污染物降解能力的双功能材料。引入碱蚀碳化硅（AE-SiC）作为功能载体，将ZIF-8的限域效应与ZIF-67的氧化还原活性相结合，增强表面活性和传质效率。一方面，ZIF-8@ZIF-67/AE-SiC对Sr表现出最大理论吸附容量为52.07 mg/g，准一级动力学模型和Freundlich等温线很好地描述了吸附过程，且材料在竞争离子下表现出良好的选择性。另一方面，ZIF-8@ZIF-67/AE-SiC在20分钟内去除了95%以上的环丙沙星（CIP），并且在去除低浓度（100 μg/L）CIP方面表现出良好的效率。它在较宽的pH范围（5-11）和温度范围（15-45℃）内保持高效降解，并对其他污染物表现出超过85%的广谱降解能力。以SO4·-和1O2为主的自由基和非自由基途径的协同作用使得污染物能够快速分解。由于Si-O-M键的稳定作用和壳核结构的支撑作用，结构稳定性得到增强，与纯ZI相比，Zn/Co浸出浓度降低了60-80%</w:t>
      </w:r>
    </w:p>
    <w:p>
      <w:pPr>
        <w:spacing w:before="0" w:after="200" w:lineRule="auto" w:line="276"/>
      </w:pPr>
      <w:r>
        <w:rPr>
          <w:b/>
        </w:rPr>
        <w:t xml:space="preserve">Abstract (EN): </w:t>
      </w:r>
      <w:r>
        <w:t>With the acceleration of global industrialization, chemical residues of radionuclides and organic pollutants in water bodies have become an increasingly severe issue. This study developed a ternary heterogeneous structural material, ZIF-8@ZIF-67/AE-SiC, which served as a dual-functional material combining both nuclide adsorption and organic pollutant degradation capabilities. Alkali-etched silicon carbide (AE-SiC) was introduced as a functional carrier, combining the confinement effect of ZIF-8 with the redox activity of ZIF-67 to enhance surface activity and mass-transfer efficiency. On the one hand, ZIF-8@ZIF-67/AE-SiC exhibited a maximum theoretical adsorption capacity of 52.07 mg/g for Sr. The adsorption process was well described by the pseudo-first-order kinetic model and the Freundlich isotherm, and the material exhibited good selectivity under competitive ions. On the other hand, ZIF-8@ZIF-67/AE-SiC removed over 95% of ciprofloxacin (CIP) within 20 min, and showed good efficiency in removing low concentrations (100 μg/L) of CIP. It maintained high-efficiency degradation across a wide pH range (5-11) and temperature range (15-45 °C), and exhibited broad-spectrum degradation capabilities of over 85% for other pollutants. The synergistic effects of radical and nonradical pathways dominated by SO4•- and 1O2 enable rapid decomposition of pollutants. The structural stability was enhanced due to the stabilizing effect of the Si-O-M bonds and the supporting role of the shell-core structure, resulting in a 60-80% reduction in Zn/Co leaching concentrations compared to pure ZIFs. This work provides a new approach for developing efficient and multifunctional water treatment materials.</w:t>
      </w:r>
    </w:p>
    <w:p>
      <w:pPr>
        <w:spacing w:before="120" w:after="120"/>
      </w:pPr>
      <w:r>
        <w:rPr>
          <w:sz w:val="18"/>
        </w:rPr>
        <w:t>——————————————————————————————————————————————————————————————————————</w:t>
      </w:r>
    </w:p>
    <w:p>
      <w:pPr>
        <w:spacing w:before="160" w:after="40" w:line="240" w:lineRule="auto"/>
      </w:pPr>
      <w:r>
        <w:rPr>
          <w:b/>
        </w:rPr>
        <w:t xml:space="preserve">[40] </w:t>
      </w:r>
      <w:hyperlink r:id="rId486">
        <w:r>
          <w:rPr>
            <w:color w:val="1155CC"/>
            <w:u w:val="single"/>
          </w:rPr>
          <w:t>CH 4 氧化中的结构敏感性：将 Mn 单原子与纳米粒子的 C 1 选择性切换为 C 2 选择性</w:t>
        </w:r>
      </w:hyperlink>
    </w:p>
    <w:p>
      <w:pPr>
        <w:spacing w:before="0" w:after="80"/>
      </w:pPr>
      <w:r>
        <w:rPr>
          <w:i/>
          <w:sz w:val="20"/>
        </w:rPr>
        <w:t>EN: Structure Sensitivity in CH 4 Oxidation: Switching C 1 to C 2 Selectivity on Mn Single Atoms Versus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2026-07-12 00:00:00+00:00</w:t>
      </w:r>
      <w:r>
        <w:t xml:space="preserve">    </w:t>
      </w:r>
      <w:r>
        <w:rPr>
          <w:b/>
        </w:rPr>
        <w:t xml:space="preserve">DOI: </w:t>
      </w:r>
      <w:hyperlink r:id="rId487">
        <w:r>
          <w:rPr>
            <w:color w:val="1155CC"/>
            <w:u w:val="single"/>
          </w:rPr>
          <w:t>10.1021/jacs.6c06550</w:t>
        </w:r>
      </w:hyperlink>
    </w:p>
    <w:p>
      <w:pPr>
        <w:spacing w:before="0" w:after="120"/>
      </w:pPr>
      <w:r>
        <w:rPr>
          <w:b/>
        </w:rPr>
        <w:t xml:space="preserve">Notes: </w:t>
      </w:r>
      <w:r>
        <w:t>abstract_source=pubmed</w:t>
      </w:r>
    </w:p>
    <w:p>
      <w:pPr>
        <w:spacing w:before="0" w:after="80" w:lineRule="auto" w:line="276"/>
      </w:pPr>
      <w:r>
        <w:rPr>
          <w:b/>
        </w:rPr>
        <w:t xml:space="preserve">摘要（ZH）: </w:t>
      </w:r>
      <w:r>
        <w:t>在温和条件下仅使用 CH4 和 O2 将甲烷直接选择性氧化 (DSOM) 生成高附加值液体含氧化合物仍然是催化领域的一项艰巨挑战。在此，我们报告了使用单原子和纳米颗粒形式的高度分散的 MnOx/ZSM-5 催化剂来分别引导 DSOM 反应朝向 C1 和 C2 含氧化合物。锰单原子催化剂 (SAC) 主要生产 C1 产品（HCOOH 和 CH3OH），综合选择性约为 78.8%，而锰纳米颗粒 (NP) 催化剂专门生产具有优异稳定性的液体含氧化合物，乙酸选择性高达 81.8%。各种表征和密度泛函理论计算表明，反应路径受不同锰位点不同甲烷活化机制的控制。在 SAC 上，CH4 在 Mn-O 位点选择性地活化为 *CH3，从而形成 C1 含氧化合物。相比之下，纳米颗粒上的多个 MnOx 位点促进进一步脱氢生成 *CH2 物质，随后偶联成关键的乙烯中间体。然后，该中间体通过绕过 CO 羰基化的非经典途径氧化为乙酸，从而有效抑制过度氧化。这项工作提供了对结构敏感的甲烷活化的基本见解，并提供了使用不含贵金属的催化系统将 CH4 直接增值为增值含氧化合物的实用途径。</w:t>
      </w:r>
    </w:p>
    <w:p>
      <w:pPr>
        <w:spacing w:before="0" w:after="200" w:lineRule="auto" w:line="276"/>
      </w:pPr>
      <w:r>
        <w:rPr>
          <w:b/>
        </w:rPr>
        <w:t xml:space="preserve">Abstract (EN): </w:t>
      </w:r>
      <w:r>
        <w:t>The direct selective oxidation of methane (DSOM) to high value-added liquid oxygenates using only CH4 and O2 under mild conditions remains a formidable challenge in catalysis. Herein, we report the use of highly dispersed MnOx/ZSM-5 catalysts, in the form of single atoms and nanoparticles, to steer the DSOM reaction toward C1 and C2 oxygenates, respectively. While the Mn single-atom catalysts (SACs) primarily produce C1 products (HCOOH and CH3OH) with a combined selectivity of ∼ 78.8%, the Mn nanoparticle (NP) catalysts exclusively produce liquid oxygenates with excellent stability, achieving a remarkable acetic acid selectivity of 81.8%. Various characterizations and density functional theory calculations reveal that the reaction path is governed by distinct methane activation mechanisms at different Mn sites. On SACs, CH4 is selectively activated to *CH3 at Mn-O sites, leading to C1 oxygenates. In contrast, the multiple MnOx sites on NPs promote further dehydrogenation to *CH2 species, which subsequently couple into a key ethylene intermediate. This intermediate is then oxidized to acetic acid via a nonclassical pathway that circumvents CO carbonylation, thereby effectively suppressing overoxidation. This work provides fundamental insights into structure-sensitive methane activation and offers a practical route for the direct valorization of CH4 into value-added oxygenates using a noble-metal-free catalytic system.</w:t>
      </w:r>
    </w:p>
    <w:p>
      <w:pPr>
        <w:spacing w:before="120" w:after="120"/>
      </w:pPr>
      <w:r>
        <w:rPr>
          <w:sz w:val="18"/>
        </w:rPr>
        <w:t>——————————————————————————————————————————————————————————————————————</w:t>
      </w:r>
    </w:p>
    <w:p>
      <w:pPr>
        <w:spacing w:before="160" w:after="40" w:line="240" w:lineRule="auto"/>
      </w:pPr>
      <w:r>
        <w:rPr>
          <w:b/>
        </w:rPr>
        <w:t xml:space="preserve">[41] </w:t>
      </w:r>
      <w:hyperlink r:id="rId488">
        <w:r>
          <w:rPr>
            <w:color w:val="1155CC"/>
            <w:u w:val="single"/>
          </w:rPr>
          <w:t>胶体 MoS 2 单层中中性激子发射的一般氧化化学活化</w:t>
        </w:r>
      </w:hyperlink>
    </w:p>
    <w:p>
      <w:pPr>
        <w:spacing w:before="0" w:after="80"/>
      </w:pPr>
      <w:r>
        <w:rPr>
          <w:i/>
          <w:sz w:val="20"/>
        </w:rPr>
        <w:t>EN: General Oxidative Chemical Activation of Neutral Exciton Emission in Colloidal MoS 2 Monolayers</w:t>
      </w:r>
    </w:p>
    <w:p>
      <w:pPr>
        <w:spacing w:before="0" w:after="120"/>
      </w:pPr>
      <w:r>
        <w:rPr>
          <w:b/>
        </w:rPr>
        <w:t xml:space="preserve">Source: </w:t>
      </w:r>
      <w:r>
        <w:t>Journal of the American Chemical Society: Latest Articles (ACS Publications)</w:t>
      </w:r>
      <w:r>
        <w:t xml:space="preserve">    </w:t>
      </w:r>
      <w:r>
        <w:rPr>
          <w:b/>
        </w:rPr>
        <w:t xml:space="preserve">Pub date: </w:t>
      </w:r>
      <w:r>
        <w:t>2026-07-12 00:00:00+00:00</w:t>
      </w:r>
      <w:r>
        <w:t xml:space="preserve">    </w:t>
      </w:r>
      <w:r>
        <w:rPr>
          <w:b/>
        </w:rPr>
        <w:t xml:space="preserve">DOI: </w:t>
      </w:r>
      <w:hyperlink r:id="rId489">
        <w:r>
          <w:rPr>
            <w:color w:val="1155CC"/>
            <w:u w:val="single"/>
          </w:rPr>
          <w:t>10.1021/jacs.6c07304</w:t>
        </w:r>
      </w:hyperlink>
    </w:p>
    <w:p>
      <w:pPr>
        <w:spacing w:before="0" w:after="120"/>
      </w:pPr>
      <w:r>
        <w:rPr>
          <w:b/>
        </w:rPr>
        <w:t xml:space="preserve">Notes: </w:t>
      </w:r>
      <w:r>
        <w:t>abstract_source=pubmed</w:t>
      </w:r>
    </w:p>
    <w:p>
      <w:pPr>
        <w:spacing w:before="0" w:after="80" w:lineRule="auto" w:line="276"/>
      </w:pPr>
      <w:r>
        <w:rPr>
          <w:b/>
        </w:rPr>
        <w:t xml:space="preserve">摘要（ZH）: </w:t>
      </w:r>
      <w:r>
        <w:t>胶体二维半导体在可扩展的光电子学方面很有前景，但它们的发展从根本上受到抑制激子发射的缺陷引起的非辐射复合的限制。特别是，溶液处理的 MoS2 中的硫空位引入了有利于 Trion 形成的电荷掺杂和陷阱态，从而阻止了明亮的中性激子光致发光。在这里，我们证明简单的氧化化学可以激活胶体 MoS2 单层中明亮的中性激子发射。环境条件下的紫外线 (UV) 照射将光致发光增强超过 2 个数量级，并伴有明显的蓝移和激子寿命增加约 100 倍（0.07 至 6.14 ns），表明从三重子主导到中性激子复合的转变。我们认为紫外线驱动的氧还原是钝化硫空位并诱导电子去掺杂效应的关键过程，从而抑制非辐射衰变途径。这种机制是通用的：一系列氧化剂，包括 H2O2、(NH4)2S2O8、(NH4)2Ce(NO3)6 和 NaIO4，快速激活发射，在某些情况下无需紫外线照射。这些发现建立了一种化学可调策略，用于控制溶液分散的 MoS2 中的激子发射，从而实现可扩展的光电和光子应用。</w:t>
      </w:r>
    </w:p>
    <w:p>
      <w:pPr>
        <w:spacing w:before="0" w:after="200" w:lineRule="auto" w:line="276"/>
      </w:pPr>
      <w:r>
        <w:rPr>
          <w:b/>
        </w:rPr>
        <w:t xml:space="preserve">Abstract (EN): </w:t>
      </w:r>
      <w:r>
        <w:t>Colloidal two-dimensional semiconductors are promising for scalable optoelectronics, but their development has been fundamentally limited by defect-induced nonradiative recombination that suppresses exciton emission. In particular, sulfur vacancies in solution-processed MoS2 introduce charge doping and trap states that favor trion formation, preventing bright neutral exciton photoluminescence. Here we show that simple oxidative chemistry activates bright neutral exciton emission in colloidal MoS2 monolayers. Ultraviolet (UV) irradiation under ambient conditions enhances photoluminescence by over 2 orders of magnitude, accompanied by a pronounced blueshift and a ∼100-fold increase in exciton lifetime (0.07 to 6.14 ns), indicating a transition from trion-dominated to neutral exciton recombination. We identify UV-driven oxygen reduction as the key process that passivates sulfur vacancies and induces electron dedoping effect, thereby suppressing nonradiative decay pathways. This mechanism is general: a range of oxidants, including H2O2, (NH4)2S2O8, (NH4)2Ce(NO3)6, and NaIO4, rapidly activate emission, in some cases without UV irradiation. These findings establish a chemically tunable strategy for controlling excitonic emission in solution-dispersed MoS2, enabling scalable optoelectronic and photonic applications.</w:t>
      </w:r>
    </w:p>
    <w:p>
      <w:pPr>
        <w:spacing w:before="120" w:after="120"/>
      </w:pPr>
      <w:r>
        <w:rPr>
          <w:sz w:val="18"/>
        </w:rPr>
        <w:t>——————————————————————————————————————————————————————————————————————</w:t>
      </w:r>
    </w:p>
    <w:p>
      <w:pPr>
        <w:spacing w:before="160" w:after="40" w:line="240" w:lineRule="auto"/>
      </w:pPr>
      <w:r>
        <w:rPr>
          <w:b/>
        </w:rPr>
        <w:t xml:space="preserve">[42] </w:t>
      </w:r>
      <w:hyperlink r:id="rId490">
        <w:r>
          <w:rPr>
            <w:color w:val="1155CC"/>
            <w:u w:val="single"/>
          </w:rPr>
          <w:t>考虑输电网托管容量的弹性感知方法，支持数据中心优化分配</w:t>
        </w:r>
      </w:hyperlink>
    </w:p>
    <w:p>
      <w:pPr>
        <w:spacing w:before="0" w:after="80"/>
      </w:pPr>
      <w:r>
        <w:rPr>
          <w:i/>
          <w:sz w:val="20"/>
        </w:rPr>
        <w:t>EN: A resilience-aware methodology to support data center optimal allocation considering the transmission grid’s hosting capacity</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491">
        <w:r>
          <w:rPr>
            <w:color w:val="1155CC"/>
            <w:u w:val="single"/>
          </w:rPr>
          <w:t>评估不同大气稳定性下 5 MW 和 22 MW 风力涡轮机的规模相关气动弹性载荷响应</w:t>
        </w:r>
      </w:hyperlink>
    </w:p>
    <w:p>
      <w:pPr>
        <w:spacing w:before="0" w:after="80"/>
      </w:pPr>
      <w:r>
        <w:rPr>
          <w:i/>
          <w:sz w:val="20"/>
        </w:rPr>
        <w:t>EN: Assessing scale-dependent aeroelastic load responses of 5 MW and 22 MW wind turbines under varying atmospheric stability</w:t>
      </w:r>
    </w:p>
    <w:p>
      <w:pPr>
        <w:spacing w:before="0" w:after="120"/>
      </w:pPr>
      <w:r>
        <w:rPr>
          <w:b/>
        </w:rPr>
        <w:t xml:space="preserve">Source: </w:t>
      </w:r>
      <w:r>
        <w:t>ScienceDirect Publication: Applied Energy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492">
        <w:r>
          <w:rPr>
            <w:color w:val="1155CC"/>
            <w:u w:val="single"/>
          </w:rPr>
          <w:t>能源转型、碳政策和贸易冲突的动态和协同效应：混合频率方法</w:t>
        </w:r>
      </w:hyperlink>
    </w:p>
    <w:p>
      <w:pPr>
        <w:spacing w:before="0" w:after="80"/>
      </w:pPr>
      <w:r>
        <w:rPr>
          <w:i/>
          <w:sz w:val="20"/>
        </w:rPr>
        <w:t>EN: Dynamic and synergic effects of energy transition, carbon policy and trade conflicts: A mixed-frequency approach</w:t>
      </w:r>
    </w:p>
    <w:p>
      <w:pPr>
        <w:spacing w:before="0" w:after="120"/>
      </w:pPr>
      <w:r>
        <w:rPr>
          <w:b/>
        </w:rPr>
        <w:t xml:space="preserve">Source: </w:t>
      </w:r>
      <w:r>
        <w:t>ScienceDirect Publication: Energy Policy</w:t>
      </w:r>
      <w:r>
        <w:t xml:space="preserve">    </w:t>
      </w:r>
      <w:r>
        <w:rPr>
          <w:b/>
        </w:rPr>
        <w:t xml:space="preserve">Pub date: </w:t>
      </w:r>
      <w:r>
        <w:t>2026-07-12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493">
        <w:r>
          <w:rPr>
            <w:color w:val="1155CC"/>
            <w:u w:val="single"/>
          </w:rPr>
          <w:t>作者更正：OR7A10 GPCR 工程增强了针对实体瘤的 CAR-NK 疗法</w:t>
        </w:r>
      </w:hyperlink>
    </w:p>
    <w:p>
      <w:pPr>
        <w:spacing w:before="0" w:after="80"/>
      </w:pPr>
      <w:r>
        <w:rPr>
          <w:i/>
          <w:sz w:val="20"/>
        </w:rPr>
        <w:t>EN: Author Correction: OR7A10 GPCR engineering boosts CAR-NK therapy against solid tumours</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494">
        <w:r>
          <w:rPr>
            <w:color w:val="1155CC"/>
            <w:u w:val="single"/>
          </w:rPr>
          <w:t>10.1038/s41586-026-10855-3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495">
        <w:r>
          <w:rPr>
            <w:color w:val="1155CC"/>
            <w:u w:val="single"/>
          </w:rPr>
          <w:t>高树和小树同样容易受到干旱的影响</w:t>
        </w:r>
      </w:hyperlink>
    </w:p>
    <w:p>
      <w:pPr>
        <w:spacing w:before="0" w:after="80"/>
      </w:pPr>
      <w:r>
        <w:rPr>
          <w:i/>
          <w:sz w:val="20"/>
        </w:rPr>
        <w:t>EN: Tall and small trees are equally vulnerable to drought</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496">
        <w:r>
          <w:rPr>
            <w:color w:val="1155CC"/>
            <w:u w:val="single"/>
          </w:rPr>
          <w:t>10.1038/d41586-026-02121-3</w:t>
        </w:r>
      </w:hyperlink>
    </w:p>
    <w:p>
      <w:pPr>
        <w:spacing w:before="0" w:after="120"/>
      </w:pPr>
      <w:r>
        <w:rPr>
          <w:b/>
        </w:rPr>
        <w:t xml:space="preserve">Notes: </w:t>
      </w:r>
      <w:r>
        <w:t>abstract_source=nature_html</w:t>
      </w:r>
    </w:p>
    <w:p>
      <w:pPr>
        <w:spacing w:before="0" w:after="80" w:lineRule="auto" w:line="276"/>
      </w:pPr>
      <w:r>
        <w:rPr>
          <w:b/>
        </w:rPr>
        <w:t xml:space="preserve">摘要（ZH）: </w:t>
      </w:r>
      <w:r>
        <w:t>被称为龙脑香属的热带巨型植物的水运输系统已经进化到可以抵抗重力的影响并抵抗水分胁迫。被称为龙脑香属的热带巨型植物的水运输系统已经进化到可以抵抗重力的影响并抵抗水分胁迫。</w:t>
      </w:r>
    </w:p>
    <w:p>
      <w:pPr>
        <w:spacing w:before="0" w:after="200" w:lineRule="auto" w:line="276"/>
      </w:pPr>
      <w:r>
        <w:rPr>
          <w:b/>
        </w:rPr>
        <w:t xml:space="preserve">Abstract (EN): </w:t>
      </w:r>
      <w:r>
        <w:t>The water-transport system of tropical giants called dipterocarps has evolved to defy the effects of gravity and resist water stress. The water-transport system of tropical giants called dipterocarps has evolved to defy the effects of gravity and resist water stress.</w:t>
      </w:r>
    </w:p>
    <w:p>
      <w:pPr>
        <w:spacing w:before="120" w:after="120"/>
      </w:pPr>
      <w:r>
        <w:rPr>
          <w:sz w:val="18"/>
        </w:rPr>
        <w:t>——————————————————————————————————————————————————————————————————————</w:t>
      </w:r>
    </w:p>
    <w:p>
      <w:pPr>
        <w:spacing w:before="160" w:after="40" w:line="240" w:lineRule="auto"/>
      </w:pPr>
      <w:r>
        <w:rPr>
          <w:b/>
        </w:rPr>
        <w:t xml:space="preserve">[47] </w:t>
      </w:r>
      <w:hyperlink r:id="rId497">
        <w:r>
          <w:rPr>
            <w:color w:val="1155CC"/>
            <w:u w:val="single"/>
          </w:rPr>
          <w:t>河流权利和所有人的冰淇淋：暑假热门读物</w:t>
        </w:r>
      </w:hyperlink>
    </w:p>
    <w:p>
      <w:pPr>
        <w:spacing w:before="0" w:after="80"/>
      </w:pPr>
      <w:r>
        <w:rPr>
          <w:i/>
          <w:sz w:val="20"/>
        </w:rPr>
        <w:t>EN: Rights for rivers and ice cream for all: top reads for the summer holidays</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498">
        <w:r>
          <w:rPr>
            <w:color w:val="1155CC"/>
            <w:u w:val="single"/>
          </w:rPr>
          <w:t>10.1038/d41586-026-02152-w</w:t>
        </w:r>
      </w:hyperlink>
    </w:p>
    <w:p>
      <w:pPr>
        <w:spacing w:before="0" w:after="120"/>
      </w:pPr>
      <w:r>
        <w:rPr>
          <w:b/>
        </w:rPr>
        <w:t xml:space="preserve">Notes: </w:t>
      </w:r>
      <w:r>
        <w:t>abstract_source=nature_html</w:t>
      </w:r>
    </w:p>
    <w:p>
      <w:pPr>
        <w:spacing w:before="0" w:after="80" w:lineRule="auto" w:line="276"/>
      </w:pPr>
      <w:r>
        <w:rPr>
          <w:b/>
        </w:rPr>
        <w:t xml:space="preserve">摘要（ZH）: </w:t>
      </w:r>
      <w:r>
        <w:t>《自然》杂志的十位撰稿人分享了他们目前对书籍的痴迷。 《自然》杂志的十位撰稿人分享了他们目前对书籍的痴迷。</w:t>
      </w:r>
    </w:p>
    <w:p>
      <w:pPr>
        <w:spacing w:before="0" w:after="200" w:lineRule="auto" w:line="276"/>
      </w:pPr>
      <w:r>
        <w:rPr>
          <w:b/>
        </w:rPr>
        <w:t xml:space="preserve">Abstract (EN): </w:t>
      </w:r>
      <w:r>
        <w:t>Ten Nature contributors share their current book obsessions. Ten Nature contributors share their current book obsessions.</w:t>
      </w:r>
    </w:p>
    <w:p>
      <w:pPr>
        <w:spacing w:before="120" w:after="120"/>
      </w:pPr>
      <w:r>
        <w:rPr>
          <w:sz w:val="18"/>
        </w:rPr>
        <w:t>——————————————————————————————————————————————————————————————————————</w:t>
      </w:r>
    </w:p>
    <w:p>
      <w:pPr>
        <w:spacing w:before="160" w:after="40" w:line="240" w:lineRule="auto"/>
      </w:pPr>
      <w:r>
        <w:rPr>
          <w:b/>
        </w:rPr>
        <w:t xml:space="preserve">[48] </w:t>
      </w:r>
      <w:hyperlink r:id="rId499">
        <w:r>
          <w:rPr>
            <w:color w:val="1155CC"/>
            <w:u w:val="single"/>
          </w:rPr>
          <w:t>这位微生物学家因 COVID-19 检测经历了四年的法庭斗争</w:t>
        </w:r>
      </w:hyperlink>
    </w:p>
    <w:p>
      <w:pPr>
        <w:spacing w:before="0" w:after="80"/>
      </w:pPr>
      <w:r>
        <w:rPr>
          <w:i/>
          <w:sz w:val="20"/>
        </w:rPr>
        <w:t>EN: This microbiologist endured a four-year court battle over COVID-19 tests</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00">
        <w:r>
          <w:rPr>
            <w:color w:val="1155CC"/>
            <w:u w:val="single"/>
          </w:rPr>
          <w:t>10.1038/d41586-026-01654-x</w:t>
        </w:r>
      </w:hyperlink>
    </w:p>
    <w:p>
      <w:pPr>
        <w:spacing w:before="0" w:after="120"/>
      </w:pPr>
      <w:r>
        <w:rPr>
          <w:b/>
        </w:rPr>
        <w:t xml:space="preserve">Notes: </w:t>
      </w:r>
      <w:r>
        <w:t>abstract_source=nature_html</w:t>
      </w:r>
    </w:p>
    <w:p>
      <w:pPr>
        <w:spacing w:before="0" w:after="80" w:lineRule="auto" w:line="276"/>
      </w:pPr>
      <w:r>
        <w:rPr>
          <w:b/>
        </w:rPr>
        <w:t xml:space="preserve">摘要（ZH）: </w:t>
      </w:r>
      <w:r>
        <w:t>琳达·瓜曼 (Linda Guamán) 想要为国家服务，但陷入政治争议，导致她被捕并面临数年监禁。琳达·瓜曼 (Linda Guamán) 想要为国家服务，但陷入政治争议，导致她被捕并面临数年监禁。</w:t>
      </w:r>
    </w:p>
    <w:p>
      <w:pPr>
        <w:spacing w:before="0" w:after="200" w:lineRule="auto" w:line="276"/>
      </w:pPr>
      <w:r>
        <w:rPr>
          <w:b/>
        </w:rPr>
        <w:t xml:space="preserve">Abstract (EN): </w:t>
      </w:r>
      <w:r>
        <w:t>Linda Guamán wanted to serve her country, but became mired in a political controversy that led to her being arrested and facing years in prison. Linda Guamán wanted to serve her country, but became mired in a political controversy that led to her being arrested and facing years in prison.</w:t>
      </w:r>
    </w:p>
    <w:p>
      <w:pPr>
        <w:spacing w:before="120" w:after="120"/>
      </w:pPr>
      <w:r>
        <w:rPr>
          <w:sz w:val="18"/>
        </w:rPr>
        <w:t>——————————————————————————————————————————————————————————————————————</w:t>
      </w:r>
    </w:p>
    <w:p>
      <w:pPr>
        <w:spacing w:before="160" w:after="40" w:line="240" w:lineRule="auto"/>
      </w:pPr>
      <w:r>
        <w:rPr>
          <w:b/>
        </w:rPr>
        <w:t xml:space="preserve">[49] </w:t>
      </w:r>
      <w:hyperlink r:id="rId501">
        <w:r>
          <w:rPr>
            <w:color w:val="1155CC"/>
            <w:u w:val="single"/>
          </w:rPr>
          <w:t>高压 La-Sc-H 系统中有前景的室温超导体</w:t>
        </w:r>
      </w:hyperlink>
    </w:p>
    <w:p>
      <w:pPr>
        <w:spacing w:before="0" w:after="80"/>
      </w:pPr>
      <w:r>
        <w:rPr>
          <w:i/>
          <w:sz w:val="20"/>
        </w:rPr>
        <w:t>EN: Promising Room-Temperature Superconductor in the La–Sc–H System at High Pressure</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02">
        <w:r>
          <w:rPr>
            <w:color w:val="1155CC"/>
            <w:u w:val="single"/>
          </w:rPr>
          <w:t>10.1021/jacs.6c05374</w:t>
        </w:r>
      </w:hyperlink>
    </w:p>
    <w:p>
      <w:pPr>
        <w:spacing w:before="0" w:after="120"/>
      </w:pPr>
      <w:r>
        <w:rPr>
          <w:b/>
        </w:rPr>
        <w:t xml:space="preserve">Notes: </w:t>
      </w:r>
      <w:r>
        <w:t>abstract_source=pubmed</w:t>
      </w:r>
    </w:p>
    <w:p>
      <w:pPr>
        <w:spacing w:before="0" w:after="80" w:lineRule="auto" w:line="276"/>
      </w:pPr>
      <w:r>
        <w:rPr>
          <w:b/>
        </w:rPr>
        <w:t xml:space="preserve">摘要（ZH）: </w:t>
      </w:r>
      <w:r>
        <w:t>最近发现的 LaSc2H24 室温超导性为高压研究做出了贡献。实验测量表明某些样品中存在未确定的第二相。利用机器学习加速的晶体结构预测，我们在 250 GPa 下对 La-Sc-H 系统进行了广泛的搜索，确定了一系列亚稳态三元氢化物。我们发现 Fm3´m La2ScH36 的结构与观察到的第二相的结构一致。第一性原理计算表明，化学计量的La2ScH36是一种潜在的室温超导体，其Tc为369-412 K。考虑到结构稳定性，我们建议第二相采用缺氢的La2ScH36-x (0 &lt; x &lt; 2)构型，产生预测的Tc为261-282 K，与实验测量一致。我们的研究结果为观察到的第二相提供了有希望的结构分配，并将 La-Sc-H 系统定位为承载不同室温超导配置的平台。</w:t>
      </w:r>
    </w:p>
    <w:p>
      <w:pPr>
        <w:spacing w:before="0" w:after="200" w:lineRule="auto" w:line="276"/>
      </w:pPr>
      <w:r>
        <w:rPr>
          <w:b/>
        </w:rPr>
        <w:t xml:space="preserve">Abstract (EN): </w:t>
      </w:r>
      <w:r>
        <w:t>The recent discovery of room-temperature superconductivity in LaSc2H24 has contributed to high-pressure research. Experimental measurements suggest the presence of an undetermined secondary phase in certain samples. Leveraging machine-learning-accelerated crystal structure prediction, we performed an extensive search for the La-Sc-H system at 250 GPa, idenifying a series of metastable ternary hydrides. We found that the structure of Fm3¯m La2ScH36 aligns with that of observed secondary phase. First-principles calculations reveal that stoichiometric La2ScH36 is a potential room-temperature superconductor with a Tc of 369-412 K. Accounting for structural stability, we propose that the secondary phase adopts a hydrogen-deficient La2ScH36-x (0 &lt; x &lt; 2) configuration, yielding a predicted Tc of 261-282 K, consistent with experimental measurements. Our findings provide a promising structural assignment for the observed secondary phase and position the La-Sc-H system as a platform for hosting diverse room-temperature superconducting configurations.</w:t>
      </w:r>
    </w:p>
    <w:p>
      <w:pPr>
        <w:spacing w:before="120" w:after="120"/>
      </w:pPr>
      <w:r>
        <w:rPr>
          <w:sz w:val="18"/>
        </w:rPr>
        <w:t>——————————————————————————————————————————————————————————————————————</w:t>
      </w:r>
    </w:p>
    <w:p>
      <w:pPr>
        <w:spacing w:before="160" w:after="40" w:line="240" w:lineRule="auto"/>
      </w:pPr>
      <w:r>
        <w:rPr>
          <w:b/>
        </w:rPr>
        <w:t xml:space="preserve">[50] </w:t>
      </w:r>
      <w:hyperlink r:id="rId503">
        <w:r>
          <w:rPr>
            <w:color w:val="1155CC"/>
            <w:u w:val="single"/>
          </w:rPr>
          <w:t>循证医学的兴起以及拥护它的“特立独行者”</w:t>
        </w:r>
      </w:hyperlink>
    </w:p>
    <w:p>
      <w:pPr>
        <w:spacing w:before="0" w:after="80"/>
      </w:pPr>
      <w:r>
        <w:rPr>
          <w:i/>
          <w:sz w:val="20"/>
        </w:rPr>
        <w:t>EN: The rise of evidence-based medicine and the ‘mavericks’ who championed it</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04">
        <w:r>
          <w:rPr>
            <w:color w:val="1155CC"/>
            <w:u w:val="single"/>
          </w:rPr>
          <w:t>10.1038/d41586-026-02153-9</w:t>
        </w:r>
      </w:hyperlink>
    </w:p>
    <w:p>
      <w:pPr>
        <w:spacing w:before="0" w:after="120"/>
      </w:pPr>
      <w:r>
        <w:rPr>
          <w:b/>
        </w:rPr>
        <w:t xml:space="preserve">Notes: </w:t>
      </w:r>
      <w:r>
        <w:t>abstract_source=nature_html</w:t>
      </w:r>
    </w:p>
    <w:p>
      <w:pPr>
        <w:spacing w:before="0" w:after="80" w:lineRule="auto" w:line="276"/>
      </w:pPr>
      <w:r>
        <w:rPr>
          <w:b/>
        </w:rPr>
        <w:t xml:space="preserve">摘要（ZH）: </w:t>
      </w:r>
      <w:r>
        <w:t>一份无可挑剔的研究报告描述了临床试验如何改变健康和社会政策。一份无可挑剔的研究报告描述了临床试验如何改变健康和社会政策。</w:t>
      </w:r>
    </w:p>
    <w:p>
      <w:pPr>
        <w:spacing w:before="0" w:after="200" w:lineRule="auto" w:line="276"/>
      </w:pPr>
      <w:r>
        <w:rPr>
          <w:b/>
        </w:rPr>
        <w:t xml:space="preserve">Abstract (EN): </w:t>
      </w:r>
      <w:r>
        <w:t>An impeccably researched account describes how clinical trials have transformed health and social policy. An impeccably researched account describes how clinical trials have transformed health and social policy.</w:t>
      </w:r>
    </w:p>
    <w:p>
      <w:pPr>
        <w:spacing w:before="120" w:after="120"/>
      </w:pPr>
      <w:r>
        <w:rPr>
          <w:sz w:val="18"/>
        </w:rPr>
        <w:t>——————————————————————————————————————————————————————————————————————</w:t>
      </w:r>
    </w:p>
    <w:p>
      <w:pPr>
        <w:spacing w:before="160" w:after="40" w:line="240" w:lineRule="auto"/>
      </w:pPr>
      <w:r>
        <w:rPr>
          <w:b/>
        </w:rPr>
        <w:t xml:space="preserve">[51] </w:t>
      </w:r>
      <w:hyperlink r:id="rId505">
        <w:r>
          <w:rPr>
            <w:color w:val="1155CC"/>
            <w:u w:val="single"/>
          </w:rPr>
          <w:t>时空异步双模态探针：光疗预后中中性粒细胞募集的实时准确监测</w:t>
        </w:r>
      </w:hyperlink>
    </w:p>
    <w:p>
      <w:pPr>
        <w:spacing w:before="0" w:after="80"/>
      </w:pPr>
      <w:r>
        <w:rPr>
          <w:i/>
          <w:sz w:val="20"/>
        </w:rPr>
        <w:t>EN: Spatiotemporally Asynchronous Dual-Modality Probe: Real-Time and Accurate Monitoring of Neutrophil Recruitment in Phototherapy Prognosis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06">
        <w:r>
          <w:rPr>
            <w:color w:val="1155CC"/>
            <w:u w:val="single"/>
          </w:rPr>
          <w:t>10.1021/jacs.6c10682</w:t>
        </w:r>
      </w:hyperlink>
    </w:p>
    <w:p>
      <w:pPr>
        <w:spacing w:before="0" w:after="120"/>
      </w:pPr>
      <w:r>
        <w:rPr>
          <w:b/>
        </w:rPr>
        <w:t xml:space="preserve">Notes: </w:t>
      </w:r>
      <w:r>
        <w:t>abstract_source=pubmed</w:t>
      </w:r>
    </w:p>
    <w:p>
      <w:pPr>
        <w:spacing w:before="0" w:after="80" w:lineRule="auto" w:line="276"/>
      </w:pPr>
      <w:r>
        <w:rPr>
          <w:b/>
        </w:rPr>
        <w:t xml:space="preserve">摘要（ZH）: </w:t>
      </w:r>
      <w:r>
        <w:t>即使采用光动力疗法等有前景的治疗方法，肿瘤复发和转移的预后不良的问题仍然存在，这凸显了迫切需要非侵入性成像工具来研究潜在机制。然而，在病理过程中实现对多个生物标志物的实时、无串扰监测仍然具有挑战性，这很大程度上是由于缺乏有效的分子设计策略。在此，我们提出了“时空异步”探针设计策略并开发了 HD-LN，这是一种顺序激活的荧光/光声（FL/PA）探针，用于实时监测肿瘤光疗后中性粒细胞的募集。 HD-LN 首先被肿瘤过度表达的亮氨酸氨基肽酶 (LAP) 激活，导致荧光激活和光动力 (PDT) 活性恢复。光疗后，它被招募的中性粒细胞弹性蛋白酶 (NE) 进一步激活，导致荧光猝灭并增强光声信号传导。通过FL/PA信号的顺序激活，我们成功证明PDT预后不良与治疗期间中性粒细胞募集和NETs相关的变化相关，而抑制NE表达可显着改善治疗结果并防止肿瘤转移。此外，通过利用连续信号变化，HD-LN 首先实现了 NE 抑制剂的体内筛选。这项工作不仅提供了克服 PDT 不良预后的见解，而且还建立了一种在生理学过程中实时、无串扰监测多个生物标志物的新策略。</w:t>
      </w:r>
    </w:p>
    <w:p>
      <w:pPr>
        <w:spacing w:before="0" w:after="200" w:lineRule="auto" w:line="276"/>
      </w:pPr>
      <w:r>
        <w:rPr>
          <w:b/>
        </w:rPr>
        <w:t xml:space="preserve">Abstract (EN): </w:t>
      </w:r>
      <w:r>
        <w:t>The persistent issue of poor prognosis in tumor recurrence and metastasis, even with promising treatments such as photodynamic therapy, underscores the urgent need for noninvasive imaging tools to investigate underlying mechanisms. However, achieving real-time, crosstalk-free monitoring of multiple biomarkers within pathological processes remains challenging, largely due to the absence of effective molecular design strategies. Herein, we propose a "spatiotemporal asynchronous" probe design strategy and develop HD-LN, a sequentially activatable fluorescence/photoacoustic (FL/PA) probe for real-time monitoring of neutrophil recruitment after tumor phototherapy. HD-LN is first activated by tumor-overexpressed leucine aminopeptidase (LAP), leading to fluorescence activation and restoration of photodynamic (PDT) activity. After phototherapy, it is further activated by recruited neutrophil elastase (NE), resulting in fluorescence quenching together with enhanced photoacoustic signaling. Through this sequential activation of FL/PA signals, we successfully demonstrated that poor PDT prognosis correlates with neutrophil recruitment and NETs-associated changes during treatment, while inhibition of NE expression significantly improves therapeutic outcomes and prevents tumor metastasis. Furthermore, by leveraging the sequential signal changes, HD-LN first enabled in vivo screening of NE inhibitors. This work not only provides insights into overcoming poor PDT prognosis but also establishes a novel strategy for real-time, crosstalk-free monitoring of multiple biomarkers during physiological processes.</w:t>
      </w:r>
    </w:p>
    <w:p>
      <w:pPr>
        <w:spacing w:before="120" w:after="120"/>
      </w:pPr>
      <w:r>
        <w:rPr>
          <w:sz w:val="18"/>
        </w:rPr>
        <w:t>——————————————————————————————————————————————————————————————————————</w:t>
      </w:r>
    </w:p>
    <w:p>
      <w:pPr>
        <w:spacing w:before="160" w:after="40" w:line="240" w:lineRule="auto"/>
      </w:pPr>
      <w:r>
        <w:rPr>
          <w:b/>
        </w:rPr>
        <w:t xml:space="preserve">[52] </w:t>
      </w:r>
      <w:hyperlink r:id="rId507">
        <w:r>
          <w:rPr>
            <w:color w:val="1155CC"/>
            <w:u w:val="single"/>
          </w:rPr>
          <w:t>志愿工作如何促进您的科学事业</w:t>
        </w:r>
      </w:hyperlink>
    </w:p>
    <w:p>
      <w:pPr>
        <w:spacing w:before="0" w:after="80"/>
      </w:pPr>
      <w:r>
        <w:rPr>
          <w:i/>
          <w:sz w:val="20"/>
        </w:rPr>
        <w:t>EN: How voluntary work can boost your career in science</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08">
        <w:r>
          <w:rPr>
            <w:color w:val="1155CC"/>
            <w:u w:val="single"/>
          </w:rPr>
          <w:t>10.1038/d41586-026-01339-5</w:t>
        </w:r>
      </w:hyperlink>
    </w:p>
    <w:p>
      <w:pPr>
        <w:spacing w:before="0" w:after="120"/>
      </w:pPr>
      <w:r>
        <w:rPr>
          <w:b/>
        </w:rPr>
        <w:t xml:space="preserve">Notes: </w:t>
      </w:r>
      <w:r>
        <w:t>abstract_source=nature_html</w:t>
      </w:r>
    </w:p>
    <w:p>
      <w:pPr>
        <w:spacing w:before="0" w:after="80" w:lineRule="auto" w:line="276"/>
      </w:pPr>
      <w:r>
        <w:rPr>
          <w:b/>
        </w:rPr>
        <w:t xml:space="preserve">摘要（ZH）: </w:t>
      </w:r>
      <w:r>
        <w:t>支持慈善机构可以带来职业福利并提供宝贵的社会联系。支持慈善机构可以带来职业福利并提供宝贵的社会联系。</w:t>
      </w:r>
    </w:p>
    <w:p>
      <w:pPr>
        <w:spacing w:before="0" w:after="200" w:lineRule="auto" w:line="276"/>
      </w:pPr>
      <w:r>
        <w:rPr>
          <w:b/>
        </w:rPr>
        <w:t xml:space="preserve">Abstract (EN): </w:t>
      </w:r>
      <w:r>
        <w:t>Supporting charities can bring career benefits and provide valuable social connections. Supporting charities can bring career benefits and provide valuable social connections.</w:t>
      </w:r>
    </w:p>
    <w:p>
      <w:pPr>
        <w:spacing w:before="120" w:after="120"/>
      </w:pPr>
      <w:r>
        <w:rPr>
          <w:sz w:val="18"/>
        </w:rPr>
        <w:t>——————————————————————————————————————————————————————————————————————</w:t>
      </w:r>
    </w:p>
    <w:p>
      <w:pPr>
        <w:spacing w:before="160" w:after="40" w:line="240" w:lineRule="auto"/>
      </w:pPr>
      <w:r>
        <w:rPr>
          <w:b/>
        </w:rPr>
        <w:t xml:space="preserve">[53] </w:t>
      </w:r>
      <w:hyperlink r:id="rId509">
        <w:r>
          <w:rPr>
            <w:color w:val="1155CC"/>
            <w:u w:val="single"/>
          </w:rPr>
          <w:t>交联自旋标记电子自旋共振揭示淀粉样蛋白圆柱蛋白的洗涤剂样毒性机制</w:t>
        </w:r>
      </w:hyperlink>
    </w:p>
    <w:p>
      <w:pPr>
        <w:spacing w:before="0" w:after="80"/>
      </w:pPr>
      <w:r>
        <w:rPr>
          <w:i/>
          <w:sz w:val="20"/>
        </w:rPr>
        <w:t>EN: Detergent-like Toxicity Mechanism of Amyloid Cylindrins Revealed by Cross-Link Spin Labeling Electron Spin Resonance</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10">
        <w:r>
          <w:rPr>
            <w:color w:val="1155CC"/>
            <w:u w:val="single"/>
          </w:rPr>
          <w:t>10.1021/jacs.6c03827</w:t>
        </w:r>
      </w:hyperlink>
    </w:p>
    <w:p>
      <w:pPr>
        <w:spacing w:before="0" w:after="120"/>
      </w:pPr>
      <w:r>
        <w:rPr>
          <w:b/>
        </w:rPr>
        <w:t xml:space="preserve">Notes: </w:t>
      </w:r>
      <w:r>
        <w:t>abstract_source=pubmed</w:t>
      </w:r>
    </w:p>
    <w:p>
      <w:pPr>
        <w:spacing w:before="0" w:after="80" w:lineRule="auto" w:line="276"/>
      </w:pPr>
      <w:r>
        <w:rPr>
          <w:b/>
        </w:rPr>
        <w:t xml:space="preserve">摘要（ZH）: </w:t>
      </w:r>
      <w:r>
        <w:t>淀粉样蛋白寡聚物被认为是神经退行性疾病中毒性最强的物种，例如阿尔茨海默氏症和帕金森氏症等。研究淀粉样蛋白寡聚体的一个主要挑战是其异质性，并且缺乏能够探测靶向、局部结构信息的方法。在本文中，我们表明在洗涤剂胶束中，淀粉样圆柱蛋白肽 K11 V 的寡聚状态从六聚体增加到八聚体。这揭示了 K11 V 肽的类似洗涤剂的毒性机制，其中八聚体形式从生物膜中提取脂质。 Alphafold 模拟证实了这一发现，表明八聚体具有 β-桶结构，通过使用洗涤剂分子的无支链疏水尾部来稳定孔。实验结果是通过基于电子自旋共振（ESR）的独特方法获得的，该方法可应用于淀粉样蛋白生成蛋白，以揭示难以接近的淀粉样蛋白寡聚体结构。该过程包括 (1) 使用交联双功能硝基氧自旋标签稳定最小淀粉样蛋白寡聚体结构域，结合 (2) 寡聚体稳定突变，(3) 可在天然环境中进行的 DEER 光谱，以及 (4) T1 编辑的 DEER 测量，可验证异质群体样品中的结构，结合 (5) 无模型距离重建方法，可分析具有反演距离分量的距离分布，非常适合分析T1编辑的DEER。</w:t>
      </w:r>
    </w:p>
    <w:p>
      <w:pPr>
        <w:spacing w:before="0" w:after="200" w:lineRule="auto" w:line="276"/>
      </w:pPr>
      <w:r>
        <w:rPr>
          <w:b/>
        </w:rPr>
        <w:t xml:space="preserve">Abstract (EN): </w:t>
      </w:r>
      <w:r>
        <w:t>Amyloid oligomers are considered to be the most toxic species in neurodegenerative diseases, such as Alzheimer's, and Parkinson's, among others. A major challenge in studying amyloid oligomers has been their heterogeneous character, coupled with a lack of methods that can probe targeted, localized structural information. In this paper, we show that in detergent micelles, the oligomeric state of amyloid cylindrin peptide K11 V increases from a hexamer to an octamer. This reveals a detergent-like toxicity mechanism of the K11 V peptide, in which the octamer-form extracts lipids from biological membranes. The findings are confirmed by Alphafold simulations, showing that the octamer has a β-barrel structure, with a pore stabilized by using the unbranched hydrophobic tails of the detergent molecules. The experimental results are obtained by a unique electron spin resonance (ESR)-based methodology that can be applied to amyloidogenic proteins to uncover inaccessible amyloid oligomer structures. The process involves (1) stabilization of the minimal amyloid oligomer domain, using a cross-linking bifunctional nitroxide spin label, combined with (2) an oligomer stabilizing mutation, (3) DEER spectroscopy, which can be performed in a native environment, and (4) T1-edited DEER measurements, which can validate structure in samples with heterogeneous populations, combined with (5) a model-free distance reconstruction approach that can analyze distance distributions with inverted distance components, ideal for analysis of T1-edited DEER.</w:t>
      </w:r>
    </w:p>
    <w:p>
      <w:pPr>
        <w:spacing w:before="120" w:after="120"/>
      </w:pPr>
      <w:r>
        <w:rPr>
          <w:sz w:val="18"/>
        </w:rPr>
        <w:t>——————————————————————————————————————————————————————————————————————</w:t>
      </w:r>
    </w:p>
    <w:p>
      <w:pPr>
        <w:spacing w:before="160" w:after="40" w:line="240" w:lineRule="auto"/>
      </w:pPr>
      <w:r>
        <w:rPr>
          <w:b/>
        </w:rPr>
        <w:t xml:space="preserve">[54] </w:t>
      </w:r>
      <w:hyperlink r:id="rId511">
        <w:r>
          <w:rPr>
            <w:color w:val="1155CC"/>
            <w:u w:val="single"/>
          </w:rPr>
          <w:t>基于物理结构的聚酰胺脱盐膜的界面流变学</w:t>
        </w:r>
      </w:hyperlink>
    </w:p>
    <w:p>
      <w:pPr>
        <w:spacing w:before="0" w:after="80"/>
      </w:pPr>
      <w:r>
        <w:rPr>
          <w:i/>
          <w:sz w:val="20"/>
        </w:rPr>
        <w:t>EN: Interfacial rheology for physics-based structuring of polyamide desalination membranes</w:t>
      </w:r>
    </w:p>
    <w:p>
      <w:pPr>
        <w:spacing w:before="0" w:after="120"/>
      </w:pPr>
      <w:r>
        <w:rPr>
          <w:b/>
        </w:rPr>
        <w:t xml:space="preserve">Source: </w:t>
      </w:r>
      <w:r>
        <w:t>Nature Chemical Engineering</w:t>
      </w:r>
      <w:r>
        <w:t xml:space="preserve">    </w:t>
      </w:r>
      <w:r>
        <w:rPr>
          <w:b/>
        </w:rPr>
        <w:t xml:space="preserve">Pub date: </w:t>
      </w:r>
      <w:r>
        <w:t>2026-07-13 00:00:00+00:00</w:t>
      </w:r>
      <w:r>
        <w:t xml:space="preserve">    </w:t>
      </w:r>
      <w:r>
        <w:rPr>
          <w:b/>
        </w:rPr>
        <w:t xml:space="preserve">DOI: </w:t>
      </w:r>
      <w:hyperlink r:id="rId512">
        <w:r>
          <w:rPr>
            <w:color w:val="1155CC"/>
            <w:u w:val="single"/>
          </w:rPr>
          <w:t>10.1038/s44286-026-00419-7</w:t>
        </w:r>
      </w:hyperlink>
    </w:p>
    <w:p>
      <w:pPr>
        <w:spacing w:before="0" w:after="120"/>
      </w:pPr>
      <w:r>
        <w:rPr>
          <w:b/>
        </w:rPr>
        <w:t xml:space="preserve">Notes: </w:t>
      </w:r>
      <w:r>
        <w:t>abstract_source=nature_html</w:t>
      </w:r>
    </w:p>
    <w:p>
      <w:pPr>
        <w:spacing w:before="0" w:after="80" w:lineRule="auto" w:line="276"/>
      </w:pPr>
      <w:r>
        <w:rPr>
          <w:b/>
        </w:rPr>
        <w:t xml:space="preserve">摘要（ZH）: </w:t>
      </w:r>
      <w:r>
        <w:t>具有动态成分和微观结构的流体界面表现出复杂的流变行为，在各种化学和生物过程中发挥着至关重要的作用，包括稳定乳液和泡沫以及促进重要的呼吸活动。该研究揭示了这种二维流变学对控制界面聚合动力学的关键影响——界面聚合是制造最先进的聚酰胺 (PA) 海水淡化膜的黄金标准方法。在这里，通过利用光反应性两亲物精确调节水-油界面的界面流变学，我们实现了对界面聚合过程中图案化流体不稳定性的控制，以及相应的膜表面形态。所得的 PA 膜表现出宏观均匀的中空脊结构，其长度尺度与有效界面粘度密切相关。因此，这些 PA 膜表现出高纳滤性能，Na2SO4 截留率高达 99.8%，水渗透率为 44.15 l m−2 h−1 bar−1。重要的是，我们通过具有一致性能的模块规模膜制造展示了这种方法的可扩展性。这种基于物理的界面流变学调节方法代表了可持续水净化的受控膜制造的重要进步。</w:t>
      </w:r>
    </w:p>
    <w:p>
      <w:pPr>
        <w:spacing w:before="0" w:after="200" w:lineRule="auto" w:line="276"/>
      </w:pPr>
      <w:r>
        <w:rPr>
          <w:b/>
        </w:rPr>
        <w:t xml:space="preserve">Abstract (EN): </w:t>
      </w:r>
      <w:r>
        <w:t>Fluid interfaces with dynamic composition and microstructures exhibit complex rheological behavior, which plays a crucial role in various chemical and biological processes, including stabilizing emulsions and foams and facilitating vital respiratory activities. The study reveals the critical influence of this two-dimensional rheology in governing the dynamics of interfacial polymerization—the gold standard method for fabricating state-of-the-art polyamide (PA) desalination membranes. Here, by leveraging photoreactive amphiphiles to precisely tune the interfacial rheology at the water–oil interface, we achieve control over patterned fluid instabilities during interfacial polymerization and, correspondingly, the membrane surface morphology. The resulting PA membranes exhibit macroscopically uniform hollow-ridged structures with length scales strongly correlated with effective interfacial viscosity. Consequently, these PA membranes exhibit high nanofiltration performance, achieving up to 99.8% Na2SO4 rejection with a water permeance of 44.15 l m−2 h−1 bar−1. Importantly, we demonstrate the scalability of this approach through module-scale membrane fabrication with consistent performance. This physics-based approach to regulating interfacial rheology represents an important advancement in controlled membrane fabrication for sustainable water purification.</w:t>
      </w:r>
    </w:p>
    <w:p>
      <w:pPr>
        <w:spacing w:before="120" w:after="120"/>
      </w:pPr>
      <w:r>
        <w:rPr>
          <w:sz w:val="18"/>
        </w:rPr>
        <w:t>——————————————————————————————————————————————————————————————————————</w:t>
      </w:r>
    </w:p>
    <w:p>
      <w:pPr>
        <w:spacing w:before="160" w:after="40" w:line="240" w:lineRule="auto"/>
      </w:pPr>
      <w:r>
        <w:rPr>
          <w:b/>
        </w:rPr>
        <w:t xml:space="preserve">[55] </w:t>
      </w:r>
      <w:hyperlink r:id="rId513">
        <w:r>
          <w:rPr>
            <w:color w:val="1155CC"/>
            <w:u w:val="single"/>
          </w:rPr>
          <w:t>使用自旋标记和功率饱和电子顺磁共振深度分析揭示了脂质双层中 GPI 和 GPI 锚定蛋白的独特、相位依赖性方向</w:t>
        </w:r>
      </w:hyperlink>
    </w:p>
    <w:p>
      <w:pPr>
        <w:spacing w:before="0" w:after="80"/>
      </w:pPr>
      <w:r>
        <w:rPr>
          <w:i/>
          <w:sz w:val="20"/>
        </w:rPr>
        <w:t>EN: Distinct, Phase-Dependent Orientations of GPI and GPI-Anchored Proteins in Lipid Bilayers Revealed Using Spin Labeling and Power Saturation Electron Paramagnetic Resonance Depth Profiling</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14">
        <w:r>
          <w:rPr>
            <w:color w:val="1155CC"/>
            <w:u w:val="single"/>
          </w:rPr>
          <w:t>10.1021/jacs.6c07043</w:t>
        </w:r>
      </w:hyperlink>
    </w:p>
    <w:p>
      <w:pPr>
        <w:spacing w:before="0" w:after="120"/>
      </w:pPr>
      <w:r>
        <w:rPr>
          <w:b/>
        </w:rPr>
        <w:t xml:space="preserve">Notes: </w:t>
      </w:r>
      <w:r>
        <w:t>abstract_source=pubmed</w:t>
      </w:r>
    </w:p>
    <w:p>
      <w:pPr>
        <w:spacing w:before="0" w:after="80" w:lineRule="auto" w:line="276"/>
      </w:pPr>
      <w:r>
        <w:rPr>
          <w:b/>
        </w:rPr>
        <w:t xml:space="preserve">摘要（ZH）: </w:t>
      </w:r>
      <w:r>
        <w:t>糖基磷脂酰肌醇 (GPI) 有助于锚定和组织表面蛋白，而 GPI 和 GPI 锚定蛋白 (GPI-AP) 在细胞上的界面构象（决定其功能）仍不清楚。在这项工作中，使用带有可点击叠氮化物和生物素（亲和标签）的双功能 GPI 锚来访问标记的 GPI 锚和 GPI-AP 类似物。采用自旋标记的 GPI 和 GPI-链霉亲和素缀合物作为探针，结合自旋标记的“标尺”脂质和功率饱和电子顺磁共振 (EPR) 分析，我们量化了它们对膜束缚和可溶性自旋弛豫剂的可及性，其中探针和标尺掺入 1-棕榈酰-2-油酰-sn-甘油-3-磷酸胆碱 (POPC) 和二棕榈酰磷脂酰胆碱（DPPC）脂质体。结果表明，GPI-链霉亲和素在 POPC 中对脂质膜采取“下翻”构象，但在 DPPC 中采取直立“棒棒糖”状态。相反，游离 GPI 在这两种构象之间翻转，尽管平衡也依赖于脂质相。总体而言，在有序膜中，蛋白质结合将 GPI 拉离双层并使其偏向延伸构象。因此，本研究建立了一个通用的合成和 EPR 光谱框架，用于绘制双层中 GPI 和 GPI-AP 的方向和构象动力学，并揭示了 GPI 锚和脂质相如何控制膜中 GPI-AP 的组织和呈现，从而调节它们的结合、信号传导和其他生物活性。</w:t>
      </w:r>
    </w:p>
    <w:p>
      <w:pPr>
        <w:spacing w:before="0" w:after="200" w:lineRule="auto" w:line="276"/>
      </w:pPr>
      <w:r>
        <w:rPr>
          <w:b/>
        </w:rPr>
        <w:t xml:space="preserve">Abstract (EN): </w:t>
      </w:r>
      <w:r>
        <w:t>Glycosylphosphatidylinositols (GPIs) help anchor and organize surface proteins, while the interfacial conformations of GPIs and GPI-anchored proteins (GPI-APs) on cells, which determine their functions, remain unclear. In this work, a bifunctional GPI anchor bearing clickable azide and biotin─an affinity tag─was used to access labeled GPI anchors and GPI-AP analogs. Employing spin-labeled GPI and GPI-streptavidin conjugate as probes, together with spin-labeled "ruler" lipids and power saturation electron paramagnetic resonance (EPR) profiling, we quantified their accessibilities to membrane-tethered and soluble spin relaxants, with the probes and rulers incorporated in 1-palmitoyl-2-oleoyl-sn-glycero-3-phosphocholine (POPC) and dipalmitoylphosphatidylcholine (DPPC) liposomes. It is shown that GPI-streptavidin adopts a "flop-down" conformation toward the lipid membrane in POPC but an upright "lollipop" state in DPPC. Conversely, free GPI flips between these two conformations, although the equilibrium is also lipid phase-dependent. Overall, in ordered membranes, protein binding pulls GPI away from the bilayer and biases it toward an extended conformation. Thus, this study establishes a general synthetic and EPR spectroscopic framework for mapping the orientations and conformational dynamics of GPIs and GPI-APs in bilayers and reveals how GPI anchors and lipid phases control the organization and presentation of GPI-APs in membranes, thereby regulating their binding, signaling, and other biological activities.</w:t>
      </w:r>
    </w:p>
    <w:p>
      <w:pPr>
        <w:spacing w:before="120" w:after="120"/>
      </w:pPr>
      <w:r>
        <w:rPr>
          <w:sz w:val="18"/>
        </w:rPr>
        <w:t>——————————————————————————————————————————————————————————————————————</w:t>
      </w:r>
    </w:p>
    <w:p>
      <w:pPr>
        <w:spacing w:before="160" w:after="40" w:line="240" w:lineRule="auto"/>
      </w:pPr>
      <w:r>
        <w:rPr>
          <w:b/>
        </w:rPr>
        <w:t xml:space="preserve">[56] </w:t>
      </w:r>
      <w:hyperlink r:id="rId515">
        <w:r>
          <w:rPr>
            <w:color w:val="1155CC"/>
            <w:u w:val="single"/>
          </w:rPr>
          <w:t>作者更正：室温下高性能金属氧化物电子器件的等离子印刷</w:t>
        </w:r>
      </w:hyperlink>
    </w:p>
    <w:p>
      <w:pPr>
        <w:spacing w:before="0" w:after="80"/>
      </w:pPr>
      <w:r>
        <w:rPr>
          <w:i/>
          <w:sz w:val="20"/>
        </w:rPr>
        <w:t>EN: Author Correction: Plasmonic printing of high-performance metal oxide electronics under room temperature</w:t>
      </w:r>
    </w:p>
    <w:p>
      <w:pPr>
        <w:spacing w:before="0" w:after="120"/>
      </w:pPr>
      <w:r>
        <w:rPr>
          <w:b/>
        </w:rPr>
        <w:t xml:space="preserve">Source: </w:t>
      </w:r>
      <w:r>
        <w:t>Nature Materials</w:t>
      </w:r>
      <w:r>
        <w:t xml:space="preserve">    </w:t>
      </w:r>
      <w:r>
        <w:rPr>
          <w:b/>
        </w:rPr>
        <w:t xml:space="preserve">Pub date: </w:t>
      </w:r>
      <w:r>
        <w:t>2026-07-13 00:00:00+00:00</w:t>
      </w:r>
      <w:r>
        <w:t xml:space="preserve">    </w:t>
      </w:r>
      <w:r>
        <w:rPr>
          <w:b/>
        </w:rPr>
        <w:t xml:space="preserve">DOI: </w:t>
      </w:r>
      <w:hyperlink r:id="rId516">
        <w:r>
          <w:rPr>
            <w:color w:val="1155CC"/>
            <w:u w:val="single"/>
          </w:rPr>
          <w:t>10.1038/s41563-026-02698-0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517">
        <w:r>
          <w:rPr>
            <w:color w:val="1155CC"/>
            <w:u w:val="single"/>
          </w:rPr>
          <w:t>卵巢癌的肿瘤分析资源：深入了解化疗驱动的异质性和个性化治疗策略</w:t>
        </w:r>
      </w:hyperlink>
    </w:p>
    <w:p>
      <w:pPr>
        <w:spacing w:before="0" w:after="80"/>
      </w:pPr>
      <w:r>
        <w:rPr>
          <w:i/>
          <w:sz w:val="20"/>
        </w:rPr>
        <w:t>EN: A tumor profiling resource for ovarian cancer: insights into chemotherapy-driven heterogeneity and personalized treatment strategy</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对于患有高级别浆液性卵巢癌的女性，化疗仍然是主要的标准治疗方法，尽管人们越来越认识到这种疾病具有高度异质性。在这里，我们研究了综合多模式分子分析的可行性和临床实用性，以指导治疗决策。我们在 4 周的周转时间内使用多达 11 种技术（DNA、RNA、蛋白质和功能测定）分析血液、单细胞和大块肿瘤组织以及恶性腹水。 76% 的患者的假设治疗建议发生了变化，多组学指导的维持治疗与部分患者总生存期的延长相关。随后的队列分析揭示了与实体瘤组织相比，腹水来源的单细胞具有不同的细胞和分子特征、每个患者独特的离体药物反应以及化疗后癌细胞异质性的显着增加。这与全基因组扩增患者的基因组特征改变相一致。我们的数据表明，未来应该在化疗前对分子引导治疗作为辅助疗法进行测试。</w:t>
      </w:r>
    </w:p>
    <w:p>
      <w:pPr>
        <w:spacing w:before="0" w:after="200" w:lineRule="auto" w:line="276"/>
      </w:pPr>
      <w:r>
        <w:rPr>
          <w:b/>
        </w:rPr>
        <w:t xml:space="preserve">Abstract (EN): </w:t>
      </w:r>
      <w:r>
        <w:t>In women with high-grade serous ovarian cancer, chemotherapy remains the primary standard treatment, despite growing recognition of the disease as highly heterogeneous. Here, we examine the feasibility and clinical utility of comprehensive multimodal molecular profiling to inform treatment decisions. We analyze blood, single-cell and bulk tumor tissue, and malignant ascites using up to eleven technologies (DNA, RNA, protein, and functional assays) within a four-week turnaround time. Hypothetical treatment recommendations are altered for 76% of patients, and multi-omics-guided maintenance therapy is associated with prolonged overall survival in a subset of patients. Subsequent cohort analysis reveals distinct cellular and molecular profiles in ascites-derived single-cells compared to solid tumor tissue, unique per-patient ex vivo drug responses, and a marked increase in cancer cell heterogeneity following chemotherapy exposure. This coincides with genomic signature alterations in whole-genome-amplified patients. Our data suggest that molecularly guided treatments should be tested as adjuvant therapies prior to chemotherapy in the future.</w:t>
      </w:r>
    </w:p>
    <w:p>
      <w:pPr>
        <w:spacing w:before="120" w:after="120"/>
      </w:pPr>
      <w:r>
        <w:rPr>
          <w:sz w:val="18"/>
        </w:rPr>
        <w:t>——————————————————————————————————————————————————————————————————————</w:t>
      </w:r>
    </w:p>
    <w:p>
      <w:pPr>
        <w:spacing w:before="160" w:after="40" w:line="240" w:lineRule="auto"/>
      </w:pPr>
      <w:r>
        <w:rPr>
          <w:b/>
        </w:rPr>
        <w:t xml:space="preserve">[58] </w:t>
      </w:r>
      <w:hyperlink r:id="rId518">
        <w:r>
          <w:rPr>
            <w:color w:val="1155CC"/>
            <w:u w:val="single"/>
          </w:rPr>
          <w:t>中性粒细胞髓过氧化物酶作为 RSV 严重程度的功能生物标志物：对体外治疗筛选的影响</w:t>
        </w:r>
      </w:hyperlink>
    </w:p>
    <w:p>
      <w:pPr>
        <w:spacing w:before="0" w:after="80"/>
      </w:pPr>
      <w:r>
        <w:rPr>
          <w:i/>
          <w:sz w:val="20"/>
        </w:rPr>
        <w:t>EN: Neutrophil myeloperoxidase as a functional biomarker for RSV severity: implications for in vitro therapeutic screening</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呼吸道合胞病毒（RSV）是婴儿严重下呼吸道感染的主要原因，但目前尚缺乏治疗方法。本研究的目的是开发一个临床前模型，概括 RSV 细支气管炎婴儿的关键临床结果，例如中性粒细胞激活和迁移到气道。儿科重症监护病房收治的患有严重 RSV 疾病的婴儿的外周血中性粒细胞显示，与年龄匹配的对照相比，RSV 患儿的髓过氧化物酶 (MPO) 升高。为了从机械上模拟这种反应，我们建立了一个气液界面（ALI）系统，其中包含儿童气道上皮细胞、内皮细胞和成人中性粒细胞，以重现血气道屏障。 RSV 感染后，无论是否使用抗病毒药物瑞德西韦或 RSV604 治疗，均使用流式细胞术评估中性粒细胞迁移和活化。虽然两种药物都降低了病毒载量，但只有 RSV604 减弱了 MPO 表达。该模型表明 MPO 可用作治疗效果的读数。针对中性粒细胞驱动的炎症途径可能对于减少婴儿 RSV 感染的病理学至关重要。</w:t>
      </w:r>
    </w:p>
    <w:p>
      <w:pPr>
        <w:spacing w:before="0" w:after="200" w:lineRule="auto" w:line="276"/>
      </w:pPr>
      <w:r>
        <w:rPr>
          <w:b/>
        </w:rPr>
        <w:t xml:space="preserve">Abstract (EN): </w:t>
      </w:r>
      <w:r>
        <w:t>Respiratory syncytial virus (RSV) is a leading cause of severe lower respiratory tract infections in infants, yet therapeutics are lacking. The aim of this study was to develop a pre‑clinical model that recapitulates key clinical outcomes in infants with RSV bronchiolitis, such as neutrophil activation and migration into the airways. Peripheral blood neutrophils from infants with severe RSV disease admitted to the Paediatric Intensive Care Unit showed elevated myeloperoxidase (MPO) in children with RSV, compared to age-matched controls. To mechanistically model this response, we established an air–liquid interface (ALI) system incorporating paediatric airway epithelial cells, endothelial cells and neutrophils from adults, to recapitulate the blood-airway barrier. Following RSV infection, with and without treatment with antivirals remdesivir or RSV604, neutrophil migration and activation were assessed using flow cytometry. While both drugs reduced viral load, only RSV604 attenuated MPO expression. This model suggests that MPO could be useful as a readout of therapeutic efficacy. Targeting neutrophil-driven inflammatory pathways may be critical for reducing pathology in infant RSV infection.</w:t>
      </w:r>
    </w:p>
    <w:p>
      <w:pPr>
        <w:spacing w:before="120" w:after="120"/>
      </w:pPr>
      <w:r>
        <w:rPr>
          <w:sz w:val="18"/>
        </w:rPr>
        <w:t>——————————————————————————————————————————————————————————————————————</w:t>
      </w:r>
    </w:p>
    <w:p>
      <w:pPr>
        <w:spacing w:before="160" w:after="40" w:line="240" w:lineRule="auto"/>
      </w:pPr>
      <w:r>
        <w:rPr>
          <w:b/>
        </w:rPr>
        <w:t xml:space="preserve">[59] </w:t>
      </w:r>
      <w:hyperlink r:id="rId519">
        <w:r>
          <w:rPr>
            <w:color w:val="1155CC"/>
            <w:u w:val="single"/>
          </w:rPr>
          <w:t>与地球主要冰河时代相关的纬度锰梯度动力学</w:t>
        </w:r>
      </w:hyperlink>
    </w:p>
    <w:p>
      <w:pPr>
        <w:spacing w:before="0" w:after="80"/>
      </w:pPr>
      <w:r>
        <w:rPr>
          <w:i/>
          <w:sz w:val="20"/>
        </w:rPr>
        <w:t>EN: Latitudinal manganese gradient dynamics associated with Earth’s major ice ages</w:t>
      </w:r>
    </w:p>
    <w:p>
      <w:pPr>
        <w:spacing w:before="0" w:after="120"/>
      </w:pPr>
      <w:r>
        <w:rPr>
          <w:b/>
        </w:rPr>
        <w:t xml:space="preserve">Source: </w:t>
      </w:r>
      <w:r>
        <w:t>Earth and environmental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已知独特的锰沉积矿床与古代环境中的极端冰川作用有关。锰的氧化还原敏感性促使科学家们提出了关于氧气和气候如何相互作用对这种重要金属的全球地球化学循环造成重大扰动的理论。对大型沉积数据集的时间分析表明，海洋沉积物中的高锰浓度通常与深层的氧化事件和冰川作用有关。在这里，我们对这些间隔进行了空间分析，揭示了地球历史上六次最大的冰川时期高纬度沉积物中锰相对富集的共同模式。热带沉积物中锰浓度相对较低的模式很可能是由海洋氧气梯度驱动的。随着地质时间尺度上大气和海洋中氧气含量的上升，锰梯度逐渐变平。我们的分析表明，缺氧在冰库条件下经常发生，挑战了变暖驱动的海洋脱氧的传统观点。</w:t>
      </w:r>
    </w:p>
    <w:p>
      <w:pPr>
        <w:spacing w:before="0" w:after="200" w:lineRule="auto" w:line="276"/>
      </w:pPr>
      <w:r>
        <w:rPr>
          <w:b/>
        </w:rPr>
        <w:t xml:space="preserve">Abstract (EN): </w:t>
      </w:r>
      <w:r>
        <w:t>Distinct sedimentary deposits of manganese are known to be associated with extreme glaciations in ancient environments. The redox-sensitive nature of manganese led scientists to propose theories about how oxygen and climate collaborated to cause major perturbations in the global geochemical cycle of this important metal. Temporal analyses of a large sedimentary dataset demonstrate high manganese concentrations in marine sediments were commonly associated with oxygenation events and glaciations in deep time. Here we show spatial analyses of those intervals that reveal a common pattern of relative enrichment of manganese in sediments at high latitudes during the six greatest glaciations of Earth’s history. The pattern of relatively lower manganese concentrations in tropical sediments was most likely driven by ocean oxygen gradients. This manganese gradient increasingly flattened as the oxygen level rose in the atmosphere and ocean over the geological time scale. Our analyses suggest that anoxia frequently occurred during icehouse conditions, challenging the conventional wisdom of warming-driven ocean deoxygenation.</w:t>
      </w:r>
    </w:p>
    <w:p>
      <w:pPr>
        <w:spacing w:before="120" w:after="120"/>
      </w:pPr>
      <w:r>
        <w:rPr>
          <w:sz w:val="18"/>
        </w:rPr>
        <w:t>——————————————————————————————————————————————————————————————————————</w:t>
      </w:r>
    </w:p>
    <w:p>
      <w:pPr>
        <w:spacing w:before="160" w:after="40" w:line="240" w:lineRule="auto"/>
      </w:pPr>
      <w:r>
        <w:rPr>
          <w:b/>
        </w:rPr>
        <w:t xml:space="preserve">[60] </w:t>
      </w:r>
      <w:hyperlink r:id="rId520">
        <w:r>
          <w:rPr>
            <w:color w:val="1155CC"/>
            <w:u w:val="single"/>
          </w:rPr>
          <w:t>亚稳态对铈高压行为的影响</w:t>
        </w:r>
      </w:hyperlink>
    </w:p>
    <w:p>
      <w:pPr>
        <w:spacing w:before="0" w:after="80"/>
      </w:pPr>
      <w:r>
        <w:rPr>
          <w:i/>
          <w:sz w:val="20"/>
        </w:rPr>
        <w:t>EN: The impact of metastability on the high-pressure behavior of cerium</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通常认为固体在压力下采用的结构反映了热力学平衡，但在许多材料中，相选择受到动力学途径和微观结构遗传的强烈影响。元素铈 (Ce) 就是这一挑战的例证，几十年来相互矛盾的报告描述了在名义上相同的条件下出现的不同高压晶体结构。在这里，我们使用来自大体积 (~ 60 mm3) 样品的中子衍射来跟踪超高纯 Ce 在 85 至 295 K 和高达 8 GPa 之间的受控压力-温度循环期间的结构演化。我们发现高压下形成的晶体结构取决于压缩路径：室温下的慢速压缩（~ 0.25 GPa hr−1）有利于斜方相（α′" role="presentation"&gt;α′{\alpha }^{{\prime} }），而低温下的慢速压缩（~ 0.25 GPa hr−1）和适度较快的压缩（~ 0.5 GPa hr−1）则稳定了纯单斜相。低温相在很宽的温度范围内保持亚稳态，但在加热至 280 K 以上或适度的压力循环时发生不可逆转变。值得注意的是，较低压力的 γ 相仍然被限制在远远超出预期的稳定场的范围内，并持续到所研究的最高压力。这些观察结果表明，Ce 中的相选择受动力学和微观结构记忆的控制，而不是仅受平衡热力学或样品形态的影响，从而建立了路径依赖性作为其高压行为的定义特征。</w:t>
      </w:r>
    </w:p>
    <w:p>
      <w:pPr>
        <w:spacing w:before="0" w:after="200" w:lineRule="auto" w:line="276"/>
      </w:pPr>
      <w:r>
        <w:rPr>
          <w:b/>
        </w:rPr>
        <w:t xml:space="preserve">Abstract (EN): </w:t>
      </w:r>
      <w:r>
        <w:t>The structures adopted by solids under pressure are often assumed to reflect thermodynamic equilibrium, yet in many materials phase selection is strongly influenced by kinetic pathways and microstructural inheritance. Elemental cerium (Ce) exemplifies this challenge, with decades of conflicting reports describing different high-pressure crystal structures emerging under nominally identical conditions. Here we use neutron diffraction from large ( ~ 60 mm3) sample volumes to follow the structural evolution in ultra-high-purity Ce during controlled pressure-temperature cycling between 85 and 295 K and up to 8 GPa. We find that the crystal structure formed at high pressure depends on the compression pathway: slow compression ( ~ 0.25 GPa hr−1) at room temperature favors an orthorhombic phase (&amp;#x03B1;&amp;#x2032;" role="presentation"&gt;α′{\alpha }^{{\prime} }), whereas slow ( ~ 0.25 GPa hr−1) and also moderately faster ( ~ 0.5 GPa hr−1) compression at low temperature stabilizes a pure monoclinic phase (α″). The low-temperature phase persists metastably over a wide temperature range but transforms irreversibly upon heating above ~ 280 K, or modest pressure cycling. Remarkably, the lower-pressure γ phase remains trapped far beyond the expected stability field, persisting to the highest pressures studied. These observations show that phase selection in Ce is governed by kinetics and microstructural memory rather than equilibrium thermodynamics or sample morphology alone, establishing path dependence as a defining feature of its high-pressure behavior.</w:t>
      </w:r>
    </w:p>
    <w:p>
      <w:pPr>
        <w:spacing w:before="120" w:after="120"/>
      </w:pPr>
      <w:r>
        <w:rPr>
          <w:sz w:val="18"/>
        </w:rPr>
        <w:t>——————————————————————————————————————————————————————————————————————</w:t>
      </w:r>
    </w:p>
    <w:p>
      <w:pPr>
        <w:spacing w:before="160" w:after="40" w:line="240" w:lineRule="auto"/>
      </w:pPr>
      <w:r>
        <w:rPr>
          <w:b/>
        </w:rPr>
        <w:t xml:space="preserve">[61] </w:t>
      </w:r>
      <w:hyperlink r:id="rId521">
        <w:r>
          <w:rPr>
            <w:color w:val="1155CC"/>
            <w:u w:val="single"/>
          </w:rPr>
          <w:t>基于元电路嵌入表面的大规模数据驱动逆电磁设计</w:t>
        </w:r>
      </w:hyperlink>
    </w:p>
    <w:p>
      <w:pPr>
        <w:spacing w:before="0" w:after="80"/>
      </w:pPr>
      <w:r>
        <w:rPr>
          <w:i/>
          <w:sz w:val="20"/>
        </w:rPr>
        <w:t>EN: Large-scale data-driven inverse EM design based on metacircuit-embedded surface</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通用电磁模型是智能电磁应用的核心。然而，其发展受到训练数据严重缺乏的限制，这是由于全波模拟的高计算成本以及对产生单一电磁函数的专门拓扑的依赖。为了克服这一挑战，我们引入了元电路嵌入式表面（MCES）框架，该框架由固定结构拓扑和可通过集总组件实现的灵活元电路组成。通过将设计重点从全波仿真转移到电路级建模，可以使用笔记本电脑计算资源轻松生成超过 600 万个样本。随后，开发了基于MCES的正向和逆向AI设计方法，提供了频率、幅度、相位和偏振域丰富的设计能力。最后，设计并制造了三种经典超表面，与报道的先进设计相比，表现出优越的性能。总体而言，所提出的基于MCES的框架极大地提高了设计效率和训练规模，为未来的通用电磁模型铺平了道路。</w:t>
      </w:r>
    </w:p>
    <w:p>
      <w:pPr>
        <w:spacing w:before="0" w:after="200" w:lineRule="auto" w:line="276"/>
      </w:pPr>
      <w:r>
        <w:rPr>
          <w:b/>
        </w:rPr>
        <w:t xml:space="preserve">Abstract (EN): </w:t>
      </w:r>
      <w:r>
        <w:t>General-purpose electromagnetic model is central to intelligent electromagnetic applications. However, its development is limited by severe scarcity of training data, arising from the high computational cost of full-wave simulations and reliance on specialized topologies that yield single EM function. To overcome this challenge, we introduce a metacircuit-embedded surface (MCES) framework, consisting of a fixed structural topology and flexible metacircuits that can be realized through lumped components. By shifting design focus from full-wave simulation to circuit-level modeling, over six million samples can be easily generated with laptop computation resources. Subsequently, an MCES-based forward and inverse AI design method was developed, providing rich design capability in frequency, amplitude, phase and polarization domains. Finally, three kinds of classical metasurfaces were designed and fabricated, showing superior performance compared to reported advanced designs. Overall, the proposed MCES-based framework greatly raises the design efficiency and training scale, paving the way for future general-purpose electromagnetic model.</w:t>
      </w:r>
    </w:p>
    <w:p>
      <w:pPr>
        <w:spacing w:before="120" w:after="120"/>
      </w:pPr>
      <w:r>
        <w:rPr>
          <w:sz w:val="18"/>
        </w:rPr>
        <w:t>——————————————————————————————————————————————————————————————————————</w:t>
      </w:r>
    </w:p>
    <w:p>
      <w:pPr>
        <w:spacing w:before="160" w:after="40" w:line="240" w:lineRule="auto"/>
      </w:pPr>
      <w:r>
        <w:rPr>
          <w:b/>
        </w:rPr>
        <w:t xml:space="preserve">[62] </w:t>
      </w:r>
      <w:hyperlink r:id="rId522">
        <w:r>
          <w:rPr>
            <w:color w:val="1155CC"/>
            <w:u w:val="single"/>
          </w:rPr>
          <w:t>原位拓扑转变为多孔晶体促进甲烷光氧化</w:t>
        </w:r>
      </w:hyperlink>
    </w:p>
    <w:p>
      <w:pPr>
        <w:spacing w:before="0" w:after="80"/>
      </w:pPr>
      <w:r>
        <w:rPr>
          <w:i/>
          <w:sz w:val="20"/>
        </w:rPr>
        <w:t>EN: In situ topotactic transition to porous crystals boosts methane photooxidation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光生电子-空穴对的快速复合是光催化的基本瓶颈。构建多孔单晶有望通过同时优化光吸收、电荷传输和质量扩散来解决这个问题。在这里，我们提出了一种拓扑晶格收缩策略，用于合成具有优异结晶度、相纯度和高孔隙率的多孔单晶闪锌矿 ZnO 整体材料。原位透射电子显微镜揭示了原子尺度的形成过程：沿着{222}通道的优先S/O迁移能够实现外延成核，而界面应变则诱导空位聚结成互连的纳米孔。 ZnO 中的低缺陷密度可有效抑制光生载流子复合，从而改善电荷传输并延长载流子寿命。加入原子分散的 Ru 位点 (0.6 wt%) 进一步提高了电荷分离效率，在甲烷光氧化中实现了 82% 的甲基氢过氧化物选择性，同时在 40 小时内保持 &gt;85% 的活性。这项工作建立了多孔单晶的途径，推进了材料设计，以实现光催化的潜在应用。</w:t>
      </w:r>
    </w:p>
    <w:p>
      <w:pPr>
        <w:spacing w:before="0" w:after="200" w:lineRule="auto" w:line="276"/>
      </w:pPr>
      <w:r>
        <w:rPr>
          <w:b/>
        </w:rPr>
        <w:t xml:space="preserve">Abstract (EN): </w:t>
      </w:r>
      <w:r>
        <w:t>The rapid recombination of photogenerated electron-hole pairs represents a fundamental bottleneck in photocatalysis. Constructing porous single crystals is expected to resolve this issue by simultaneous optimization of light absorption, charge transport and mass diffusion. Here, we present a topotactic lattice contraction strategy for synthesizing porous single-crystalline zinc blende ZnO monoliths with exceptional crystallinity, phase purity and high porosity. In situ transmission electron microscopy reveals the atomic-scale formation process: preferential S/O migration along {222} channels enable epitaxial nucleation, while interfacial strain induces vacancy coalescence into interconnected nanopores. The low defect density in ZnO effectively suppresses photogenerated carrier recombination, exhibiting improved charge transport and prolonged carrier lifetime. Incorporating atomically dispersed Ru sites (0.6 wt%) further enhances charge separation efficiency, achieving 82% selectivity for methyl hydroperoxide in methane photooxidation while maintaining &gt;85% activity over 40 hours. This work establishes a route to porous single crystals, advancing material design for prospective application in photocatalysis.</w:t>
      </w:r>
    </w:p>
    <w:p>
      <w:pPr>
        <w:spacing w:before="120" w:after="120"/>
      </w:pPr>
      <w:r>
        <w:rPr>
          <w:sz w:val="18"/>
        </w:rPr>
        <w:t>——————————————————————————————————————————————————————————————————————</w:t>
      </w:r>
    </w:p>
    <w:p>
      <w:pPr>
        <w:spacing w:before="160" w:after="40" w:line="240" w:lineRule="auto"/>
      </w:pPr>
      <w:r>
        <w:rPr>
          <w:b/>
        </w:rPr>
        <w:t xml:space="preserve">[63] </w:t>
      </w:r>
      <w:hyperlink r:id="rId523">
        <w:r>
          <w:rPr>
            <w:color w:val="1155CC"/>
            <w:u w:val="single"/>
          </w:rPr>
          <w:t>全 vdW 异质结构中具有高能效的界面手性诱导无磁场开关</w:t>
        </w:r>
      </w:hyperlink>
    </w:p>
    <w:p>
      <w:pPr>
        <w:spacing w:before="0" w:after="80"/>
      </w:pPr>
      <w:r>
        <w:rPr>
          <w:i/>
          <w:sz w:val="20"/>
        </w:rPr>
        <w:t>EN: Interfacial chirality-induced magnetic-field-free switching with high energy efficiency in all-vdW heterostructures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手性是许多科学学科的核心概念，不断激发新奇物理现象的发现。在凝聚态物理学中，结构手性（由不存在镜面对称性定义）主要在块体材料中进行探索。然而，当手性材料形成异质结构时，新的手性现象可以在界面上独特地出现，与它们的本体对应物不同。在这里，我们证明由手性 Co1/3TaS2 和非手性 vdW 铁磁体 Fe3GeTe2 组成的所有范德华 (vdW) 异质结构表现出源自界面手性的两种不同且非常规的自旋轨道扭矩。这些扭矩实现了垂直磁化的无磁场切换，具有超低电流密度 \( \sim \,{10}^{6}\,{\text{A}/\text{cm}}^{2}\) 和最小功耗 \( 。此外，通过用类似的 vdW 铁磁体 Fe3GaTe2 代替 Fe3GeTe2，但居里温度更高，我们在室温下实现了无磁场切换Fe3GaTe2/Co1/3TaS2 vdW 异质结构确立了界面手性作为自旋电子控制的强大新手柄，开辟了一条探索超越体对称约束的手性诱导现象的新途径，并为基于全 vdW 异质结构的高效、低功耗自旋电子器件铺平了道路。</w:t>
      </w:r>
    </w:p>
    <w:p>
      <w:pPr>
        <w:spacing w:before="0" w:after="200" w:lineRule="auto" w:line="276"/>
      </w:pPr>
      <w:r>
        <w:rPr>
          <w:b/>
        </w:rPr>
        <w:t xml:space="preserve">Abstract (EN): </w:t>
      </w:r>
      <w:r>
        <w:t>Chirality, a central concept across many scientific disciplines, continues to inspire the discovery of novel physical phenomena. In condensed matter physics, structural chirality—defined by the absence of mirror plane symmetries—has primarily been explored in bulk materials. However, new chiral phenomena can emerge uniquely at the interface, distinct from their bulk counterparts, when a chiral material forms a heterostructure. Here, we demonstrate that all van-der-Waals (vdW) heterostructure composed of the chiral Co1/3TaS2 and the achiral vdW ferromagnet Fe3GeTe2 exhibits two distinct and unconventional spin-orbit torques originating from the interfacial chirality. These torques enable magnetic-field-free switching of perpendicular magnetization with ultralow current density \( \sim \,{10}^{6}\,{\text{A}/\text{cm}}^{2}\) and minimal power dissipation \( . Moreover, by replacing Fe3GeTe2 with a similar vdW ferromagnet, Fe3GaTe2, but of higher Curie temperature, we achieved the magnetic-field-free switching at room temperature in the Fe3GaTe2/Co1/3TaS2 vdW heterostructure. Our findings establish interfacial chirality as a powerful new handle for spintronic control, opening a new pathway to explore chirality-induced phenomena beyond the bulk symmetry constraints – and paving the way toward highly efficient, low-power spintronic devices based on all-vdW heterostructures.</w:t>
      </w:r>
    </w:p>
    <w:p>
      <w:pPr>
        <w:spacing w:before="120" w:after="120"/>
      </w:pPr>
      <w:r>
        <w:rPr>
          <w:sz w:val="18"/>
        </w:rPr>
        <w:t>——————————————————————————————————————————————————————————————————————</w:t>
      </w:r>
    </w:p>
    <w:p>
      <w:pPr>
        <w:spacing w:before="160" w:after="40" w:line="240" w:lineRule="auto"/>
      </w:pPr>
      <w:r>
        <w:rPr>
          <w:b/>
        </w:rPr>
        <w:t xml:space="preserve">[64] </w:t>
      </w:r>
      <w:hyperlink r:id="rId524">
        <w:r>
          <w:rPr>
            <w:color w:val="1155CC"/>
            <w:u w:val="single"/>
          </w:rPr>
          <w:t>电流作为金属晶体中的稳定热力学场</w:t>
        </w:r>
      </w:hyperlink>
    </w:p>
    <w:p>
      <w:pPr>
        <w:spacing w:before="0" w:after="80"/>
      </w:pPr>
      <w:r>
        <w:rPr>
          <w:i/>
          <w:sz w:val="20"/>
        </w:rPr>
        <w:t>EN: Electric current as a stabilizing thermodynamic field in metallic crystals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电流通常与电迁移损伤相关，但在稳定的载流条件下，它也会影响晶格稳定性。这里，原位同步加速器X射线衍射和纳米衍射表明，在温度匹配热处理驱动η → η′转变的条件下，电流密度为1.5×103" role="presentation"&gt;1.5×1031.5\times {10}^{3}A cm−2 保留了六方η-Cu6Sn5。保留的η相通过各向异性弹性变形来适应电流， c 轴膨胀约 1.3%，基面收缩约 0.8%，伴随着电流去除后的平面选择性位错重排和部分晶格恢复，产生了约 30-40 MPa 的 ECS 后主应力规模，与数量级的电子风估计一致，而相关的弹性能量密度 9-12 MJ m−3 仍然远低于重构值。这些结果确定了在当前电流密度和实验几何结构下，η-Cu6Sn5 中存在电子风驱动的弹性调节状态，并伴有平面选择性缺陷重排，并且在实验上与载流稳态的吉布斯式 T−σ−J" role="presentation"&gt;T−σ−JT-\sigma -J 描述一致。</w:t>
      </w:r>
    </w:p>
    <w:p>
      <w:pPr>
        <w:spacing w:before="0" w:after="200" w:lineRule="auto" w:line="276"/>
      </w:pPr>
      <w:r>
        <w:rPr>
          <w:b/>
        </w:rPr>
        <w:t xml:space="preserve">Abstract (EN): </w:t>
      </w:r>
      <w:r>
        <w:t>Electric current is typically associated with electromigration damage, but under steady current-carrying conditions it can also bias lattice stability. Here, in situ synchrotron X-ray diffraction and nanodiffraction show that a current density of 1.5&amp;#x00D7;103" role="presentation"&gt;1.5×1031.5\times {10}^{3}A cm−2 retains hexagonal η-Cu6Sn5 under conditions where temperature-matched thermal treatment drives the η → η′ transformation. The retained η phase accommodates the current through anisotropic elastic distortion, with c-axis expansion of ~1.3% and basal-plane contraction of ~0.8%, accompanied by plane-selective dislocation rearrangement and partial lattice recovery after current removal. Grain-resolved stress/strain mapping yields a spatially averaged post-ECS principal-stress scale of ~30–40 MPa, consistent with an order-of-magnitude electron-wind estimate, while the associated elastic-energy density of 9–12 MJ m−3 remains well below the reconstructive barrier of ~150 MJ m−3. These results identify a phenomenological electron-wind-driven elastic accommodation regime in η-Cu6Sn5 under the present current density and experimental geometry, accompanied by plane-selective defect rearrangement, and are experimentally consistent with a Gibbs-like T&amp;#x2212;&amp;#x03C3;&amp;#x2212;J" role="presentation"&gt;T−σ−JT-\sigma -J description of the current-carrying steady state.</w:t>
      </w:r>
    </w:p>
    <w:p>
      <w:pPr>
        <w:spacing w:before="120" w:after="120"/>
      </w:pPr>
      <w:r>
        <w:rPr>
          <w:sz w:val="18"/>
        </w:rPr>
        <w:t>——————————————————————————————————————————————————————————————————————</w:t>
      </w:r>
    </w:p>
    <w:p>
      <w:pPr>
        <w:spacing w:before="160" w:after="40" w:line="240" w:lineRule="auto"/>
      </w:pPr>
      <w:r>
        <w:rPr>
          <w:b/>
        </w:rPr>
        <w:t xml:space="preserve">[65] </w:t>
      </w:r>
      <w:hyperlink r:id="rId525">
        <w:r>
          <w:rPr>
            <w:color w:val="1155CC"/>
            <w:u w:val="single"/>
          </w:rPr>
          <w:t>集成单向行波声子波导参量放大器</w:t>
        </w:r>
      </w:hyperlink>
    </w:p>
    <w:p>
      <w:pPr>
        <w:spacing w:before="0" w:after="80"/>
      </w:pPr>
      <w:r>
        <w:rPr>
          <w:i/>
          <w:sz w:val="20"/>
        </w:rPr>
        <w:t>EN: Integrated unidirectional traveling-wave phonon waveguide parametric amplifier</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声子是弹性波的量子，在经典和量子领域的广泛应用中发挥着关键作用。纳米制造技术的进步使得声子集成电路（PnIC）能够提供纳米级声子控制和增强的相互作用强度，为基础研究和创新设备开辟了新途径。声子放大器是用于高级信号处理的 PnIC 的重要有源元件。然而，基于行波集成波导的声子参量放大器仍未实现。在这里，我们通过氮化镓光子-声子混合集成平台中布里渊散射的斯托克斯和反斯托克斯过程演示了单向行波声子参量放大。该系统为光场和声场提供了强大的限制和低传播损耗，促进了在扩展的空间和时间尺度上强大的光子-声子相互作用。利用50 mW片上泵浦功率，我们实现了5.8 dB声子增益（净增益-1.8 dB，包括传播损耗），同时观察到前向和后向之间超过10 dB的非互易性，实现了第一个集成的单向行波声子参量放大器。我们的工作标志着集成声子学的重大进步，并为声子相关信息处理提供了新的机会。</w:t>
      </w:r>
    </w:p>
    <w:p>
      <w:pPr>
        <w:spacing w:before="0" w:after="200" w:lineRule="auto" w:line="276"/>
      </w:pPr>
      <w:r>
        <w:rPr>
          <w:b/>
        </w:rPr>
        <w:t xml:space="preserve">Abstract (EN): </w:t>
      </w:r>
      <w:r>
        <w:t>Phonons, the quanta of elastic waves, play pivotal roles across a wide range of applications in both classical and quantum domains. Advancements in nanofabrication technologies have enabled phononic integrated circuits (PnICs) that provide nanoscale phonon control and enhanced interaction strengths, opening new avenues for fundamental research and innovative devices. Phonon amplifiers are essential active components of PnICs for advanced signal processing. However, traveling-wave integrated waveguide-based phonon parametric amplifiers have remained unrealized. Here, we demonstrate unidirectional traveling-wave phonon parametric amplification via the Stokes and Anti-Stokes processes of Brillouin scattering in a gallium nitride photonic-phononic hybrid integrated platform. This system offers strong confinement and low propagation losses for both optical and acoustic fields, facilitating robust photon-phonon interactions over extended spatial and temporal scales. With 50-mW on-chip pump power, we achieve 5.8 dB phonon gain (net gain -1.8 dB including propagation loss) while observing over 10 dB non-reciprocity between the forward and backward directions, realizing the first integrated unidirectional traveling-wave phonon parametric amplifier. Our work marks a significant advancement in integrated phononics and offers new opportunities for phononic-related information processing.</w:t>
      </w:r>
    </w:p>
    <w:p>
      <w:pPr>
        <w:spacing w:before="120" w:after="120"/>
      </w:pPr>
      <w:r>
        <w:rPr>
          <w:sz w:val="18"/>
        </w:rPr>
        <w:t>——————————————————————————————————————————————————————————————————————</w:t>
      </w:r>
    </w:p>
    <w:p>
      <w:pPr>
        <w:spacing w:before="160" w:after="40" w:line="240" w:lineRule="auto"/>
      </w:pPr>
      <w:r>
        <w:rPr>
          <w:b/>
        </w:rPr>
        <w:t xml:space="preserve">[66] </w:t>
      </w:r>
      <w:hyperlink r:id="rId526">
        <w:r>
          <w:rPr>
            <w:color w:val="1155CC"/>
            <w:u w:val="single"/>
          </w:rPr>
          <w:t>草酸铁光催化下酮和烯烃的分子间还原偶联</w:t>
        </w:r>
      </w:hyperlink>
    </w:p>
    <w:p>
      <w:pPr>
        <w:spacing w:before="0" w:after="80"/>
      </w:pPr>
      <w:r>
        <w:rPr>
          <w:i/>
          <w:sz w:val="20"/>
        </w:rPr>
        <w:t>EN: Intermolecular Reductive Coupling of Ketones and Alkenes under Ferrioxalate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27">
        <w:r>
          <w:rPr>
            <w:color w:val="1155CC"/>
            <w:u w:val="single"/>
          </w:rPr>
          <w:t>10.1021/jacs.6c10799</w:t>
        </w:r>
      </w:hyperlink>
    </w:p>
    <w:p>
      <w:pPr>
        <w:spacing w:before="0" w:after="120"/>
      </w:pPr>
      <w:r>
        <w:rPr>
          <w:b/>
        </w:rPr>
        <w:t xml:space="preserve">Notes: </w:t>
      </w:r>
      <w:r>
        <w:t>abstract_source=pubmed</w:t>
      </w:r>
    </w:p>
    <w:p>
      <w:pPr>
        <w:spacing w:before="0" w:after="80" w:lineRule="auto" w:line="276"/>
      </w:pPr>
      <w:r>
        <w:rPr>
          <w:b/>
        </w:rPr>
        <w:t xml:space="preserve">摘要（ZH）: </w:t>
      </w:r>
      <w:r>
        <w:t>酮和烯烃是天然产物、原料和生物活性化合物中最常见的官能团。因此，使用这两种功能作为交叉偶联手柄保留了 Csp3-Csp3 键形成的显着合成潜力。然而，酮和烯烃之间的反应传统上依赖于分子内系统或使用活化的偶联配偶体，而涉及无偏底物的分子间反应的成功有限。在这里，我们报告了一种通过草酸铁光催化将未活化的酮与未活化的烯烃直接偶联的策略。该催化平台允许酮的内球还原以获得羰基自由基，尽管存在不利的极性不匹配，但仍能有效地与烯烃反应。这种方法可以获得多种叔醇，这些叔醇通常通过格氏试剂添加来组装，使用烯烃代替有机金属亲核试剂，使得这种转化能够以对不同极性和质子官能团的广泛耐受性进行。总体而言，该反应蓝图利用现成的烯烃和酮结构单元的多样性，构成了快速探索富含 Csp3 的化学空间的平台。该方法的实用性在多个应用中得到了证明，展示了该平台在合成和药物化学方面的潜力。</w:t>
      </w:r>
    </w:p>
    <w:p>
      <w:pPr>
        <w:spacing w:before="0" w:after="200" w:lineRule="auto" w:line="276"/>
      </w:pPr>
      <w:r>
        <w:rPr>
          <w:b/>
        </w:rPr>
        <w:t xml:space="preserve">Abstract (EN): </w:t>
      </w:r>
      <w:r>
        <w:t>Ketones and alkenes are among the most frequent functional groups found in natural products, feedstock, and bioactive compounds. Hence, the use of both functionalities as cross-coupling handles retains a marked synthetic potential for Csp3-Csp3 bond formation. However, the reaction between ketones and alkenes has traditionally relied on intramolecular systems or the use of activated coupling partners, while intermolecular reactions involving unbiased substrates have found limited success. Here we report a strategy for the direct coupling of unactivated ketones with unactivated alkenes enabled by ferrioxalate photocatalysis. This catalytic platform allows the inner-sphere reduction of ketones to access ketyl radicals that effectively react with alkenes despite the adverse polarity mismatch. This method gives access to a wide range of tertiary alcohols, which are generally assembled through Grignard reagent additions, using alkenes in place of organometallic nucleophiles, allowing this transformation to proceed with broad tolerance to diverse polar and protic functional groups. Overall, this reactivity blueprint constitutes a platform for the fast exploration of Csp3-rich chemical space, capitalizing on the diversity of readily available alkene and ketone building blocks. The utility of the method is demonstrated in several applications, showcasing the enabling potential of this platform for synthetic and medicinal chemistry.</w:t>
      </w:r>
    </w:p>
    <w:p>
      <w:pPr>
        <w:spacing w:before="120" w:after="120"/>
      </w:pPr>
      <w:r>
        <w:rPr>
          <w:sz w:val="18"/>
        </w:rPr>
        <w:t>——————————————————————————————————————————————————————————————————————</w:t>
      </w:r>
    </w:p>
    <w:p>
      <w:pPr>
        <w:spacing w:before="160" w:after="40" w:line="240" w:lineRule="auto"/>
      </w:pPr>
      <w:r>
        <w:rPr>
          <w:b/>
        </w:rPr>
        <w:t xml:space="preserve">[67] </w:t>
      </w:r>
      <w:hyperlink r:id="rId528">
        <w:r>
          <w:rPr>
            <w:color w:val="1155CC"/>
            <w:u w:val="single"/>
          </w:rPr>
          <w:t>作者更正：通过网状化学对晶体框架中的局部限制进行编程</w:t>
        </w:r>
      </w:hyperlink>
    </w:p>
    <w:p>
      <w:pPr>
        <w:spacing w:before="0" w:after="80"/>
      </w:pPr>
      <w:r>
        <w:rPr>
          <w:i/>
          <w:sz w:val="20"/>
        </w:rPr>
        <w:t>EN: Author Correction: Programming local confinements in crystalline frameworks through reticular chemistry</w:t>
      </w:r>
    </w:p>
    <w:p>
      <w:pPr>
        <w:spacing w:before="0" w:after="120"/>
      </w:pPr>
      <w:r>
        <w:rPr>
          <w:b/>
        </w:rPr>
        <w:t xml:space="preserve">Source: </w:t>
      </w:r>
      <w:r>
        <w:t>Nature Materials</w:t>
      </w:r>
      <w:r>
        <w:t xml:space="preserve">    </w:t>
      </w:r>
      <w:r>
        <w:rPr>
          <w:b/>
        </w:rPr>
        <w:t xml:space="preserve">Pub date: </w:t>
      </w:r>
      <w:r>
        <w:t>2026-07-13 00:00:00+00:00</w:t>
      </w:r>
      <w:r>
        <w:t xml:space="preserve">    </w:t>
      </w:r>
      <w:r>
        <w:rPr>
          <w:b/>
        </w:rPr>
        <w:t xml:space="preserve">DOI: </w:t>
      </w:r>
      <w:hyperlink r:id="rId529">
        <w:r>
          <w:rPr>
            <w:color w:val="1155CC"/>
            <w:u w:val="single"/>
          </w:rPr>
          <w:t>10.1038/s41563-026-02700-9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530">
        <w:r>
          <w:rPr>
            <w:color w:val="1155CC"/>
            <w:u w:val="single"/>
          </w:rPr>
          <w:t>在太空中发现的第一个“真正的糖”分子——为生命的起源提供线索</w:t>
        </w:r>
      </w:hyperlink>
    </w:p>
    <w:p>
      <w:pPr>
        <w:spacing w:before="0" w:after="80"/>
      </w:pPr>
      <w:r>
        <w:rPr>
          <w:i/>
          <w:sz w:val="20"/>
        </w:rPr>
        <w:t>EN: First ‘true sugar’ molecule found in space — offering hints to life’s origins</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31">
        <w:r>
          <w:rPr>
            <w:color w:val="1155CC"/>
            <w:u w:val="single"/>
          </w:rPr>
          <w:t>10.1038/d41586-026-02173-5</w:t>
        </w:r>
      </w:hyperlink>
    </w:p>
    <w:p>
      <w:pPr>
        <w:spacing w:before="0" w:after="120"/>
      </w:pPr>
      <w:r>
        <w:rPr>
          <w:b/>
        </w:rPr>
        <w:t xml:space="preserve">Notes: </w:t>
      </w:r>
      <w:r>
        <w:t>abstract_source=nature_html</w:t>
      </w:r>
    </w:p>
    <w:p>
      <w:pPr>
        <w:spacing w:before="0" w:after="80" w:lineRule="auto" w:line="276"/>
      </w:pPr>
      <w:r>
        <w:rPr>
          <w:b/>
        </w:rPr>
        <w:t xml:space="preserve">摘要（ZH）: </w:t>
      </w:r>
      <w:r>
        <w:t>赤藓酮糖含有四个碳原子，是太阳系以外发现的最复杂的糖。赤藓酮糖含有四个碳原子，是太阳系以外发现的最复杂的糖。</w:t>
      </w:r>
    </w:p>
    <w:p>
      <w:pPr>
        <w:spacing w:before="0" w:after="200" w:lineRule="auto" w:line="276"/>
      </w:pPr>
      <w:r>
        <w:rPr>
          <w:b/>
        </w:rPr>
        <w:t xml:space="preserve">Abstract (EN): </w:t>
      </w:r>
      <w:r>
        <w:t>Erythrulose, which has four carbon atoms, is the most complex sugar spotted beyond our Solar System. Erythrulose, which has four carbon atoms, is the most complex sugar spotted beyond our Solar System.</w:t>
      </w:r>
    </w:p>
    <w:p>
      <w:pPr>
        <w:spacing w:before="120" w:after="120"/>
      </w:pPr>
      <w:r>
        <w:rPr>
          <w:sz w:val="18"/>
        </w:rPr>
        <w:t>——————————————————————————————————————————————————————————————————————</w:t>
      </w:r>
    </w:p>
    <w:p>
      <w:pPr>
        <w:spacing w:before="160" w:after="40" w:line="240" w:lineRule="auto"/>
      </w:pPr>
      <w:r>
        <w:rPr>
          <w:b/>
        </w:rPr>
        <w:t xml:space="preserve">[69] </w:t>
      </w:r>
      <w:hyperlink r:id="rId532">
        <w:r>
          <w:rPr>
            <w:color w:val="1155CC"/>
            <w:u w:val="single"/>
          </w:rPr>
          <w:t>同步加速器低温软 X 射线显微镜揭示细菌与纳米结构磷酸钙基质的相互作用</w:t>
        </w:r>
      </w:hyperlink>
    </w:p>
    <w:p>
      <w:pPr>
        <w:spacing w:before="0" w:after="80"/>
      </w:pPr>
      <w:r>
        <w:rPr>
          <w:i/>
          <w:sz w:val="20"/>
        </w:rPr>
        <w:t>EN: Synchrotron cryo-soft X-ray microscopy reveals bacterial interactions with nanostructured calcium phosphate substrates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纳米结构合成骨移植物提供了一种有前景的策略，可以在支持骨再生的同时防止细菌定植。在这里，由α-磷酸三钙合成的缺钙羟基磷灰石（CDHA）纳米柱对革兰氏阳性枯草芽孢杆菌表现出接触杀灭活性。与惰性杀菌表面不同，CDHA 与周围环境交换离子，在机械损伤的同时引入化学相互作用。使用同步加速器低温软X射线断层扫描和光谱显微镜，我们以亚细胞分辨率可视化完全水合细胞中的细菌超微结构和细胞内离子变化。一些暴露于纳米拓扑结构的细菌表现出膜破裂、胞质渗漏和多泡体形成，表明严重的应激反应。 XANES 冷冻光谱显微镜和线性吸收系数分析确定了细胞内钙含量增加的细菌亚群，与基质中钙的释放相关，并通过共聚焦显微镜证实。然而，这种钙积累不会影响生存力，这与枯草芽孢杆菌的耐盐性质一致。这些发现提供了关于纳米形貌和表面化学对细菌反应的综合影响的见解。</w:t>
      </w:r>
    </w:p>
    <w:p>
      <w:pPr>
        <w:spacing w:before="0" w:after="200" w:lineRule="auto" w:line="276"/>
      </w:pPr>
      <w:r>
        <w:rPr>
          <w:b/>
        </w:rPr>
        <w:t xml:space="preserve">Abstract (EN): </w:t>
      </w:r>
      <w:r>
        <w:t>Nanostructured synthetic bone grafts offer a promising strategy to prevent bacterial colonisation while supporting bone regeneration. Here, calcium-deficient hydroxyapatite (CDHA) nanopillars synthesized from α-tricalcium phosphate exhibit contact-killing activity against Gram-positive Bacillus subtilis. Unlike inert bactericidal surfaces, CDHA exchanges ions with the surrounding environment, introducing chemical interactions alongside mechanical damage. Using synchrotron cryo-soft X-ray tomography and spectromicroscopy, we visualise bacterial ultrastructure and intracellular ionic changes in fully hydrated cells at subcellular resolution. Some bacteria exposed to the nanotopographies display membrane rupture, cytosolic leakage, and multivesicular body formation, indicating severe stress responses. XANES cryo-spectromicroscopy and linear absorption coefficient analysis identify a bacterial subpopulation with increased intracellular calcium, correlating with calcium release from the substrate and confirmed by confocal microscopy. However, this calcium accumulation does not affect viability, consistent with the halotolerant nature of B. subtilis. These findings provide insights into the combined effects of nanotopography and surface chemistry on bacterial responses.</w:t>
      </w:r>
    </w:p>
    <w:p>
      <w:pPr>
        <w:spacing w:before="120" w:after="120"/>
      </w:pPr>
      <w:r>
        <w:rPr>
          <w:sz w:val="18"/>
        </w:rPr>
        <w:t>——————————————————————————————————————————————————————————————————————</w:t>
      </w:r>
    </w:p>
    <w:p>
      <w:pPr>
        <w:spacing w:before="160" w:after="40" w:line="240" w:lineRule="auto"/>
      </w:pPr>
      <w:r>
        <w:rPr>
          <w:b/>
        </w:rPr>
        <w:t xml:space="preserve">[70] </w:t>
      </w:r>
      <w:hyperlink r:id="rId533">
        <w:r>
          <w:rPr>
            <w:color w:val="1155CC"/>
            <w:u w:val="single"/>
          </w:rPr>
          <w:t>用于高容量顺铂递送和胰腺癌化学免疫治疗的免疫调节树突状脂肽纳米颗粒</w:t>
        </w:r>
      </w:hyperlink>
    </w:p>
    <w:p>
      <w:pPr>
        <w:spacing w:before="0" w:after="80"/>
      </w:pPr>
      <w:r>
        <w:rPr>
          <w:i/>
          <w:sz w:val="20"/>
        </w:rPr>
        <w:t>EN: Immunoregulatory Dendritic Lipopeptide Nanoparticles for High-Capacity Cisplatin Delivery and Pancreatic Cancer Chemo-Immunotherapy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34">
        <w:r>
          <w:rPr>
            <w:color w:val="1155CC"/>
            <w:u w:val="single"/>
          </w:rPr>
          <w:t>10.1021/acsami.6c09272</w:t>
        </w:r>
      </w:hyperlink>
    </w:p>
    <w:p>
      <w:pPr>
        <w:spacing w:before="0" w:after="120"/>
      </w:pPr>
      <w:r>
        <w:rPr>
          <w:b/>
        </w:rPr>
        <w:t xml:space="preserve">Notes: </w:t>
      </w:r>
      <w:r>
        <w:t>abstract_source=pubmed</w:t>
      </w:r>
    </w:p>
    <w:p>
      <w:pPr>
        <w:spacing w:before="0" w:after="80" w:lineRule="auto" w:line="276"/>
      </w:pPr>
      <w:r>
        <w:rPr>
          <w:b/>
        </w:rPr>
        <w:t xml:space="preserve">摘要（ZH）: </w:t>
      </w:r>
      <w:r>
        <w:t>脂质纳米颗粒（LNP）有望用于顺铂递送，但由于载药量低、不稳定和疗效差而受到阻碍。在此，开发了多羧基树突状脂肽，以通过铂配位增强顺铂负载并改善肿瘤靶向性。构效关系研究确定 DG3 是最佳脂肽，使高载药 LNP (hDDLN) 具有良好的稳定性和递送效率。 Pt/hDDLN 在体外和体内表现出优于传统脂质体的治疗指数。 Pt/hDDLN 与干扰素基因刺激剂 (STING) 激动剂相结合，通过促进细胞毒性 T 淋巴细胞 (CTL) 浸润、树突状细胞 (DC) 成熟和减少调节性 T 细胞 (Treg) 来协同增强免疫治疗。从机制上讲，hDDLN 通过诱导型一氧化氮合酶-环磷酸鸟苷-磷酸化肌球蛋白轻链 (iNOS-cGMP-pMLC) 途径激活 DC，增强促炎反应。这种协调驱动的策略促进了基于 LNP 的顺铂递送用于恶性肿瘤的化学免疫治疗。</w:t>
      </w:r>
    </w:p>
    <w:p>
      <w:pPr>
        <w:spacing w:before="0" w:after="200" w:lineRule="auto" w:line="276"/>
      </w:pPr>
      <w:r>
        <w:rPr>
          <w:b/>
        </w:rPr>
        <w:t xml:space="preserve">Abstract (EN): </w:t>
      </w:r>
      <w:r>
        <w:t>Lipid nanoparticles (LNPs) are promising for cisplatin delivery but are hindered by low drug loading, instability, and poor efficacy. Here, multicarboxyl dendritic lipopeptides were developed to enhance cisplatin loading via platinum coordination and improve tumor targeting. Structure-activity relationship studies identified DG3 as the optimal lipopeptide, enabling high drug-loading LNPs (hDDLN) with good stability and delivery efficiency. Pt/hDDLN showed a superior therapeutic index over conventional liposomes in vitro and in vivo. Combining Pt/hDDLN with the stimulator of interferon genes (STING) agonists synergistically enhanced immunotherapy by promoting cytotoxic T lymphocyte (CTL) infiltration, dendritic cell (DC) maturation, and reducing Regulatory T cell (Treg). Mechanistically, hDDLN activated DCs via the inducible nitric oxide synthase-cyclic guanosine monophosphate-phosphorylated myosin light chain (iNOS-cGMP-pMLC) pathway, boosting pro-inflammatory responses. This coordination-driven strategy advances LNP-based cisplatin delivery for chemo-immunotherapy of malignancies.</w:t>
      </w:r>
    </w:p>
    <w:p>
      <w:pPr>
        <w:spacing w:before="120" w:after="120"/>
      </w:pPr>
      <w:r>
        <w:rPr>
          <w:sz w:val="18"/>
        </w:rPr>
        <w:t>——————————————————————————————————————————————————————————————————————</w:t>
      </w:r>
    </w:p>
    <w:p>
      <w:pPr>
        <w:spacing w:before="160" w:after="40" w:line="240" w:lineRule="auto"/>
      </w:pPr>
      <w:r>
        <w:rPr>
          <w:b/>
        </w:rPr>
        <w:t xml:space="preserve">[71] </w:t>
      </w:r>
      <w:hyperlink r:id="rId535">
        <w:r>
          <w:rPr>
            <w:color w:val="1155CC"/>
            <w:u w:val="single"/>
          </w:rPr>
          <w:t>每日简报：循证医学的兴起</w:t>
        </w:r>
      </w:hyperlink>
    </w:p>
    <w:p>
      <w:pPr>
        <w:spacing w:before="0" w:after="80"/>
      </w:pPr>
      <w:r>
        <w:rPr>
          <w:i/>
          <w:sz w:val="20"/>
        </w:rPr>
        <w:t>EN: Daily briefing: The rise of evidence-based medicine</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36">
        <w:r>
          <w:rPr>
            <w:color w:val="1155CC"/>
            <w:u w:val="single"/>
          </w:rPr>
          <w:t>10.1038/d41586-026-02206-z</w:t>
        </w:r>
      </w:hyperlink>
    </w:p>
    <w:p>
      <w:pPr>
        <w:spacing w:before="0" w:after="120"/>
      </w:pPr>
      <w:r>
        <w:rPr>
          <w:b/>
        </w:rPr>
        <w:t xml:space="preserve">Notes: </w:t>
      </w:r>
      <w:r>
        <w:t>abstract_source=nature_html</w:t>
      </w:r>
    </w:p>
    <w:p>
      <w:pPr>
        <w:spacing w:before="0" w:after="80" w:lineRule="auto" w:line="276"/>
      </w:pPr>
      <w:r>
        <w:rPr>
          <w:b/>
        </w:rPr>
        <w:t xml:space="preserve">摘要（ZH）: </w:t>
      </w:r>
      <w:r>
        <w:t>严格的研究如何改变了健康和社会政策。此外，实验室培育的精子取得了突破，国家科学基金会计划削减核心科学项目来资助白宫的一项计划。严格的研究如何改变了健康和社会政策。此外，实验室培育的精子取得了突破，国家科学基金会计划削减核心科学项目来资助白宫的一项计划。</w:t>
      </w:r>
    </w:p>
    <w:p>
      <w:pPr>
        <w:spacing w:before="0" w:after="200" w:lineRule="auto" w:line="276"/>
      </w:pPr>
      <w:r>
        <w:rPr>
          <w:b/>
        </w:rPr>
        <w:t xml:space="preserve">Abstract (EN): </w:t>
      </w:r>
      <w:r>
        <w:t>How rigorous research has transformed health and social policy. Plus, a breakthrough for lab-grown sperm and the NSF plans to cut core science programmes to fund a White House initiative. How rigorous research has transformed health and social policy. Plus, a breakthrough for lab-grown sperm and the NSF plans to cut core science programmes to fund a White House initiative.</w:t>
      </w:r>
    </w:p>
    <w:p>
      <w:pPr>
        <w:spacing w:before="120" w:after="120"/>
      </w:pPr>
      <w:r>
        <w:rPr>
          <w:sz w:val="18"/>
        </w:rPr>
        <w:t>——————————————————————————————————————————————————————————————————————</w:t>
      </w:r>
    </w:p>
    <w:p>
      <w:pPr>
        <w:spacing w:before="160" w:after="40" w:line="240" w:lineRule="auto"/>
      </w:pPr>
      <w:r>
        <w:rPr>
          <w:b/>
        </w:rPr>
        <w:t xml:space="preserve">[72] </w:t>
      </w:r>
      <w:hyperlink r:id="rId537">
        <w:r>
          <w:rPr>
            <w:color w:val="1155CC"/>
            <w:u w:val="single"/>
          </w:rPr>
          <w:t>复合不确定性下盆地规模水风太阳能系统面向弹性的随机短期调度</w:t>
        </w:r>
      </w:hyperlink>
    </w:p>
    <w:p>
      <w:pPr>
        <w:spacing w:before="0" w:after="80"/>
      </w:pPr>
      <w:r>
        <w:rPr>
          <w:i/>
          <w:sz w:val="20"/>
        </w:rPr>
        <w:t>EN: Resilience-oriented stochastic short-term scheduling of basin-scale hydro-wind-solar systems under compound uncertainties</w:t>
      </w:r>
    </w:p>
    <w:p>
      <w:pPr>
        <w:spacing w:before="0" w:after="120"/>
      </w:pPr>
      <w:r>
        <w:rPr>
          <w:b/>
        </w:rPr>
        <w:t xml:space="preserve">Source: </w:t>
      </w:r>
      <w:r>
        <w:t>ScienceDirect Publication: Applied Energy</w:t>
      </w:r>
      <w:r>
        <w:t xml:space="preserve">    </w:t>
      </w:r>
      <w:r>
        <w:rPr>
          <w:b/>
        </w:rPr>
        <w:t xml:space="preserve">Pub date: </w:t>
      </w:r>
      <w:r>
        <w:t>2026-07-13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538">
        <w:r>
          <w:rPr>
            <w:color w:val="1155CC"/>
            <w:u w:val="single"/>
          </w:rPr>
          <w:t>高渗透率可再生能源综合电力系统频率安全区域：理论、评估和应用</w:t>
        </w:r>
      </w:hyperlink>
    </w:p>
    <w:p>
      <w:pPr>
        <w:spacing w:before="0" w:after="80"/>
      </w:pPr>
      <w:r>
        <w:rPr>
          <w:i/>
          <w:sz w:val="20"/>
        </w:rPr>
        <w:t>EN: Frequency security region of high penetration renewable energy integrated power systems: theoretical, assessment, and application</w:t>
      </w:r>
    </w:p>
    <w:p>
      <w:pPr>
        <w:spacing w:before="0" w:after="120"/>
      </w:pPr>
      <w:r>
        <w:rPr>
          <w:b/>
        </w:rPr>
        <w:t xml:space="preserve">Source: </w:t>
      </w:r>
      <w:r>
        <w:t>ScienceDirect Publication: Applied Energy</w:t>
      </w:r>
      <w:r>
        <w:t xml:space="preserve">    </w:t>
      </w:r>
      <w:r>
        <w:rPr>
          <w:b/>
        </w:rPr>
        <w:t xml:space="preserve">Pub date: </w:t>
      </w:r>
      <w:r>
        <w:t>2026-07-13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539">
        <w:r>
          <w:rPr>
            <w:color w:val="1155CC"/>
            <w:u w:val="single"/>
          </w:rPr>
          <w:t>水微滴中二硫化碳的室温自发聚合</w:t>
        </w:r>
      </w:hyperlink>
    </w:p>
    <w:p>
      <w:pPr>
        <w:spacing w:before="0" w:after="80"/>
      </w:pPr>
      <w:r>
        <w:rPr>
          <w:i/>
          <w:sz w:val="20"/>
        </w:rPr>
        <w:t>EN: Spontaneous Room-Temperature Polymerization of Carbon Disulfide in Water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40">
        <w:r>
          <w:rPr>
            <w:color w:val="1155CC"/>
            <w:u w:val="single"/>
          </w:rPr>
          <w:t>10.1021/jacs.6c12260</w:t>
        </w:r>
      </w:hyperlink>
    </w:p>
    <w:p>
      <w:pPr>
        <w:spacing w:before="0" w:after="120"/>
      </w:pPr>
      <w:r>
        <w:rPr>
          <w:b/>
        </w:rPr>
        <w:t xml:space="preserve">Notes: </w:t>
      </w:r>
      <w:r>
        <w:t>abstract_source=pubmed</w:t>
      </w:r>
    </w:p>
    <w:p>
      <w:pPr>
        <w:spacing w:before="0" w:after="80" w:lineRule="auto" w:line="276"/>
      </w:pPr>
      <w:r>
        <w:rPr>
          <w:b/>
        </w:rPr>
        <w:t xml:space="preserve">摘要（ZH）: </w:t>
      </w:r>
      <w:r>
        <w:t>水微滴已成为非凡的反应容器，其中空气-水界面处的超高电场产生反应性自由基和水合电子，从而实现在本体溶液中无法实现的转变。然而，微滴诱导的自由基聚合实际上仍未被探索。在这里，我们证明水性微滴会诱导二硫化碳（CS2）在室温下快速聚合成聚（硫化碳）固体。该反应在室温下无需催化剂即可完全消耗CS2。综合表征揭示了一种高度交联的聚合物，由掺入氢的共轭 C=C 和 C-S 网络组成。自由基猝灭和在线质谱实验揭示了一种涉及液滴界面电子转移、引发逐步 CS2 自由基聚合途径的机制。通过小规模平行反应很容易实现克级制备。这一发现首次建立了用于聚合物合成的微滴介导的聚合反应，并为 CS2 污染物的增值提供了可行的策略。</w:t>
      </w:r>
    </w:p>
    <w:p>
      <w:pPr>
        <w:spacing w:before="0" w:after="200" w:lineRule="auto" w:line="276"/>
      </w:pPr>
      <w:r>
        <w:rPr>
          <w:b/>
        </w:rPr>
        <w:t xml:space="preserve">Abstract (EN): </w:t>
      </w:r>
      <w:r>
        <w:t>Water microdroplets have emerged as extraordinary reaction vessels in which ultrahigh electric fields at the air-water interface generate reactive radicals and hydrated electrons, enabling transformations inaccessible in bulk solution. However, microdroplet-induced free-radical polymerization has remained virtually unexplored. Here we demonstrate that aqueous microdroplets induce the rapid, room-temperature polymerization of carbon disulfide (CS2) into a poly(carbon sulfide) solid. The reaction consumes CS2 completely without catalysts at room temperature. Comprehensive characterization reveals a highly cross-linked polymer composed of conjugated C═C and C-S networks with incorporated hydrogen. Radical quenching and online mass spectrometry experiments reveal a mechanism involving electron transfer at the droplet interface, initiating stepwise CS2 radical polymerization pathway. Gram-scale preparation is readily achieved through through small-scale parallel reactions. This discovery establishes first microdroplet-mediated polymerization for polymer synthesis and offers a viable strategy for CS2 pollutant valorization.</w:t>
      </w:r>
    </w:p>
    <w:p>
      <w:pPr>
        <w:spacing w:before="120" w:after="120"/>
      </w:pPr>
      <w:r>
        <w:rPr>
          <w:sz w:val="18"/>
        </w:rPr>
        <w:t>——————————————————————————————————————————————————————————————————————</w:t>
      </w:r>
    </w:p>
    <w:p>
      <w:pPr>
        <w:spacing w:before="160" w:after="40" w:line="240" w:lineRule="auto"/>
      </w:pPr>
      <w:r>
        <w:rPr>
          <w:b/>
        </w:rPr>
        <w:t xml:space="preserve">[75] </w:t>
      </w:r>
      <w:hyperlink r:id="rId541">
        <w:r>
          <w:rPr>
            <w:color w:val="1155CC"/>
            <w:u w:val="single"/>
          </w:rPr>
          <w:t>自然数到三：通用 Mg-Pinch 基序使 NTP 加工酶中的断裂键极化</w:t>
        </w:r>
      </w:hyperlink>
    </w:p>
    <w:p>
      <w:pPr>
        <w:spacing w:before="0" w:after="80"/>
      </w:pPr>
      <w:r>
        <w:rPr>
          <w:i/>
          <w:sz w:val="20"/>
        </w:rPr>
        <w:t>EN: Nature Counts to Three: Universal Mg-Pinch Motif Polarizes the Cleaved Bond in NTP-Processing Enzymes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42">
        <w:r>
          <w:rPr>
            <w:color w:val="1155CC"/>
            <w:u w:val="single"/>
          </w:rPr>
          <w:t>10.1021/jacs.6c10146</w:t>
        </w:r>
      </w:hyperlink>
    </w:p>
    <w:p>
      <w:pPr>
        <w:spacing w:before="0" w:after="120"/>
      </w:pPr>
      <w:r>
        <w:rPr>
          <w:b/>
        </w:rPr>
        <w:t xml:space="preserve">Notes: </w:t>
      </w:r>
      <w:r>
        <w:t>abstract_source=pubmed</w:t>
      </w:r>
    </w:p>
    <w:p>
      <w:pPr>
        <w:spacing w:before="0" w:after="80" w:lineRule="auto" w:line="276"/>
      </w:pPr>
      <w:r>
        <w:rPr>
          <w:b/>
        </w:rPr>
        <w:t xml:space="preserve">摘要（ZH）: </w:t>
      </w:r>
      <w:r>
        <w:t>磷酸盐对于所有生物体的生命至关重要，在核酸、信号传导、能量转移和生物合成中发挥着关键作用。我们对所有酶反应中的核苷三磷酸 (NTP) 加工酶进行了定量分析，揭示了它们在以 ATP 作为最常见底物的磷酸盐反应中的主导地位。主要发生两种主要反应类型：导致焦磷酸盐释放或磷酸盐释放/转移的裂解。绝大多数 NTP 加工酶以机械类似的方式需要二价 Mg2+ 离子。然而，对于许多 NTP 处理酶来说，具有催化能力的金属离子配位仍不清楚。通过检查大量的晶体结构数据集，我们确定了一个通用的“Mg-pinch”基序，证实了我们对几乎所有 NTP 处理酶的结构假设。我们假设并随后证实，催化 Mg2+ 通常与两个磷酸基团配位，这两个磷酸基团之间的 P-O 键被裂解。我们对所有物种的 NTP 处理超家族进行了全面分析，确定了不同的酶活性位点结构。我们强调特殊情况，并提出具有挑战性的超家族，这些超家族缺乏足够的结构数据来确定精确的活性位点协调。基于 DFT 的 QM/MM 计算和完全静电嵌入支持了一种机械解释，其中适当协调的 Mg2+ 离子通过静电预组织和反应磷酸基团的极化来促进催化。 Mg 捏图案提供了机械</w:t>
      </w:r>
    </w:p>
    <w:p>
      <w:pPr>
        <w:spacing w:before="0" w:after="200" w:lineRule="auto" w:line="276"/>
      </w:pPr>
      <w:r>
        <w:rPr>
          <w:b/>
        </w:rPr>
        <w:t xml:space="preserve">Abstract (EN): </w:t>
      </w:r>
      <w:r>
        <w:t>Phosphates are essential for life in all organisms, playing key roles in nucleic acids, signaling, energy transfer, and biosynthesis. We conducted a quantitative analysis of nucleoside triphosphate (NTP) processing enzymes across all enzymatic reactions, revealing their dominance in phosphate reactivity with ATP as the most prevalent substrate. Two main reaction types occur predominantly: cleavage resulting in pyrophosphate release or phosphate release/transfer. The large majority of NTP processing enzymes require divalent Mg2+ ions in a mechanistically analogous manner. However, the catalytically competent metal-ion coordination remains unclear for many NTP-processing enzymes. By examining a vast data set of crystallographic structures, we identified a universal "Mg-pinch" motif, confirming our structural hypothesis for almost all NTP processing enzymes. We hypothesized and subsequently confirmed that the catalytic Mg2+ typically coordinates the two phosphate groups between which the P-O bond is cleaved. We present a comprehensive analysis of NTP processing superfamilies across all species, determining distinct enzyme active site structures. We highlight exceptional cases and propose challenging superfamilies that lack sufficient structural data to determine precise active site coordination. DFT-based QM/MM calculations with full electrostatic embedding support a mechanistic interpretation in which appropriately coordinated Mg2+ ions contribute to catalysis by electrostatic preorganization and polarization of the reacting phosphate groups. The Mg-pinch motif provides a mechanistic framework for understanding the catalytic role of metal ions in NTP processing. Our findings offer insights into enzyme evolution, provide a basis for rational enzyme engineering, and could inform the development of novel therapeutics targeting NTP processing enzymes.</w:t>
      </w:r>
    </w:p>
    <w:p>
      <w:pPr>
        <w:spacing w:before="120" w:after="120"/>
      </w:pPr>
      <w:r>
        <w:rPr>
          <w:sz w:val="18"/>
        </w:rPr>
        <w:t>——————————————————————————————————————————————————————————————————————</w:t>
      </w:r>
    </w:p>
    <w:p>
      <w:pPr>
        <w:spacing w:before="160" w:after="40" w:line="240" w:lineRule="auto"/>
      </w:pPr>
      <w:r>
        <w:rPr>
          <w:b/>
        </w:rPr>
        <w:t xml:space="preserve">[76] </w:t>
      </w:r>
      <w:hyperlink r:id="rId543">
        <w:r>
          <w:rPr>
            <w:color w:val="1155CC"/>
            <w:u w:val="single"/>
          </w:rPr>
          <w:t>对“增加晶体场驱动中间耦合并最大限度地减少四价镨量子位中的退相干”的更正</w:t>
        </w:r>
      </w:hyperlink>
    </w:p>
    <w:p>
      <w:pPr>
        <w:spacing w:before="0" w:after="80"/>
      </w:pPr>
      <w:r>
        <w:rPr>
          <w:i/>
          <w:sz w:val="20"/>
        </w:rPr>
        <w:t>EN: Correction to “Increased Crystal Field Drives Intermediate Coupling and Minimizes Decoherence in Tetravalent Praseodymium Qubits”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44">
        <w:r>
          <w:rPr>
            <w:color w:val="1155CC"/>
            <w:u w:val="single"/>
          </w:rPr>
          <w:t>10.1021/jacs.6c12385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545">
        <w:r>
          <w:rPr>
            <w:color w:val="1155CC"/>
            <w:u w:val="single"/>
          </w:rPr>
          <w:t>利用化学能和光能控制刚性聚合物囊泡的机械变形</w:t>
        </w:r>
      </w:hyperlink>
    </w:p>
    <w:p>
      <w:pPr>
        <w:spacing w:before="0" w:after="80"/>
      </w:pPr>
      <w:r>
        <w:rPr>
          <w:i/>
          <w:sz w:val="20"/>
        </w:rPr>
        <w:t>EN: Harnessing Chemical and Light Energy for Controlled Mechanical Deformation in Rigid Polymersomes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46">
        <w:r>
          <w:rPr>
            <w:color w:val="1155CC"/>
            <w:u w:val="single"/>
          </w:rPr>
          <w:t>10.1021/jacs.6c08276</w:t>
        </w:r>
      </w:hyperlink>
    </w:p>
    <w:p>
      <w:pPr>
        <w:spacing w:before="0" w:after="120"/>
      </w:pPr>
      <w:r>
        <w:rPr>
          <w:b/>
        </w:rPr>
        <w:t xml:space="preserve">Notes: </w:t>
      </w:r>
      <w:r>
        <w:t>abstract_source=pubmed</w:t>
      </w:r>
    </w:p>
    <w:p>
      <w:pPr>
        <w:spacing w:before="0" w:after="80" w:lineRule="auto" w:line="276"/>
      </w:pPr>
      <w:r>
        <w:rPr>
          <w:b/>
        </w:rPr>
        <w:t xml:space="preserve">摘要（ZH）: </w:t>
      </w:r>
      <w:r>
        <w:t>生物化学或光输入的分子转导是机械反应的基础，这是广泛的基本生物功能的基础，在具有可编程精度的合成组件中实现仍然具有很大的挑战性。在这里，我们报道了具有可刺激裂解的聚碳酸酯双层的刚性聚合物囊泡，其可响应化学或光触发而经历可编程的形状转变，包括单向伸长、内陷和分解。通过共焦显微镜结合荧光探针分析来原位监测这些动态形态和微观结构变化。从机制上讲，化学能的局部耗散在聚合物囊泡膜上建立了反应梯度。当疏水性嵌段被触发裂解成更小的片段时，这些梯度促进跨膜不对称性、渗透性增强和曲率调节，从而决定转化途径。由此产生的行为受化学燃料 (H2O2) 的径向扩散、裂解反应的消耗以及双层膜上表面积和曲率不对称性的产生之间的相互作用控制。同时，光输入能够在单聚合物水平上精确时空控制变形，包括让人想起细胞内吞作用的定向内陷。通过将光触发变形与多价分子识别相结合，我们进一步建立了通过可编程人工内吞作用进行靶向纳米颗粒内化的策略。这项工作提供</w:t>
      </w:r>
    </w:p>
    <w:p>
      <w:pPr>
        <w:spacing w:before="0" w:after="200" w:lineRule="auto" w:line="276"/>
      </w:pPr>
      <w:r>
        <w:rPr>
          <w:b/>
        </w:rPr>
        <w:t xml:space="preserve">Abstract (EN): </w:t>
      </w:r>
      <w:r>
        <w:t>The molecular transduction of biochemical or light inputs into mechanical responses, which underlies a wide range of essential biological functions, remains highly challenging to achieve in synthetic assemblies with programmable precision. Here, we report rigid polymersomes with stimuli-cleavable polycarbonate bilayers that undergo programmable shape transformations, including unidirectional elongation, invagination, and disassembly, in response to chemical or light triggers. These dynamic morphological and microstructural changes are monitored in situ by confocal microscopy combined with fluorescence probe analysis. Mechanistically, localized dissipation of chemical energy establishes reactive gradients across the polymersome membrane. Upon triggered cleavage of hydrophobic blocks into smaller fragments, these gradients promote transmembrane asymmetry, permeability enhancement, and curvature modulation, thereby dictating the transformation pathway. The resulting behaviors are governed by the interplay among radial diffusion of chemical fuel (H2O2), its consumption through cleavage reactions, and the generation of surface area and curvature asymmetry across the bilayer membrane. In parallel, light input enables precise spatiotemporal control of deformation at the single-polymersome level, including directional invagination reminiscent of cellular endocytosis. By integrating light-triggered deformation with multivalent molecular recognition, we further establish a strategy for targeted nanoparticle internalization through programmable artificial endocytosis. This work provides a general framework for converting chemical and light energy into molecular cleavage events and further into real-time microscale mechanical motion, offering a versatile platform for responsive soft matter engineering and biomimetic functions.</w:t>
      </w:r>
    </w:p>
    <w:p>
      <w:pPr>
        <w:spacing w:before="120" w:after="120"/>
      </w:pPr>
      <w:r>
        <w:rPr>
          <w:sz w:val="18"/>
        </w:rPr>
        <w:t>——————————————————————————————————————————————————————————————————————</w:t>
      </w:r>
    </w:p>
    <w:p>
      <w:pPr>
        <w:spacing w:before="160" w:after="40" w:line="240" w:lineRule="auto"/>
      </w:pPr>
      <w:r>
        <w:rPr>
          <w:b/>
        </w:rPr>
        <w:t xml:space="preserve">[78] </w:t>
      </w:r>
      <w:hyperlink r:id="rId547">
        <w:r>
          <w:rPr>
            <w:color w:val="1155CC"/>
            <w:u w:val="single"/>
          </w:rPr>
          <w:t>用于全溴蓝色钙钛矿发光二极管的离域 π 电子平坦化共轭配体</w:t>
        </w:r>
      </w:hyperlink>
    </w:p>
    <w:p>
      <w:pPr>
        <w:spacing w:before="0" w:after="80"/>
      </w:pPr>
      <w:r>
        <w:rPr>
          <w:i/>
          <w:sz w:val="20"/>
        </w:rPr>
        <w:t>EN: Planarizing Conjugated Ligands with Delocalized π Electrons for All-Bromine Blue Perovskite Light-Emitting Diodes</w:t>
      </w:r>
    </w:p>
    <w:p>
      <w:pPr>
        <w:spacing w:before="0" w:after="120"/>
      </w:pPr>
      <w:r>
        <w:rPr>
          <w:b/>
        </w:rPr>
        <w:t xml:space="preserve">Source: </w:t>
      </w:r>
      <w:r>
        <w:t>ACS Energy Letters: Latest Articles (ACS Publications)</w:t>
      </w:r>
      <w:r>
        <w:t xml:space="preserve">    </w:t>
      </w:r>
      <w:r>
        <w:rPr>
          <w:b/>
        </w:rPr>
        <w:t xml:space="preserve">Pub date: </w:t>
      </w:r>
      <w:r>
        <w:t>2026-07-13 00:00:00+00:00</w:t>
      </w:r>
      <w:r>
        <w:t xml:space="preserve">    </w:t>
      </w:r>
      <w:r>
        <w:rPr>
          <w:b/>
        </w:rPr>
        <w:t xml:space="preserve">DOI: </w:t>
      </w:r>
      <w:hyperlink r:id="rId548">
        <w:r>
          <w:rPr>
            <w:color w:val="1155CC"/>
            <w:u w:val="single"/>
          </w:rPr>
          <w:t>10.1021/acsenergylett.6c01672</w:t>
        </w:r>
      </w:hyperlink>
    </w:p>
    <w:p>
      <w:pPr>
        <w:spacing w:before="0" w:after="120"/>
      </w:pPr>
      <w:r>
        <w:rPr>
          <w:b/>
        </w:rPr>
        <w:t xml:space="preserve">Notes: </w:t>
      </w:r>
      <w:r>
        <w:t>abstract_source=openalex</w:t>
      </w:r>
    </w:p>
    <w:p>
      <w:pPr>
        <w:spacing w:before="0" w:after="80" w:lineRule="auto" w:line="276"/>
      </w:pPr>
      <w:r>
        <w:rPr>
          <w:b/>
        </w:rPr>
        <w:t xml:space="preserve">摘要（ZH）: </w:t>
      </w:r>
      <w:r>
        <w:t>虽然广泛的研究集中在有机配体对钙钛矿的电子或配位效应，但它们的空间效应仍然未被系统地探索。在此，我们设计并合成了两种化学成分几乎相同但空间构型不同的共轭配体：二苯甲酮肟（BPO）和9-芴酮肟（FRO）。在BPO中，由于空间排斥，两个苯环形成70.16°的二面角。相比之下，FRO具有平面结构，增强了π电子离域，有效钝化钙钛矿缺陷，优化相分布，促进激子辐射复合。 FRO掺杂的全溴准二维蓝色钙钛矿器件实现了15.25%的峰值外量子效率，同时提高了光谱稳定性和工作寿命。值得注意的是，吸附后BPO的二面角减小了11.35°，为π键相互作用的存在和不可忽视的作用提供了直接和定量的证据。这项工作强调了配体空间设计对于高性能钙钛矿光电器件的至关重要性。</w:t>
      </w:r>
    </w:p>
    <w:p>
      <w:pPr>
        <w:spacing w:before="0" w:after="200" w:lineRule="auto" w:line="276"/>
      </w:pPr>
      <w:r>
        <w:rPr>
          <w:b/>
        </w:rPr>
        <w:t xml:space="preserve">Abstract (EN): </w:t>
      </w:r>
      <w:r>
        <w:t>While extensive studies have focused on the electronic or coordination effects of organic ligands on perovskites, their spatial effects remain systematically underexplored. Herein, we designed and synthesized two conjugated ligands with nearly identical chemical compositions but distinct spatial configurations: benzophenone oxime (BPO) and 9-fluorenone oxime (FRO). In BPO, the two phenyl rings adopt a dihedral angle of 70.16° due to steric repulsion. In contrast, FRO features a planar structure, enhancing π-electron delocalization, which effectively passivated perovskite defects, optimized phase distribution, and promoted exciton radiative recombination. The FRO-doped all-bromine quasi-two-dimensional blue perovskite device achieved a peak external quantum efficiency of 15.25%, alongside improved spectral stability and operational lifetime. Notably, the dihedral angle of BPO decreased by 11.35° upon adsorption, providing direct and quantitative evidence for the existence and non-negligible role of π-bond interactions. This work highlights the critical importance of ligand spatial design for high-performance perovskite optoelectronic devices.</w:t>
      </w:r>
    </w:p>
    <w:p>
      <w:pPr>
        <w:spacing w:before="120" w:after="120"/>
      </w:pPr>
      <w:r>
        <w:rPr>
          <w:sz w:val="18"/>
        </w:rPr>
        <w:t>——————————————————————————————————————————————————————————————————————</w:t>
      </w:r>
    </w:p>
    <w:p>
      <w:pPr>
        <w:spacing w:before="160" w:after="40" w:line="240" w:lineRule="auto"/>
      </w:pPr>
      <w:r>
        <w:rPr>
          <w:b/>
        </w:rPr>
        <w:t xml:space="preserve">[79] </w:t>
      </w:r>
      <w:hyperlink r:id="rId549">
        <w:r>
          <w:rPr>
            <w:color w:val="1155CC"/>
            <w:u w:val="single"/>
          </w:rPr>
          <w:t>合成反铁磁体中的非常规斯格明子</w:t>
        </w:r>
      </w:hyperlink>
    </w:p>
    <w:p>
      <w:pPr>
        <w:spacing w:before="0" w:after="80"/>
      </w:pPr>
      <w:r>
        <w:rPr>
          <w:i/>
          <w:sz w:val="20"/>
        </w:rPr>
        <w:t>EN: Unconventional skyrmions in synthetic antiferromagnets</w:t>
      </w:r>
    </w:p>
    <w:p>
      <w:pPr>
        <w:spacing w:before="0" w:after="120"/>
      </w:pPr>
      <w:r>
        <w:rPr>
          <w:b/>
        </w:rPr>
        <w:t xml:space="preserve">Source: </w:t>
      </w:r>
      <w:r>
        <w:t>Nature Materials</w:t>
      </w:r>
      <w:r>
        <w:t xml:space="preserve">    </w:t>
      </w:r>
      <w:r>
        <w:rPr>
          <w:b/>
        </w:rPr>
        <w:t xml:space="preserve">Pub date: </w:t>
      </w:r>
      <w:r>
        <w:t>2026-07-13 00:00:00+00:00</w:t>
      </w:r>
      <w:r>
        <w:t xml:space="preserve">    </w:t>
      </w:r>
      <w:r>
        <w:rPr>
          <w:b/>
        </w:rPr>
        <w:t xml:space="preserve">DOI: </w:t>
      </w:r>
      <w:hyperlink r:id="rId550">
        <w:r>
          <w:rPr>
            <w:color w:val="1155CC"/>
            <w:u w:val="single"/>
          </w:rPr>
          <w:t>10.1038/s41563-026-02673-9</w:t>
        </w:r>
      </w:hyperlink>
    </w:p>
    <w:p>
      <w:pPr>
        <w:spacing w:before="0" w:after="120"/>
      </w:pPr>
      <w:r>
        <w:rPr>
          <w:b/>
        </w:rPr>
        <w:t xml:space="preserve">Notes: </w:t>
      </w:r>
      <w:r>
        <w:t>abstract_source=nature_html</w:t>
      </w:r>
    </w:p>
    <w:p>
      <w:pPr>
        <w:spacing w:before="0" w:after="80" w:lineRule="auto" w:line="276"/>
      </w:pPr>
      <w:r>
        <w:rPr>
          <w:b/>
        </w:rPr>
        <w:t xml:space="preserve">摘要（ZH）: </w:t>
      </w:r>
      <w:r>
        <w:t>磁性斯格明子是受拓扑保护的自旋纹理，可以充当可重构的纳米级信息载体。在合成反铁磁体中，层间交换耦合提供了超越界面 Dzyaloshinskii-Moriya 相互作用和磁各向异性的控制参数。在这里，我们设计了一种由两种化学性质不同的铁磁体 CoB 和 CoFeB 组成的合成反铁磁体，其中外部场和层间交换对亚晶格的作用不对称。它们作为有效场的竞争产生了不同场状态下的两个斯格明子家族：大场的常规极性斯格明子和较小场的反极性斯格明子，其中有效场反转符号。使用元素分辨 X 射线磁力测量、相关磁力和洛伦兹透射电子显微镜以及微磁建模，我们表明所有纹理仅存在于 CoFeB 层中，由 CoB 层的 Ruderman-Kittel-Kasuya-Yosida 交换场驱动。这种有效场路径能够实现具有层选择极性的可编程三维自旋纹理，用于基于斯格明子的计算。</w:t>
      </w:r>
    </w:p>
    <w:p>
      <w:pPr>
        <w:spacing w:before="0" w:after="200" w:lineRule="auto" w:line="276"/>
      </w:pPr>
      <w:r>
        <w:rPr>
          <w:b/>
        </w:rPr>
        <w:t xml:space="preserve">Abstract (EN): </w:t>
      </w:r>
      <w:r>
        <w:t>Magnetic skyrmions are topologically protected spin textures that can act as reconfigurable nanoscale information carriers. In synthetic antiferromagnets, interlayer exchange coupling provides a control parameter beyond the interfacial Dzyaloshinskii–Moriya interaction and magnetic anisotropy. Here we engineer a synthetic antiferromagnet of two chemically distinct ferromagnets, CoB and CoFeB, in which the external field and interlayer exchange act asymmetrically on the sublattices. Their competition, acting as an effective field, gives rise to two skyrmion families in different field regimes: conventional-polarity skyrmions at large fields, and inverse-polarity skyrmions at smaller fields, where the effective field reverses sign. Using element-resolved X-ray magnetometry, correlative magnetic force and Lorentz transmission electron microscopies, and micromagnetic modelling, we show that all textures reside solely in the CoFeB layers, driven by a Ruderman–Kittel–Kasuya–Yosida exchange field from the CoB layers. This effective-field route enables programmable three-dimensional spin textures with layer-selected polarity for skyrmion-based computing.</w:t>
      </w:r>
    </w:p>
    <w:p>
      <w:pPr>
        <w:spacing w:before="120" w:after="120"/>
      </w:pPr>
      <w:r>
        <w:rPr>
          <w:sz w:val="18"/>
        </w:rPr>
        <w:t>——————————————————————————————————————————————————————————————————————</w:t>
      </w:r>
    </w:p>
    <w:p>
      <w:pPr>
        <w:spacing w:before="160" w:after="40" w:line="240" w:lineRule="auto"/>
      </w:pPr>
      <w:r>
        <w:rPr>
          <w:b/>
        </w:rPr>
        <w:t xml:space="preserve">[80] </w:t>
      </w:r>
      <w:hyperlink r:id="rId551">
        <w:r>
          <w:rPr>
            <w:color w:val="1155CC"/>
            <w:u w:val="single"/>
          </w:rPr>
          <w:t>热稳定且可加工的 π-延伸蒽 [4 + 2] 光电二聚体作为光学力探针用于热塑性塑料的损伤检测</w:t>
        </w:r>
      </w:hyperlink>
    </w:p>
    <w:p>
      <w:pPr>
        <w:spacing w:before="0" w:after="80"/>
      </w:pPr>
      <w:r>
        <w:rPr>
          <w:i/>
          <w:sz w:val="20"/>
        </w:rPr>
        <w:t>EN: A Thermally Stable and Processable [4 + 2] Photodimer of π-Extended Anthracene as an Optical Force Probe for Damage Detection in Thermoplastics</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52">
        <w:r>
          <w:rPr>
            <w:color w:val="1155CC"/>
            <w:u w:val="single"/>
          </w:rPr>
          <w:t>10.1021/jacs.6c05379</w:t>
        </w:r>
      </w:hyperlink>
    </w:p>
    <w:p>
      <w:pPr>
        <w:spacing w:before="0" w:after="120"/>
      </w:pPr>
      <w:r>
        <w:rPr>
          <w:b/>
        </w:rPr>
        <w:t xml:space="preserve">Notes: </w:t>
      </w:r>
      <w:r>
        <w:t>abstract_source=pubmed</w:t>
      </w:r>
    </w:p>
    <w:p>
      <w:pPr>
        <w:spacing w:before="0" w:after="80" w:lineRule="auto" w:line="276"/>
      </w:pPr>
      <w:r>
        <w:rPr>
          <w:b/>
        </w:rPr>
        <w:t xml:space="preserve">摘要（ZH）: </w:t>
      </w:r>
      <w:r>
        <w:t>将机械力转化为光信号的机械力载体是探测聚合物材料损伤的有力工具，但经常遭受不期望的热反应性，损害主体聚合物的机械化学选择性和可加工性。在这里，我们展示了高发射率 9-π-延伸蒽的 [4 + 2] 光二聚化产生了一种光学力探针 (OFP)，该探针在 200 °C 以上具有优异的热稳定性以及光化学稳定性。我们使用商用聚甲基丙烯酸甲酯 (PMMA)、聚苯乙烯 (PS)、热塑性聚氨酯 (TPU) 和聚乙烯 (PE) 的共混物在低功能材料负载量 (≤5 wt%) 下演示了热塑性聚合物中的机械化学活化。重要的是，我们对 OFP 功能化 TPU 进行熔融加工，包括挤出和熔融纺丝，并获得保留完整 OFP 的机械荧光纤维。总之，我们的结果强调了荧光团的光二聚化作为一种​​定制 OFP 光学读数的策略，并为研究熔融加工热塑性塑料中的分子级损伤开辟了一条途径。</w:t>
      </w:r>
    </w:p>
    <w:p>
      <w:pPr>
        <w:spacing w:before="0" w:after="200" w:lineRule="auto" w:line="276"/>
      </w:pPr>
      <w:r>
        <w:rPr>
          <w:b/>
        </w:rPr>
        <w:t xml:space="preserve">Abstract (EN): </w:t>
      </w:r>
      <w:r>
        <w:t>Mechanophores that translate mechanical force into optical signals are powerful tools for probing damage in polymeric materials, yet regularly suffer from undesired thermal reactivity, compromising mechanochemical selectivity and processability of the host polymer. Here, we show that the [4 + 2] photodimerization of highly emissive 9-π-extended anthracene yields an optical force probe (OFP) that features excellent thermal stability above 200 °C as well as photochemical robustness. We demonstrate mechanochemical activation in thermoplastic polymers using blends of commercial poly(methyl methacrylate) (PMMA), polystyrene (PS), thermoplastic polyurethane (TPU), and polyethylene (PE) at low functional material loadings (≤5 wt %). Importantly, we subject OFP-functionalized TPU to melt processing, including extrusion and melt spinning, and obtain mechanofluorogenic fibers that retain intact OFPs. Together, our results underscore photodimerization of fluorophores as a strategy to tailor the optical readout of OFPs and open an avenue to investigate molecular-level damage in melt-processed thermoplastics.</w:t>
      </w:r>
    </w:p>
    <w:p>
      <w:pPr>
        <w:spacing w:before="120" w:after="120"/>
      </w:pPr>
      <w:r>
        <w:rPr>
          <w:sz w:val="18"/>
        </w:rPr>
        <w:t>——————————————————————————————————————————————————————————————————————</w:t>
      </w:r>
    </w:p>
    <w:p>
      <w:pPr>
        <w:spacing w:before="160" w:after="40" w:line="240" w:lineRule="auto"/>
      </w:pPr>
      <w:r>
        <w:rPr>
          <w:b/>
        </w:rPr>
        <w:t xml:space="preserve">[81] </w:t>
      </w:r>
      <w:hyperlink r:id="rId553">
        <w:r>
          <w:rPr>
            <w:color w:val="1155CC"/>
            <w:u w:val="single"/>
          </w:rPr>
          <w:t>通过有机和生物催化级联控制合成手性 β-氯胺和氮丙啶</w:t>
        </w:r>
      </w:hyperlink>
    </w:p>
    <w:p>
      <w:pPr>
        <w:spacing w:before="0" w:after="80"/>
      </w:pPr>
      <w:r>
        <w:rPr>
          <w:i/>
          <w:sz w:val="20"/>
        </w:rPr>
        <w:t>EN: Controlled Synthesis of Chiral β-Chloramines and Aziridines via an Organo- and Biocatalytic Cascade</w:t>
      </w:r>
    </w:p>
    <w:p>
      <w:pPr>
        <w:spacing w:before="0" w:after="120"/>
      </w:pPr>
      <w:r>
        <w:rPr>
          <w:b/>
        </w:rPr>
        <w:t xml:space="preserve">Source: </w:t>
      </w:r>
      <w:r>
        <w:t>Journal of the American Chemical Society: Latest Articles (ACS Publications)</w:t>
      </w:r>
      <w:r>
        <w:t xml:space="preserve">    </w:t>
      </w:r>
      <w:r>
        <w:rPr>
          <w:b/>
        </w:rPr>
        <w:t xml:space="preserve">Pub date: </w:t>
      </w:r>
      <w:r>
        <w:t>2026-07-13 00:00:00+00:00</w:t>
      </w:r>
      <w:r>
        <w:t xml:space="preserve">    </w:t>
      </w:r>
      <w:r>
        <w:rPr>
          <w:b/>
        </w:rPr>
        <w:t xml:space="preserve">DOI: </w:t>
      </w:r>
      <w:hyperlink r:id="rId554">
        <w:r>
          <w:rPr>
            <w:color w:val="1155CC"/>
            <w:u w:val="single"/>
          </w:rPr>
          <w:t>10.1021/jacs.6c11300</w:t>
        </w:r>
      </w:hyperlink>
    </w:p>
    <w:p>
      <w:pPr>
        <w:spacing w:before="0" w:after="120"/>
      </w:pPr>
      <w:r>
        <w:rPr>
          <w:b/>
        </w:rPr>
        <w:t xml:space="preserve">Notes: </w:t>
      </w:r>
      <w:r>
        <w:t>abstract_source=pubmed</w:t>
      </w:r>
    </w:p>
    <w:p>
      <w:pPr>
        <w:spacing w:before="0" w:after="80" w:lineRule="auto" w:line="276"/>
      </w:pPr>
      <w:r>
        <w:rPr>
          <w:b/>
        </w:rPr>
        <w:t xml:space="preserve">摘要（ZH）: </w:t>
      </w:r>
      <w:r>
        <w:t>带有 C-Cl 立构中心的手性有机氯化物是合成和药物化学中非常理想的基序，但仅通过生物催化从简单的起始材料直接不对称合成仍然具有挑战性。在这里，我们报告了一种集成的有机和生物催化级联，可将容易获得的醛转化为对映体富集的β-氯胺。在优化的近中性条件下，该方法以高收率（高达 88%）提供多种 β-氯胺，并具有出色的对映选择性（高达 &gt;99:1 对映体比率）。值得注意的是，通过简单地将 pH 值提高到 9.5，同一级联系统即可直接生成手性氮丙啶，从而能够从统一平台以 pH 控制的方式获得两种有价值的产品类别。通过从廉价的商业底物进行制备规模合成，然后通过不同的关键转化为不同的手性结构单元（包括氮丙啶、叠氮胺和乙酰氧基胺），进一步证明了该策略的实用性。机理研究提供了对立体选择性的起源和控制立体化学结果的关键因素的深入了解。</w:t>
      </w:r>
    </w:p>
    <w:p>
      <w:pPr>
        <w:spacing w:before="0" w:after="200" w:lineRule="auto" w:line="276"/>
      </w:pPr>
      <w:r>
        <w:rPr>
          <w:b/>
        </w:rPr>
        <w:t xml:space="preserve">Abstract (EN): </w:t>
      </w:r>
      <w:r>
        <w:t>Chiral organochlorides bearing C-Cl stereocenters are highly desirable motifs in synthetic and medicinal chemistry, yet their direct asymmetric synthesis from simple starting materials via biocatalysis alone remains challenging. Here, we report an integrated organo- and biocatalytic cascade that converts readily available aldehydes into enantiomerically enriched β-chloramines. Under optimized near-neutral conditions, the method delivers a broad array of β-chloramines in high yield (up to 88%) with exceptional enantioselectivity (up to &gt;99:1 enantiomeric ratio). Notably, by simply raising the pH to 9.5, the same cascade system diverges to directly generate chiral aziridines, enabling pH-controlled access to two valuable product classes from a unified platform. The utility of this strategy is further demonstrated by preparative-scale syntheses from inexpensive commercial substrates, followed by divergent linchpin transformations to diverse chiral building blocks, including aziridines, azido amines, and acetoxy amines. Mechanistic studies provide insight into the origins of stereoselectivity and the key factors governing stereochemical outcomes.</w:t>
      </w:r>
    </w:p>
    <w:p>
      <w:pPr>
        <w:spacing w:before="120" w:after="120"/>
      </w:pPr>
      <w:r>
        <w:rPr>
          <w:sz w:val="18"/>
        </w:rPr>
        <w:t>——————————————————————————————————————————————————————————————————————</w:t>
      </w:r>
    </w:p>
    <w:p>
      <w:pPr>
        <w:spacing w:before="160" w:after="40" w:line="240" w:lineRule="auto"/>
      </w:pPr>
      <w:r>
        <w:rPr>
          <w:b/>
        </w:rPr>
        <w:t xml:space="preserve">[82] </w:t>
      </w:r>
      <w:hyperlink r:id="rId555">
        <w:r>
          <w:rPr>
            <w:color w:val="1155CC"/>
            <w:u w:val="single"/>
          </w:rPr>
          <w:t>表观遗传编辑崭露头角</w:t>
        </w:r>
      </w:hyperlink>
    </w:p>
    <w:p>
      <w:pPr>
        <w:spacing w:before="0" w:after="80"/>
      </w:pPr>
      <w:r>
        <w:rPr>
          <w:i/>
          <w:sz w:val="20"/>
        </w:rPr>
        <w:t>EN: Epigenetic editing makes its mark</w:t>
      </w:r>
    </w:p>
    <w:p>
      <w:pPr>
        <w:spacing w:before="0" w:after="120"/>
      </w:pPr>
      <w:r>
        <w:rPr>
          <w:b/>
        </w:rPr>
        <w:t xml:space="preserve">Source: </w:t>
      </w:r>
      <w:r>
        <w:t>Nature</w:t>
      </w:r>
      <w:r>
        <w:t xml:space="preserve">    </w:t>
      </w:r>
      <w:r>
        <w:rPr>
          <w:b/>
        </w:rPr>
        <w:t xml:space="preserve">Pub date: </w:t>
      </w:r>
      <w:r>
        <w:t>2026-07-13 00:00:00+00:00</w:t>
      </w:r>
      <w:r>
        <w:t xml:space="preserve">    </w:t>
      </w:r>
      <w:r>
        <w:rPr>
          <w:b/>
        </w:rPr>
        <w:t xml:space="preserve">DOI: </w:t>
      </w:r>
      <w:hyperlink r:id="rId556">
        <w:r>
          <w:rPr>
            <w:color w:val="1155CC"/>
            <w:u w:val="single"/>
          </w:rPr>
          <w:t>10.1038/d41586-026-02151-x</w:t>
        </w:r>
      </w:hyperlink>
    </w:p>
    <w:p>
      <w:pPr>
        <w:spacing w:before="0" w:after="120"/>
      </w:pPr>
      <w:r>
        <w:rPr>
          <w:b/>
        </w:rPr>
        <w:t xml:space="preserve">Notes: </w:t>
      </w:r>
      <w:r>
        <w:t>abstract_source=nature_html</w:t>
      </w:r>
    </w:p>
    <w:p>
      <w:pPr>
        <w:spacing w:before="0" w:after="80" w:lineRule="auto" w:line="276"/>
      </w:pPr>
      <w:r>
        <w:rPr>
          <w:b/>
        </w:rPr>
        <w:t xml:space="preserve">摘要（ZH）: </w:t>
      </w:r>
      <w:r>
        <w:t>研究人员正在重写 DNA 和染色质上的化学标签来调整基因表达。研究人员正在重写 DNA 和染色质上的化学标签来调整基因表达。</w:t>
      </w:r>
    </w:p>
    <w:p>
      <w:pPr>
        <w:spacing w:before="0" w:after="200" w:lineRule="auto" w:line="276"/>
      </w:pPr>
      <w:r>
        <w:rPr>
          <w:b/>
        </w:rPr>
        <w:t xml:space="preserve">Abstract (EN): </w:t>
      </w:r>
      <w:r>
        <w:t>Researchers are rewriting the chemical tags on DNA and chromatin to tune gene expression. Researchers are rewriting the chemical tags on DNA and chromatin to tune gene expression.</w:t>
      </w:r>
    </w:p>
    <w:p>
      <w:pPr>
        <w:spacing w:before="120" w:after="120"/>
      </w:pPr>
      <w:r>
        <w:rPr>
          <w:sz w:val="18"/>
        </w:rPr>
        <w:t>——————————————————————————————————————————————————————————————————————</w:t>
      </w:r>
    </w:p>
    <w:p>
      <w:pPr>
        <w:spacing w:before="160" w:after="40" w:line="240" w:lineRule="auto"/>
      </w:pPr>
      <w:r>
        <w:rPr>
          <w:b/>
        </w:rPr>
        <w:t xml:space="preserve">[83] </w:t>
      </w:r>
      <w:hyperlink r:id="rId557">
        <w:r>
          <w:rPr>
            <w:color w:val="1155CC"/>
            <w:u w:val="single"/>
          </w:rPr>
          <w:t>亲电胺化诱导的 1,2-硼酸酯迁移用于 β-氨基硼酸酯的模块化合成</w:t>
        </w:r>
      </w:hyperlink>
    </w:p>
    <w:p>
      <w:pPr>
        <w:spacing w:before="0" w:after="80"/>
      </w:pPr>
      <w:r>
        <w:rPr>
          <w:i/>
          <w:sz w:val="20"/>
        </w:rPr>
        <w:t>EN: Electrophilic amination-induced 1,2-boronate migration for the modular synthesis of β-amino boronic esters</w:t>
      </w:r>
    </w:p>
    <w:p>
      <w:pPr>
        <w:spacing w:before="0" w:after="120"/>
      </w:pPr>
      <w:r>
        <w:rPr>
          <w:b/>
        </w:rPr>
        <w:t xml:space="preserve">Source: </w:t>
      </w:r>
      <w:r>
        <w:t>Nature Chemistry</w:t>
      </w:r>
      <w:r>
        <w:t xml:space="preserve">    </w:t>
      </w:r>
      <w:r>
        <w:rPr>
          <w:b/>
        </w:rPr>
        <w:t xml:space="preserve">Pub date: </w:t>
      </w:r>
      <w:r>
        <w:t>2026-07-13 00:00:00+00:00</w:t>
      </w:r>
      <w:r>
        <w:t xml:space="preserve">    </w:t>
      </w:r>
      <w:r>
        <w:rPr>
          <w:b/>
        </w:rPr>
        <w:t xml:space="preserve">DOI: </w:t>
      </w:r>
      <w:hyperlink r:id="rId558">
        <w:r>
          <w:rPr>
            <w:color w:val="1155CC"/>
            <w:u w:val="single"/>
          </w:rPr>
          <w:t>10.1038/s41557-026-02206-6</w:t>
        </w:r>
      </w:hyperlink>
    </w:p>
    <w:p>
      <w:pPr>
        <w:spacing w:before="0" w:after="120"/>
      </w:pPr>
      <w:r>
        <w:rPr>
          <w:b/>
        </w:rPr>
        <w:t xml:space="preserve">Notes: </w:t>
      </w:r>
      <w:r>
        <w:t>abstract_source=nature_html</w:t>
      </w:r>
    </w:p>
    <w:p>
      <w:pPr>
        <w:spacing w:before="0" w:after="80" w:lineRule="auto" w:line="276"/>
      </w:pPr>
      <w:r>
        <w:rPr>
          <w:b/>
        </w:rPr>
        <w:t xml:space="preserve">摘要（ZH）: </w:t>
      </w:r>
      <w:r>
        <w:t>有机硼酸酯可作为多组分键构建的通用平台，通过硼酸酯复合物的轻松形成及其随后对亲电子试剂的反应性实现。然而，尽管胺的合成很重要，但亲电胺化诱导的 1,2-硼酸盐迁移仍然难以捉摸。在这里，我们报告了一种模块化、高度非对映选择性的方案，能够直接胺化诱导烯基硼酸酯复合物的 1,2-迁移，以获得未受保护的 β-氨基硼酸酯。使用市售胺化试剂 O-二苯基膦基羟胺 (DPPH)，反应通过快速形成氮丙啶鎓离子，然后进行 1,2-迁移来进行。原位红外光谱研究和密度泛函理论计算对反应的机理见解支持了这种逐步机制。此外，将该转化与夏皮罗反应相结合，可以将原料酮直接转化为β-氨基硼酸酯，从而建立了独特的羰基多功能化路线。该方法具有范围广、官能团耐受性高、非对映控制优良等优点，已应用于多种生物碱的简洁合成。</w:t>
      </w:r>
    </w:p>
    <w:p>
      <w:pPr>
        <w:spacing w:before="0" w:after="200" w:lineRule="auto" w:line="276"/>
      </w:pPr>
      <w:r>
        <w:rPr>
          <w:b/>
        </w:rPr>
        <w:t xml:space="preserve">Abstract (EN): </w:t>
      </w:r>
      <w:r>
        <w:t>Organoboronic esters serve as versatile platforms for multicomponent bond construction, enabled by the facile formation of boronate complexes and their subsequent reactivity towards electrophiles. However, despite the synthetic importance of amines, electrophilic amination-induced 1,2-boronate migration has remained elusive. Here we report a modular, highly diastereoselective protocol enabling direct amination-induced 1,2-migration of alkenyl boronate complexes to access unprotected β-amino boronic esters. Using the commercially available aminating reagent O-diphenylphosphinylhydroxylamine (DPPH), the reaction proceeds through rapid aziridinium ion formation followed by 1,2-migration. Mechanistic insights from the reaction by in situ infrared spectroscopy studies and density functional theory calculations support this stepwise mechanism. Moreover, merging this transformation with the Shapiro reaction enables direct conversion of feedstock ketones into β-amino boronic esters, establishing a unique route for carbonyl multifunctionalization. The method exhibits broad scope, high functional-group tolerance and excellent diastereocontrol and has been applied to the concise syntheses of several alkaloids.</w:t>
      </w:r>
    </w:p>
    <w:p>
      <w:pPr>
        <w:spacing w:before="120" w:after="120"/>
      </w:pPr>
      <w:r>
        <w:rPr>
          <w:sz w:val="18"/>
        </w:rPr>
        <w:t>——————————————————————————————————————————————————————————————————————</w:t>
      </w:r>
    </w:p>
    <w:p>
      <w:pPr>
        <w:spacing w:before="160" w:after="40" w:line="240" w:lineRule="auto"/>
      </w:pPr>
      <w:r>
        <w:rPr>
          <w:b/>
        </w:rPr>
        <w:t xml:space="preserve">[84] </w:t>
      </w:r>
      <w:hyperlink r:id="rId559">
        <w:r>
          <w:rPr>
            <w:color w:val="1155CC"/>
            <w:u w:val="single"/>
          </w:rPr>
          <w:t>氧杂环丁烷至氮杂环丁烷骨架编辑</w:t>
        </w:r>
      </w:hyperlink>
    </w:p>
    <w:p>
      <w:pPr>
        <w:spacing w:before="0" w:after="80"/>
      </w:pPr>
      <w:r>
        <w:rPr>
          <w:i/>
          <w:sz w:val="20"/>
        </w:rPr>
        <w:t>EN: Oxetane-to-azetidine skeletal editing</w:t>
      </w:r>
    </w:p>
    <w:p>
      <w:pPr>
        <w:spacing w:before="0" w:after="120"/>
      </w:pPr>
      <w:r>
        <w:rPr>
          <w:b/>
        </w:rPr>
        <w:t xml:space="preserve">Source: </w:t>
      </w:r>
      <w:r>
        <w:t>Nature Chemistry</w:t>
      </w:r>
      <w:r>
        <w:t xml:space="preserve">    </w:t>
      </w:r>
      <w:r>
        <w:rPr>
          <w:b/>
        </w:rPr>
        <w:t xml:space="preserve">Pub date: </w:t>
      </w:r>
      <w:r>
        <w:t>2026-07-13 00:00:00+00:00</w:t>
      </w:r>
      <w:r>
        <w:t xml:space="preserve">    </w:t>
      </w:r>
      <w:r>
        <w:rPr>
          <w:b/>
        </w:rPr>
        <w:t xml:space="preserve">DOI: </w:t>
      </w:r>
      <w:hyperlink r:id="rId560">
        <w:r>
          <w:rPr>
            <w:color w:val="1155CC"/>
            <w:u w:val="single"/>
          </w:rPr>
          <w:t>10.1038/s41557-026-02213-7</w:t>
        </w:r>
      </w:hyperlink>
    </w:p>
    <w:p>
      <w:pPr>
        <w:spacing w:before="0" w:after="120"/>
      </w:pPr>
      <w:r>
        <w:rPr>
          <w:b/>
        </w:rPr>
        <w:t xml:space="preserve">Notes: </w:t>
      </w:r>
      <w:r>
        <w:t>abstract_source=nature_html</w:t>
      </w:r>
    </w:p>
    <w:p>
      <w:pPr>
        <w:spacing w:before="0" w:after="80" w:lineRule="auto" w:line="276"/>
      </w:pPr>
      <w:r>
        <w:rPr>
          <w:b/>
        </w:rPr>
        <w:t xml:space="preserve">摘要（ZH）: </w:t>
      </w:r>
      <w:r>
        <w:t>生物活性分子内杂原子的特性可以深刻地影响其物理化学和生物学特性。然而，评估具有不同杂原子的杂环类似物是否有新的治疗机会，通常需要费力的从头合成。在这里，我们报告了一种简单的两步一锅策略，使用多种芳香族和脂肪族胺将容易获得的氧杂环丁烷直接骨架编辑成氮杂环丁烷。这种转化在简单的条件下通过路易斯酸介导的氧杂环丁烷分子间氨解进行，然后进行分子内Mitsunobu型脱水环化以形成氮杂环丁烷环。由此产生的非氧化还原骨架编辑平台具有广泛的底物范围、优异的官能团耐受性以及与复杂的类药物分子的兼容性，使得能够从氧杂环丁烷前体快速获得氮杂环丁烷类似物，用于药物发现中的杂环编辑。</w:t>
      </w:r>
    </w:p>
    <w:p>
      <w:pPr>
        <w:spacing w:before="0" w:after="200" w:lineRule="auto" w:line="276"/>
      </w:pPr>
      <w:r>
        <w:rPr>
          <w:b/>
        </w:rPr>
        <w:t xml:space="preserve">Abstract (EN): </w:t>
      </w:r>
      <w:r>
        <w:t>The identity of heteroatoms within bioactive molecules can profoundly influence their physicochemical and biological properties. Evaluating heterocycle analogues featuring distinct heteroatoms for new therapeutic opportunities, however, often requires laborious de novo syntheses. Here we report a straightforward, two-step, one-pot strategy for the direct skeletal editing of readily available oxetanes into azetidines using a broad range of aromatic and aliphatic amines. This transformation proceeds under simple conditions through Lewis acid-mediated intermolecular aminolysis of oxetanes, followed by an intramolecular Mitsunobu-type dehydrative cyclization to forge the azetidine ring. The resulting non-redox skeletal editing platform features broad substrate scope, excellent functional group tolerance and compatibility with complex, drug-like molecules, enabling rapid access to azetidine analogues from oxetane precursors for heterocycle editing in drug discovery.</w:t>
      </w:r>
    </w:p>
    <w:p>
      <w:pPr>
        <w:spacing w:before="120" w:after="120"/>
      </w:pPr>
      <w:r>
        <w:rPr>
          <w:sz w:val="18"/>
        </w:rPr>
        <w:t>——————————————————————————————————————————————————————————————————————</w:t>
      </w:r>
    </w:p>
    <w:p>
      <w:pPr>
        <w:spacing w:before="160" w:after="40" w:line="240" w:lineRule="auto"/>
      </w:pPr>
      <w:r>
        <w:rPr>
          <w:b/>
        </w:rPr>
        <w:t xml:space="preserve">[85] </w:t>
      </w:r>
      <w:hyperlink r:id="rId561">
        <w:r>
          <w:rPr>
            <w:color w:val="1155CC"/>
            <w:u w:val="single"/>
          </w:rPr>
          <w:t>岩浆海洋凝固过程中月球远近不对称的形成</w:t>
        </w:r>
      </w:hyperlink>
    </w:p>
    <w:p>
      <w:pPr>
        <w:spacing w:before="0" w:after="80"/>
      </w:pPr>
      <w:r>
        <w:rPr>
          <w:i/>
          <w:sz w:val="20"/>
        </w:rPr>
        <w:t>EN: Lunar farside-nearside asymmetry formation during magma ocean solidification</w:t>
      </w:r>
    </w:p>
    <w:p>
      <w:pPr>
        <w:spacing w:before="0" w:after="120"/>
      </w:pPr>
      <w:r>
        <w:rPr>
          <w:b/>
        </w:rPr>
        <w:t xml:space="preserve">Source: </w:t>
      </w:r>
      <w:r>
        <w:t>National Science Review Advance Access</w:t>
      </w:r>
      <w:r>
        <w:t xml:space="preserve">    </w:t>
      </w:r>
      <w:r>
        <w:rPr>
          <w:b/>
        </w:rPr>
        <w:t xml:space="preserve">Pub date: </w:t>
      </w:r>
      <w:r>
        <w:t>2026-07-13 00:00:00+00:00</w:t>
      </w:r>
      <w:r>
        <w:t xml:space="preserve">    </w:t>
      </w:r>
      <w:r>
        <w:rPr>
          <w:b/>
        </w:rPr>
        <w:t xml:space="preserve">DOI: </w:t>
      </w:r>
      <w:hyperlink r:id="rId562">
        <w:r>
          <w:rPr>
            <w:color w:val="1155CC"/>
            <w:u w:val="single"/>
          </w:rPr>
          <w:t>10.1093/nsr/nwag424</w:t>
        </w:r>
      </w:hyperlink>
    </w:p>
    <w:p>
      <w:pPr>
        <w:spacing w:before="0" w:after="120"/>
      </w:pPr>
      <w:r>
        <w:rPr>
          <w:b/>
        </w:rPr>
        <w:t xml:space="preserve">Notes: </w:t>
      </w:r>
      <w:r>
        <w:t>abstract_source=rss_oup</w:t>
      </w:r>
    </w:p>
    <w:p>
      <w:pPr>
        <w:spacing w:before="0" w:after="80" w:lineRule="auto" w:line="276"/>
      </w:pPr>
      <w:r>
        <w:rPr>
          <w:b/>
        </w:rPr>
        <w:t xml:space="preserve">摘要（ZH）: </w:t>
      </w:r>
      <w:r>
        <w:t>解开月球远侧-近侧不对称的起源[1-3]需要比较两个半球的各种岩性，这项任务长期以来因缺乏远侧样本而受到阻碍。在这里，我们提供了嫦娥六号（CE6）远侧岩性的地球化学数据，揭示了与其近侧对应物的系统差异。 CE6 斜长石镁质含量较高，而 CE6 镁系样品的钾、稀土元素和磷 (KREEP) 含量较低。然而，CE6 镁系样品的 Mg# 值与阿波罗镁系岩石相当。 CE6 28亿年玄武岩的地幔来源与阿波罗低钛玄武岩相似。这种对远侧和近侧岩性的系统地球化学比较，对不同的月球岩浆海洋（LMO）产物层进行了采样，表明地幔没有表现出明显的成分二分性。相比之下，远端斜长岩地壳富含镁且更厚，而远端改性活生物体产物可能更薄。因此，我们认为观察到的远近不对称源于潮汐锁定月球上长寿命改性活体内部的横向热对流。</w:t>
      </w:r>
    </w:p>
    <w:p>
      <w:pPr>
        <w:spacing w:before="0" w:after="200" w:lineRule="auto" w:line="276"/>
      </w:pPr>
      <w:r>
        <w:rPr>
          <w:b/>
        </w:rPr>
        <w:t xml:space="preserve">Abstract (EN): </w:t>
      </w:r>
      <w:r>
        <w:t>Unraveling the origin of lunar farside-nearside asymmetry [1–3] requires comparison of various lithologies from both hemispheres, a task long hindered by the absence of farside samples. Here, we present geochemical data for Chang’e 6 (CE6) lithologies from the farside, revealing systematic differences from their nearside counterparts. CE6 anorthosites are more magnesian, while CE6 Mg-suite samples contain lower potassium, rare earth element, and phosphorus (KREEP) contents. However, CE6 Mg-suite samples have Mg# values comparable to Apollo Mg-suite rocks. The mantle source of CE6 2.8-billion-year-old basalts is similar to that of Apollo low-Ti basalts. This systematic geochemical comparison of farside and nearside lithologies, which sample distinct lunar magma ocean (LMO) product layers, indicates that the mantle displays no clear compositional dichotomy. In contrast, the farside anorthositic crust is more magnesium-rich and thicker, while late-stage LMO products may be thinner on the farside. Therefore, we propose that the observed farside-nearside asymmetry originated from lateral thermal convection within a long-lived LMO on the tidally locked Moon.</w:t>
      </w:r>
    </w:p>
    <w:p>
      <w:pPr>
        <w:spacing w:before="120" w:after="120"/>
      </w:pPr>
      <w:r>
        <w:rPr>
          <w:sz w:val="18"/>
        </w:rPr>
        <w:t>——————————————————————————————————————————————————————————————————————</w:t>
      </w:r>
    </w:p>
    <w:p>
      <w:pPr>
        <w:spacing w:before="160" w:after="40" w:line="240" w:lineRule="auto"/>
      </w:pPr>
      <w:r>
        <w:rPr>
          <w:b/>
        </w:rPr>
        <w:t xml:space="preserve">[86] </w:t>
      </w:r>
      <w:hyperlink r:id="rId563">
        <w:r>
          <w:rPr>
            <w:color w:val="1155CC"/>
            <w:u w:val="single"/>
          </w:rPr>
          <w:t>局部变形映射揭示了微结构的扩散</w:t>
        </w:r>
      </w:hyperlink>
    </w:p>
    <w:p>
      <w:pPr>
        <w:spacing w:before="0" w:after="80"/>
      </w:pPr>
      <w:r>
        <w:rPr>
          <w:i/>
          <w:sz w:val="20"/>
        </w:rPr>
        <w:t>EN: Local deformation mapping reveals diffusion through microstructures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由于空间分辨率、采样面积和相关吞吐量之间的权衡，微观结构-性能关系，特别是基于原子扩散的塑性变形的关系，仍然是冶金领域的一个巨大挑战。为了解决这个问题，我们提出局部变形映射（LDM）作为一种高分辨率、高通量表征技术。 LDM 确定什么通过微结构局部扩散，实验上通过将纳米模具压到微结构上形成纳米棒阵列来实现。这种代表变形图的阵列可以在宏观区域 (~ cm2) 上表现出 ~10 nm2 的分辨率，在单个实验中生成多达 ~10^2 的数据点。塑料响应与微观结构的空间分离使得能够对该响应进行灵敏的化学成分映射。然后通过特此开发的分析模型将纳米棒的长度和成分转换为扩散率图。我们展示了晶界扩散率的一步确定方法，它是取向差角、温度相关变形行为以及含共晶合金中先前未知的相界内快速扩散的函数。总而言之，LDM 是一个强大的平台，可以促进对广泛温度范围内各种材料的结构-性能关系的定量理解。</w:t>
      </w:r>
    </w:p>
    <w:p>
      <w:pPr>
        <w:spacing w:before="0" w:after="200" w:lineRule="auto" w:line="276"/>
      </w:pPr>
      <w:r>
        <w:rPr>
          <w:b/>
        </w:rPr>
        <w:t xml:space="preserve">Abstract (EN): </w:t>
      </w:r>
      <w:r>
        <w:t>Microstructure–property relationships, particularly those where plastic deformation is based on atomic diffusion, remain a grand challenge in metallurgy due to the tradeoff between spatial resolution, sampling area, and the associated throughput. To address this, we propose local deformation mapping (LDM) as a high-resolution, high-throughput characterization technique. LDM determines what diffuses locally through microstructures, experimentally realized by pressing a nanomold onto a microstructure, forming a nanorod array. Such arrays, representing deformation maps, can exhibit ~10 nm² resolution across macroscopic areas ( ~ cm²), generating up to ~10¹² data points in a single experiment. The spatial separation of the plastic response from the microstructure enables sensitive chemical composition mapping of this response. Nanorods’ length and composition are then converted into diffusivity maps via a hereby developed analytic model. We demonstrate a one-step determination of grain boundary diffusivity as a function of misorientation angle, temperature-dependent deformation behavior, and previously unknown fast diffusion within interphase boundaries in eutectic-containing alloys. Altogether, LDM is a powerful platform to advance the quantitative understanding of structure–property relationships for a wide range of materials across a broad temperature range.</w:t>
      </w:r>
    </w:p>
    <w:p>
      <w:pPr>
        <w:spacing w:before="120" w:after="120"/>
      </w:pPr>
      <w:r>
        <w:rPr>
          <w:sz w:val="18"/>
        </w:rPr>
        <w:t>——————————————————————————————————————————————————————————————————————</w:t>
      </w:r>
    </w:p>
    <w:p>
      <w:pPr>
        <w:spacing w:before="160" w:after="40" w:line="240" w:lineRule="auto"/>
      </w:pPr>
      <w:r>
        <w:rPr>
          <w:b/>
        </w:rPr>
        <w:t xml:space="preserve">[87] </w:t>
      </w:r>
      <w:hyperlink r:id="rId564">
        <w:r>
          <w:rPr>
            <w:color w:val="1155CC"/>
            <w:u w:val="single"/>
          </w:rPr>
          <w:t>质体球定位酶将苯丙氨酸生物合成与玉米的翻译稳态联系起来</w:t>
        </w:r>
      </w:hyperlink>
    </w:p>
    <w:p>
      <w:pPr>
        <w:spacing w:before="0" w:after="80"/>
      </w:pPr>
      <w:r>
        <w:rPr>
          <w:i/>
          <w:sz w:val="20"/>
        </w:rPr>
        <w:t>EN: A plastoglobuli-localized enzyme links phenylalanine biosynthesis to translational homeostasis in maize</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芳香族氨基酸是许多植物代谢物的重要前体，其中苯丙氨酸 (Phe) 构成苯丙素途径的基础。在这里，我们揭示了玉米中 Phe 生物合成的关键机制，证明所有七种芳香酸脱水酶 (ADT) 都特异性定位于叶绿体中的质体球 (PG)，并且 ADT2.2 对芳香酸和预苯酸表现出高催化活性。这一发现确立了 PG 作为 Phe 合成位点的地位。遗传分析证实，只有 ADT2.2 对于植物和种子的发育是不可或缺的，其缺失会导致种子中严重的 Phe 缺乏。这种代谢阻断直接减少了 tRNAPhe-GAA 的充电，从而抑制蛋白质翻译。至关重要的是，我们发现 Phe 饥饿不成比例地影响摆动配对密码子的解码效率，增加核糖体暂停。我们的工作提供了生化和遗传学证据，证明 PG 定位的 ADT2.2 催化 Phe 合成，并揭示了氨基酸可用性和密码子特异性翻译动力学之间的联系。</w:t>
      </w:r>
    </w:p>
    <w:p>
      <w:pPr>
        <w:spacing w:before="0" w:after="200" w:lineRule="auto" w:line="276"/>
      </w:pPr>
      <w:r>
        <w:rPr>
          <w:b/>
        </w:rPr>
        <w:t xml:space="preserve">Abstract (EN): </w:t>
      </w:r>
      <w:r>
        <w:t>Aromatic amino acids are essential precursors for numerous plant metabolites, with phenylalanine (Phe) forming the basis of the phenylpropanoid pathway. Here, we reveal a critical mechanism for Phe biosynthesis in maize, demonstrating that all seven arogenate dehydratases (ADTs) are specifically localized to plastoglobuli (PGs) in chloroplasts, and ADT2.2 shows high catalytic activity towards arogenate and prephenate. This discovery establishes PGs as a site for Phe synthesis. Genetic analysis confirms that only ADT2.2 is indispensable for plant and seed development, with its loss causing a severe Phe deficiency in seeds. This metabolic blockage directly reduced the tRNAPhe-GAA charging, thereby repressing protein translation. Crucially, we uncover that Phe starvation disproportionately affects the decoding efficiency of wobble-paired codons, increasing ribosome pausing. Our work provides biochemical and genetic evidence that PGs-localized ADT2.2 catalyzes Phe synthesis and reveals a link between amino acid availability and codon-specific translation dynamics.</w:t>
      </w:r>
    </w:p>
    <w:p>
      <w:pPr>
        <w:spacing w:before="120" w:after="120"/>
      </w:pPr>
      <w:r>
        <w:rPr>
          <w:sz w:val="18"/>
        </w:rPr>
        <w:t>——————————————————————————————————————————————————————————————————————</w:t>
      </w:r>
    </w:p>
    <w:p>
      <w:pPr>
        <w:spacing w:before="160" w:after="40" w:line="240" w:lineRule="auto"/>
      </w:pPr>
      <w:r>
        <w:rPr>
          <w:b/>
        </w:rPr>
        <w:t xml:space="preserve">[88] </w:t>
      </w:r>
      <w:hyperlink r:id="rId565">
        <w:r>
          <w:rPr>
            <w:color w:val="1155CC"/>
            <w:u w:val="single"/>
          </w:rPr>
          <w:t>超灵活的光电刺激器将组织衰减的弱光转化为电信号以进行心脏重塑</w:t>
        </w:r>
      </w:hyperlink>
    </w:p>
    <w:p>
      <w:pPr>
        <w:spacing w:before="0" w:after="80"/>
      </w:pPr>
      <w:r>
        <w:rPr>
          <w:i/>
          <w:sz w:val="20"/>
        </w:rPr>
        <w:t>EN: Ultra-flexible optoelectronic stimulator converts tissue-attenuated weak light into electrical signals for cardiac remodeling</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通过光电子学对可兴奋组织进行精确的时空分辨率和无线多位点调制，为生物电子医学提供了变革潜力，但临床转化受到传统硅基设备的刚性及其在组织衰减照明下性能下降的阻碍，其中到达植入物的微弱光通常无法产生足够的刺激电压。在这里，我们报告了一种基于 (Bi,Sb)2Se3 的超灵活、高效光电刺激器 (OES)，这是一种具有由平行一维链组成的晶体结构的半导体，可实现高效的灵活性和光载流子传输。 OES在低至0.55 μW cm−2的近红外光强度下实现了强大的光电转换，量子效率高达89.60%，同时与软组织无缝贴合。在大鼠心肌梗塞模型中，OES 恢复了梗塞区域的电传导，并在弱光刺激下改善了心脏功能。正如在猪模型中所验证的那样，可扩展制造可生产大面积器件而不损失性能。这项工作介绍了一种用于低功率光下软组织调制的临床可转化光电平台，为下一代微创心脏修复技术奠定了基础。</w:t>
      </w:r>
    </w:p>
    <w:p>
      <w:pPr>
        <w:spacing w:before="0" w:after="200" w:lineRule="auto" w:line="276"/>
      </w:pPr>
      <w:r>
        <w:rPr>
          <w:b/>
        </w:rPr>
        <w:t xml:space="preserve">Abstract (EN): </w:t>
      </w:r>
      <w:r>
        <w:t>Precise spatiotemporal resolution and wireless multi-site modulation of excitable tissues via optoelectronics offers transformative potential for bioelectronic medicine, yet clinical translation is hindered by the rigidity of conventional silicon-based devices and their reduced performance under tissue-attenuated illumination, where the weak light reaching implants often fails to generate sufficient stimulation voltage. Here, we report an ultra-flexible, high-efficiency optoelectronic stimulator (OES) based on (Bi,Sb)2Se3, a semiconductor with crystal structure comprising parallel 1D chains that enable efficient flexibility and photocarrier transport. The OES achieves robust photoelectric conversion under near-infrared light intensities as low as 0.55 μW cm−2, reaching quantum efficiency of up to 89.60% while conforming seamlessly to soft tissues. In a rat model of myocardial infarction, the OES restored electrical conduction across infarcted regions and improved cardiac function under weak-light stimulation. Scalable fabrication yields large-area devices without loss of performance, as validated in a swine model. This work introduces a clinically translatable optoelectronic platform for soft-tissue modulation under low-power light, establishing a foundation for next-generation, minimally invasive cardiac repair technologies.</w:t>
      </w:r>
    </w:p>
    <w:p>
      <w:pPr>
        <w:spacing w:before="120" w:after="120"/>
      </w:pPr>
      <w:r>
        <w:rPr>
          <w:sz w:val="18"/>
        </w:rPr>
        <w:t>——————————————————————————————————————————————————————————————————————</w:t>
      </w:r>
    </w:p>
    <w:p>
      <w:pPr>
        <w:spacing w:before="160" w:after="40" w:line="240" w:lineRule="auto"/>
      </w:pPr>
      <w:r>
        <w:rPr>
          <w:b/>
        </w:rPr>
        <w:t xml:space="preserve">[89] </w:t>
      </w:r>
      <w:hyperlink r:id="rId566">
        <w:r>
          <w:rPr>
            <w:color w:val="1155CC"/>
            <w:u w:val="single"/>
          </w:rPr>
          <w:t>抗体揭示了β-和γ-疱疹病毒蛋白酶中构象锁调节二聚化</w:t>
        </w:r>
      </w:hyperlink>
    </w:p>
    <w:p>
      <w:pPr>
        <w:spacing w:before="0" w:after="80"/>
      </w:pPr>
      <w:r>
        <w:rPr>
          <w:i/>
          <w:sz w:val="20"/>
        </w:rPr>
        <w:t>EN: Antibody reveals conformational latch regulating dimerization in β- and γ-herpesvirus proteases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人类疱疹病毒 (HHV) 的复制依赖于 HHV 蛋白酶 (HHV Pr)，这是衣壳成熟所必需的酶。由于 HHV Pr 必须从无活性单体转变为活性二聚体，因此破坏二聚体是一种有前途的抗病毒策略。我们从初始 Fab 噬菌体库中分离出 Fab5，这是一种构象选择性抗体，可识别单体人巨细胞病毒蛋白酶 (HCMV) Pr。 2.6 Å 冷冻电镜结构显示，Fab5 结合了活性位点远端的“锁环”和二聚体界面，从而确保二聚体中的 C 末端尾部。 HCMV Pr 和卡波西肉瘤相关疱疹病毒 (KSHV) Pr 的结构引导诱变证实了 β- 和 γ-HHV Pr 锁存环中存在的 3 残基基序的功能重要性，验证了锁存环在二聚化和活性中的机制作用。由于闩锁环在所有 HHV Pr 中在结构上都是保守的，因此它们形成的神秘位点为变构抑制剂的开发提供了途径。</w:t>
      </w:r>
    </w:p>
    <w:p>
      <w:pPr>
        <w:spacing w:before="0" w:after="200" w:lineRule="auto" w:line="276"/>
      </w:pPr>
      <w:r>
        <w:rPr>
          <w:b/>
        </w:rPr>
        <w:t xml:space="preserve">Abstract (EN): </w:t>
      </w:r>
      <w:r>
        <w:t>Human herpesvirus (HHV) replication depends on the HHV protease (HHV Pr), an enzyme essential for capsid maturation. Because HHV Pr must transition from an inactive monomer to an active dimer, disrupting dimerization is a promising antiviral strategy. We isolate Fab5, a conformationally selective antibody from a naïve Fab-phage library that recognizes monomeric human cytomegalovirus protease (HCMV) Pr. A 2.6 Å cryo-EM structure reveals Fab5 binds a “latch loop” distal to the active site and dimer interface that secures the C-terminal tail in dimers. Structure-guided mutagenesis in both HCMV Pr and Kaposi’s Sarcoma-associated herpesvirus (KSHV) Pr confirms the functional importance of a 3-residue motif present in β- and γ-HHV Pr latch loops, validating the mechanistic role of the latch loop in dimerization and activity. Because the latch loop is structurally conserved in all HHV Prs, the cryptic sites they form present an avenue for allosteric inhibitor development.</w:t>
      </w:r>
    </w:p>
    <w:p>
      <w:pPr>
        <w:spacing w:before="120" w:after="120"/>
      </w:pPr>
      <w:r>
        <w:rPr>
          <w:sz w:val="18"/>
        </w:rPr>
        <w:t>——————————————————————————————————————————————————————————————————————</w:t>
      </w:r>
    </w:p>
    <w:p>
      <w:pPr>
        <w:spacing w:before="160" w:after="40" w:line="240" w:lineRule="auto"/>
      </w:pPr>
      <w:r>
        <w:rPr>
          <w:b/>
        </w:rPr>
        <w:t xml:space="preserve">[90] </w:t>
      </w:r>
      <w:hyperlink r:id="rId567">
        <w:r>
          <w:rPr>
            <w:color w:val="1155CC"/>
            <w:u w:val="single"/>
          </w:rPr>
          <w:t>生物多样性缓冲森林生态系统免受复合极端气候的影响</w:t>
        </w:r>
      </w:hyperlink>
    </w:p>
    <w:p>
      <w:pPr>
        <w:spacing w:before="0" w:after="80"/>
      </w:pPr>
      <w:r>
        <w:rPr>
          <w:i/>
          <w:sz w:val="20"/>
        </w:rPr>
        <w:t>EN: Biodiversity buffers forest ecosystems from compound climate extremes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森林生态系统提供了关键的生态、社会和气候效益，但其功能可能受到以同时发生的高温和干旱或水分过多为特征的复合极端现象的增加的威胁。在这里，我们利用美国森林清查数据以及基于卫星的稳定性估计，探讨森林如何抵御复合高温和潮湿极端情况并从中恢复，以及树木多样性如何调节这些反应。我们发现，复合极端情况导致森林抵抗力和恢复能力低于单个极端情况。复合极端往往会表现出协同效应，造成比单个极端的总和更大的负面影响。复合热和干旱的不稳定效应比复合热和水分过剩的不稳定效应稍强。较高的树木多样性持续提高个体和复合极端情况下的抵抗力和恢复能力。我们的研究结果表明，仅仅关注个别气候极端事件可能会低估复合极端事件的影响，并增加陆地碳循环反馈预测的不确定性，同时也强调了树木多样性在减轻未来气候条件下这些威胁方面的关键作用。</w:t>
      </w:r>
    </w:p>
    <w:p>
      <w:pPr>
        <w:spacing w:before="0" w:after="200" w:lineRule="auto" w:line="276"/>
      </w:pPr>
      <w:r>
        <w:rPr>
          <w:b/>
        </w:rPr>
        <w:t xml:space="preserve">Abstract (EN): </w:t>
      </w:r>
      <w:r>
        <w:t>Forest ecosystems provide key ecological, social, and climate benefits, yet their functions are potentially threatened by rising compound extremes characterised by simultaneous heat and drought or moisture excess. Here, we explore how forests resist and recover from compound heat and moisture extremes and how tree diversity mediates these responses, using U.S. forest inventory data along with satellite-based stability estimates. We find that compound extremes result in lower forest resistance and recovery than individual extremes. Compound extremes tend to exhibit synergistic effects, causing greater negative impacts than the sum of individual extremes. Compound heat and drought have slightly stronger destabilising effects than compound heat and moisture excess. Higher tree diversity consistently improves resistance and recovery under both individual and compound extremes. Our findings suggest that focusing solely on individual climate extremes is likely to underestimate the impacts of compound extremes and to increase uncertainty in projections of terrestrial carbon-cycle feedbacks, while also highlighting the critical role of tree diversity in mitigating these threats under future climate conditions.</w:t>
      </w:r>
    </w:p>
    <w:p>
      <w:pPr>
        <w:spacing w:before="120" w:after="120"/>
      </w:pPr>
      <w:r>
        <w:rPr>
          <w:sz w:val="18"/>
        </w:rPr>
        <w:t>——————————————————————————————————————————————————————————————————————</w:t>
      </w:r>
    </w:p>
    <w:p>
      <w:pPr>
        <w:spacing w:before="160" w:after="40" w:line="240" w:lineRule="auto"/>
      </w:pPr>
      <w:r>
        <w:rPr>
          <w:b/>
        </w:rPr>
        <w:t xml:space="preserve">[91] </w:t>
      </w:r>
      <w:hyperlink r:id="rId568">
        <w:r>
          <w:rPr>
            <w:color w:val="1155CC"/>
            <w:u w:val="single"/>
          </w:rPr>
          <w:t>定义蛋白质降解剂降解能力的定量方法</w:t>
        </w:r>
      </w:hyperlink>
    </w:p>
    <w:p>
      <w:pPr>
        <w:spacing w:before="0" w:after="80"/>
      </w:pPr>
      <w:r>
        <w:rPr>
          <w:i/>
          <w:sz w:val="20"/>
        </w:rPr>
        <w:t>EN: A quantitative approach for defining the degradability landscape of protein degraders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靶向蛋白质降解（TPD）是一种新兴的治疗方式，但多种因素如何共同决定降解效果仍知之甚少。在这里，我们提出了一个用于模拟 TPD 细胞作用机制的定量框架，允许使用实际可获得的参数来预测细胞功效。将此模型应用于 41 个目标的已发布数据，揭示了 0.1 至 10 min−1 之间的常见降解率范围，反映了 TPD 过程的特征效率。我们定义了降解性景观，它提供了感兴趣目标的降解倾向的整体特征，并作为降解器优化的路线图。我们展示了目标半衰期和 E3 水平等关键因素如何影响降解性。我们进一步量化激酶靶标的功能抑制，从而能够直接比较降解剂和小分子抑制剂。最后，我们通过系统地识别具有实现卓越降解潜力的目标来发现降解剂发现机会，以促进 TPD 转化开发。</w:t>
      </w:r>
    </w:p>
    <w:p>
      <w:pPr>
        <w:spacing w:before="0" w:after="200" w:lineRule="auto" w:line="276"/>
      </w:pPr>
      <w:r>
        <w:rPr>
          <w:b/>
        </w:rPr>
        <w:t xml:space="preserve">Abstract (EN): </w:t>
      </w:r>
      <w:r>
        <w:t>Targeted protein degradation (TPD) is an emerging therapeutic modality, but how multiple factors jointly determine degradation efficacy remains poorly understood. Here we present a quantitative framework for modeling the cellular mechanism of action of TPD, allowing for prediction of cellular efficacy with practically obtainable parameters. Applying this model to published data on 41 targets reveals a common range of degradation rate between 0.1 and 10 min−1, reflecting a characteristic efficiency of the TPD process. We define the degradability landscape, which provides a holistic characterization of the degradation propensity of a target of interest and serves as a roadmap for degrader optimization. We show how degradability is influenced by key factors such as target half-life and E3 level. We further quantify functional inhibition for kinase targets, enabling direct comparison between degrader and small molecule inhibitors. Finally, we uncover degrader discovery opportunities by systematically identifying targets with the potential to achieve superior degradation to facilitate TPD translational development.</w:t>
      </w:r>
    </w:p>
    <w:p>
      <w:pPr>
        <w:spacing w:before="120" w:after="120"/>
      </w:pPr>
      <w:r>
        <w:rPr>
          <w:sz w:val="18"/>
        </w:rPr>
        <w:t>——————————————————————————————————————————————————————————————————————</w:t>
      </w:r>
    </w:p>
    <w:p>
      <w:pPr>
        <w:spacing w:before="160" w:after="40" w:line="240" w:lineRule="auto"/>
      </w:pPr>
      <w:r>
        <w:rPr>
          <w:b/>
        </w:rPr>
        <w:t xml:space="preserve">[92] </w:t>
      </w:r>
      <w:hyperlink r:id="rId569">
        <w:r>
          <w:rPr>
            <w:color w:val="1155CC"/>
            <w:u w:val="single"/>
          </w:rPr>
          <w:t>可重构单次光谱分辨率达到 86 飞米</w:t>
        </w:r>
      </w:hyperlink>
    </w:p>
    <w:p>
      <w:pPr>
        <w:spacing w:before="0" w:after="80"/>
      </w:pPr>
      <w:r>
        <w:rPr>
          <w:i/>
          <w:sz w:val="20"/>
        </w:rPr>
        <w:t>EN: Reconfigurable single-shot spectroscopy reaching 86 femtometers resolution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单次光谱能够在单次测量中捕获整个瞬态事件，为生物医学诊断、环境监测、材料应力分析、先进制造和电信网络波动检测等不同领域的快速和非重复过程提供重要见解。尽管前景广阔，但当前的单次光谱系统从根本上受到光谱带宽、光谱分辨率和采集速度之间固有的不兼容性的限制，限制了其多功能性和更广泛的采用。在这里，我们介绍了一种可重新配置的单次光谱方法，该方法提供了光谱带宽、分辨率和采集速度的完全可编程性，从而实现了权衡的可编程导航。通过选择最佳配置，我们的方法弥补了光谱分辨率的传统限制，在 1.5 μm 波段实现了 86 飞米的破纪录分辨率，可与最先进的基于迈克尔逊的傅立叶变换光谱仪相媲美。利用这项技术，我们成功捕获了由连续（9 kHz）和突然（0.1 ms）振动引起的相移光纤布拉格光栅的快速动态光谱波动。这项创新拓宽了应用领域，并为单次光谱的商业化铺平了道路。</w:t>
      </w:r>
    </w:p>
    <w:p>
      <w:pPr>
        <w:spacing w:before="0" w:after="200" w:lineRule="auto" w:line="276"/>
      </w:pPr>
      <w:r>
        <w:rPr>
          <w:b/>
        </w:rPr>
        <w:t xml:space="preserve">Abstract (EN): </w:t>
      </w:r>
      <w:r>
        <w:t>Single-shot spectroscopy enables the capture of an entire transient event within a single measurement, providing critical insights into rapid and non-repetitive processes across diverse fields such as biomedical diagnostics, environmental monitoring, material stress analysis, advanced manufacturing, and telecommunication network fluctuation detection. Despite its promise, current single-shot spectroscopic systems are fundamentally constrained by an inherent incompatibility between spectral bandwidth, spectral resolution, and acquisition speed, limiting their versatility and broader adoption. Here, we introduce a reconfigurable single-shot spectroscopy method that offers full programmability over spectral bandwidth, resolution, and acquisition speed, enabling programmable navigation of the trade-off. By selecting optimal configurations, our approach compensates for the traditional limitations in spectral resolution, achieving a record-breaking resolution of 86 femtometers in the 1.5 μm band—comparable to state-of-the-art Michelson-based Fourier transform spectrometers. Leveraging this technique, we successfully capture rapid dynamic spectral fluctuations of phase-shift fiber Bragg gratings induced by both continuous (9 kHz) and sudden (0.1 ms) vibrations. This innovation broadens the application landscape and paves the way for the commercialization of single-shot spectroscopy.</w:t>
      </w:r>
    </w:p>
    <w:p>
      <w:pPr>
        <w:spacing w:before="120" w:after="120"/>
      </w:pPr>
      <w:r>
        <w:rPr>
          <w:sz w:val="18"/>
        </w:rPr>
        <w:t>——————————————————————————————————————————————————————————————————————</w:t>
      </w:r>
    </w:p>
    <w:p>
      <w:pPr>
        <w:spacing w:before="160" w:after="40" w:line="240" w:lineRule="auto"/>
      </w:pPr>
      <w:r>
        <w:rPr>
          <w:b/>
        </w:rPr>
        <w:t xml:space="preserve">[93] </w:t>
      </w:r>
      <w:hyperlink r:id="rId570">
        <w:r>
          <w:rPr>
            <w:color w:val="1155CC"/>
            <w:u w:val="single"/>
          </w:rPr>
          <w:t>振动强耦合效应的宏观凝聚理论</w:t>
        </w:r>
      </w:hyperlink>
    </w:p>
    <w:p>
      <w:pPr>
        <w:spacing w:before="0" w:after="80"/>
      </w:pPr>
      <w:r>
        <w:rPr>
          <w:i/>
          <w:sz w:val="20"/>
        </w:rPr>
        <w:t>EN: A macroscopic condensation theory for vibrational strong coupling effects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最近的实验证明了通过将分子集合放置在光学微腔中来改变基态化学反应速率的可能性。这种状态通常称为振动强耦合 (VSC)，通常在没有任何光源的情况下（在黑暗中）运行。 VSC 会导致反应速率常数发生变化，表现出平衡常数变化的相变类型行为，并且仅当集体拉比分裂超过阈值时才会出现该效应。现有的理论工作通常集中在单激发图像上，以振动极化子和暗态的概念为中心。我们发现，由于 VSC 的多体性质，大多数 VSC 效应可以通过形成宏观振动凝聚来解释。我们从理论上证明，通过超过临界拉比分裂，VSC 系统开始在宏观上占据一种凝聚态，我们认为这可能是 VSC 诱导效应的常见解释。</w:t>
      </w:r>
    </w:p>
    <w:p>
      <w:pPr>
        <w:spacing w:before="0" w:after="200" w:lineRule="auto" w:line="276"/>
      </w:pPr>
      <w:r>
        <w:rPr>
          <w:b/>
        </w:rPr>
        <w:t xml:space="preserve">Abstract (EN): </w:t>
      </w:r>
      <w:r>
        <w:t>Recent experiments demonstrated the possibilities of modifying ground-state chemical reaction rates by placing an ensemble of molecules in an optical microcavity. This regime is commonly referred to as Vibrational Strong Coupling (VSC), and typically operates in the absence of any light source (in the dark). VSC causes reaction rate constant modifications, exhibits phase-transition type of behavior for equilibrium constant modifications, and the effect starts only when the collective Rabi splitting surpasses a threshold. Existing theoretical work often focuses on the single excitation pictures, centered around the idea of vibrational polaritons and dark states. We find that due to the many-body nature of VSC, most of the VSC effects can be potentially explained by forming a macroscopic condensation of vibrations. We theoretically demonstrate that by surpassing a critical Rabi splitting, the VSC system starts to macroscopically occupy one condensate state, which we believe could be the common explanation for VSC-induced effects.</w:t>
      </w:r>
    </w:p>
    <w:p>
      <w:pPr>
        <w:spacing w:before="120" w:after="120"/>
      </w:pPr>
      <w:r>
        <w:rPr>
          <w:sz w:val="18"/>
        </w:rPr>
        <w:t>——————————————————————————————————————————————————————————————————————</w:t>
      </w:r>
    </w:p>
    <w:p>
      <w:pPr>
        <w:spacing w:before="160" w:after="40" w:line="240" w:lineRule="auto"/>
      </w:pPr>
      <w:r>
        <w:rPr>
          <w:b/>
        </w:rPr>
        <w:t xml:space="preserve">[94] </w:t>
      </w:r>
      <w:hyperlink r:id="rId571">
        <w:r>
          <w:rPr>
            <w:color w:val="1155CC"/>
            <w:u w:val="single"/>
          </w:rPr>
          <w:t>现场扫描光电子显微镜揭示动态电荷重新分布作为 MoS 2 中 NO 2 检测的关键机制</w:t>
        </w:r>
      </w:hyperlink>
    </w:p>
    <w:p>
      <w:pPr>
        <w:spacing w:before="0" w:after="80"/>
      </w:pPr>
      <w:r>
        <w:rPr>
          <w:i/>
          <w:sz w:val="20"/>
        </w:rPr>
        <w:t>EN: Dynamic Charge Redistribution as the Key Mechanism for NO 2 Detection in MoS 2 Revealed by In Operando Scanning Photoelectron Microscopy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72">
        <w:r>
          <w:rPr>
            <w:color w:val="1155CC"/>
            <w:u w:val="single"/>
          </w:rPr>
          <w:t>10.1021/acsami.6c04862</w:t>
        </w:r>
      </w:hyperlink>
    </w:p>
    <w:p>
      <w:pPr>
        <w:spacing w:before="0" w:after="120"/>
      </w:pPr>
      <w:r>
        <w:rPr>
          <w:b/>
        </w:rPr>
        <w:t xml:space="preserve">Notes: </w:t>
      </w:r>
      <w:r>
        <w:t>abstract_source=pubmed</w:t>
      </w:r>
    </w:p>
    <w:p>
      <w:pPr>
        <w:spacing w:before="0" w:after="80" w:lineRule="auto" w:line="276"/>
      </w:pPr>
      <w:r>
        <w:rPr>
          <w:b/>
        </w:rPr>
        <w:t xml:space="preserve">摘要（ZH）: </w:t>
      </w:r>
      <w:r>
        <w:t>二硫化钼 (MoS2) 是低功耗化学电阻二氧化氮 (NO2) 传感的有前途的候选者，其技术应用潜力引起了相当大的研究兴趣。然而，人们对传感机制仍然知之甚少，特别是关于 MoS2-NO2 相互作用的类型以及形态、缺陷率和厚度是否影响电荷重新分布机制。因此，我们研究了通过电离喷射沉积（IJD）生长的MoS2薄膜，这是一种适合大面积和工业兼容制造的技术，以及剥离的单层MoS2化学电阻，以阐明NO2引起的电阻变化的微观起源。利用受控气体传感与操作中微聚焦X射线光电子能谱和扫描光电显微镜相结合，我们将电阻调制与电子结构变化直接关联起来，这得到了密度泛函理论计算的进一步支持。原子级薄的MoS2单层和纳米结构的富含缺陷的IJD-MoS2薄膜都显示出在NO2暴露期间Mo 3d和S 2p核心能级转变为更高的结合能，这可以通过表面的局部电荷重新分布和改进的核心级屏蔽来解释，而不是净电荷转移掺杂（即自由电荷载流子转移到离域带中）和相关的能带弯曲。此外，IJD-MoS2 薄膜表现出瞬态 Mo 3d 成分，这归因于缺陷位置处的弱 Mo-O 键合，而不是永久氧化。附加组件和核心级别的转变</w:t>
      </w:r>
    </w:p>
    <w:p>
      <w:pPr>
        <w:spacing w:before="0" w:after="200" w:lineRule="auto" w:line="276"/>
      </w:pPr>
      <w:r>
        <w:rPr>
          <w:b/>
        </w:rPr>
        <w:t xml:space="preserve">Abstract (EN): </w:t>
      </w:r>
      <w:r>
        <w:t>Molybdenum disulfide (MoS2) represents a promising candidate for low-power chemoresistive nitrogen dioxide (NO2) sensing, and its potential for technological applications has generated considerable research interest. However, the sensing mechanism remains poorly understood, particularly regarding the type of MoS2-NO2 interaction and if morphology, defectivity, and thickness influence charge redistribution mechanisms. Therefore, we investigated MoS2 thin films grown by ionized jet deposition (IJD), a technique suitable for large-area and industry-compatible fabrication, alongside exfoliated monolayer MoS2 chemoresistors to elucidate the microscopic origin of NO2-induced resistance changes. Using controlled gas sensing combined with in operando micro-focused X-ray photoelectron spectroscopy and scanning photoemission microscopy, we directly correlated resistance modulation with electronic structure variations, which is further supported by density functional theory calculations. Both atomically thin MoS2 monolayers and nanostructured defect-rich IJD-MoS2 thin films showed Mo 3d and S 2p core-level shifts to higher binding energies during NO2 exposure, explained by local charge redistribution at the surface and modified core-level screening rather than net charge-transfer doping (i.e., transfer of free charge carriers into delocalized bands) and the associated band bending. In addition, IJD-MoS2 thin films exhibited a transient Mo 3d component attributable to weak Mo-O bonding at defect sites, rather than from permanent oxidation. The additional component and core-level shifts were reversible upon NO2 removal, evidencing a dynamic effect on the electronic structure. These results provide the first in operando insight into technologically scalable MoS2 chemoresistors and establish design principles for MoS2-based NO2 sensing applications.</w:t>
      </w:r>
    </w:p>
    <w:p>
      <w:pPr>
        <w:spacing w:before="120" w:after="120"/>
      </w:pPr>
      <w:r>
        <w:rPr>
          <w:sz w:val="18"/>
        </w:rPr>
        <w:t>——————————————————————————————————————————————————————————————————————</w:t>
      </w:r>
    </w:p>
    <w:p>
      <w:pPr>
        <w:spacing w:before="160" w:after="40" w:line="240" w:lineRule="auto"/>
      </w:pPr>
      <w:r>
        <w:rPr>
          <w:b/>
        </w:rPr>
        <w:t xml:space="preserve">[95] </w:t>
      </w:r>
      <w:hyperlink r:id="rId573">
        <w:r>
          <w:rPr>
            <w:color w:val="1155CC"/>
            <w:u w:val="single"/>
          </w:rPr>
          <w:t>用于靶向 siRNA 递送和协调巨噬细胞极化调节以逆转肝纤维化的金属离子纳米系统</w:t>
        </w:r>
      </w:hyperlink>
    </w:p>
    <w:p>
      <w:pPr>
        <w:spacing w:before="0" w:after="80"/>
      </w:pPr>
      <w:r>
        <w:rPr>
          <w:i/>
          <w:sz w:val="20"/>
        </w:rPr>
        <w:t>EN: Metal Ion Nanosystems for Targeted siRNA Delivery and Coordinated Macrophage Polarization Modulation for Liver Fibrosis Reversal</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74">
        <w:r>
          <w:rPr>
            <w:color w:val="1155CC"/>
            <w:u w:val="single"/>
          </w:rPr>
          <w:t>10.1021/acsami.6c04735</w:t>
        </w:r>
      </w:hyperlink>
    </w:p>
    <w:p>
      <w:pPr>
        <w:spacing w:before="0" w:after="120"/>
      </w:pPr>
      <w:r>
        <w:rPr>
          <w:b/>
        </w:rPr>
        <w:t xml:space="preserve">Notes: </w:t>
      </w:r>
      <w:r>
        <w:t>abstract_source=pubmed</w:t>
      </w:r>
    </w:p>
    <w:p>
      <w:pPr>
        <w:spacing w:before="0" w:after="80" w:lineRule="auto" w:line="276"/>
      </w:pPr>
      <w:r>
        <w:rPr>
          <w:b/>
        </w:rPr>
        <w:t xml:space="preserve">摘要（ZH）: </w:t>
      </w:r>
      <w:r>
        <w:t>RNA 疗法是治疗肝纤维化的一种有前景的途径，因为它们能够下调关键效应细胞中的细胞因子水平。然而，将 RNA 靶向递送至肝巨噬细胞仍然是一个关键障碍。在这里，基于金属离子的纳米系统被设计用于有效装载RNA并将其靶向递送至巨噬细胞。该系统通过金属离子介导的NF-κB通路有效抑制TNF-α的产生并调节巨噬细胞极化，为肝纤维化治疗提供了策略。此外，全氟化碳的掺入赋予了纳米载体储存氧气的能力，从而提高了缺氧环境下的基因传递效率。在小鼠模型中，TNF-α 水平降低至与健康小鼠相当的水平。此外，金属离子介导的 NF-κB 通路抑制可平衡巨噬细胞极化，抑制肝星状细胞 (HSC) 活化，最终逆转肝纤维化。我们的研究结果表明，同时减少 TNF-α 和调节巨噬细胞极化可以协同促进纤维化逆转。这项工作提出了一种制备纳米载体的策略，该纳米载体能够有效地递送siRNA来调节巨噬细胞并促进低氧适应，从而逆转肝纤维化。</w:t>
      </w:r>
    </w:p>
    <w:p>
      <w:pPr>
        <w:spacing w:before="0" w:after="200" w:lineRule="auto" w:line="276"/>
      </w:pPr>
      <w:r>
        <w:rPr>
          <w:b/>
        </w:rPr>
        <w:t xml:space="preserve">Abstract (EN): </w:t>
      </w:r>
      <w:r>
        <w:t>RNA therapeutics represent a promising avenue for liver fibrosis treatment, owing to their ability to downregulate cytokine levels in key effector cells. However, targeted delivery of RNA to hepatic macrophages remains a critical hurdle. Here, the metal ion-based nanosystem is designed for the efficient loading of RNA and its targeted delivery to macrophages. This system effectively inhibits TNF-α production and regulates macrophage polarization through a metal ion-mediated NF-κB pathway, offering a strategy for liver fibrosis therapy. Additionally, the incorporation of perfluorocarbon has endowed the nanocarriers with the ability to store oxygen, thereby enhancing gene delivery efficiency in hypoxic environments. In mouse models, TNF-α levels are reduced to levels comparable to those in healthy mice. Furthermore, metal ion-mediated NF-κB pathway inhibition balances macrophage polarization, suppresses hepatic stellate cell (HSC) activation, and ultimately leads to the reversal of liver fibrosis. Our findings demonstrate that concurrent reduction of TNF-α and regulation of macrophage polarization can synergistically promote fibrosis reversal. This work presents a strategy for the preparation of nanocarriers capable of efficiently delivering siRNA to regulate macrophages and promote low-oxygen adaptation, thereby reversing liver fibrosis.</w:t>
      </w:r>
    </w:p>
    <w:p>
      <w:pPr>
        <w:spacing w:before="120" w:after="120"/>
      </w:pPr>
      <w:r>
        <w:rPr>
          <w:sz w:val="18"/>
        </w:rPr>
        <w:t>——————————————————————————————————————————————————————————————————————</w:t>
      </w:r>
    </w:p>
    <w:p>
      <w:pPr>
        <w:spacing w:before="160" w:after="40" w:line="240" w:lineRule="auto"/>
      </w:pPr>
      <w:r>
        <w:rPr>
          <w:b/>
        </w:rPr>
        <w:t xml:space="preserve">[96] </w:t>
      </w:r>
      <w:hyperlink r:id="rId575">
        <w:r>
          <w:rPr>
            <w:color w:val="1155CC"/>
            <w:u w:val="single"/>
          </w:rPr>
          <w:t>NU-1000/聚合物杂化物对持久性农药的光降解</w:t>
        </w:r>
      </w:hyperlink>
    </w:p>
    <w:p>
      <w:pPr>
        <w:spacing w:before="0" w:after="80"/>
      </w:pPr>
      <w:r>
        <w:rPr>
          <w:i/>
          <w:sz w:val="20"/>
        </w:rPr>
        <w:t>EN: Persistent Pesticide Photodegradation by NU-1000/Polymer Hybrids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76">
        <w:r>
          <w:rPr>
            <w:color w:val="1155CC"/>
            <w:u w:val="single"/>
          </w:rPr>
          <w:t>10.1021/acsami.6c06244</w:t>
        </w:r>
      </w:hyperlink>
    </w:p>
    <w:p>
      <w:pPr>
        <w:spacing w:before="0" w:after="120"/>
      </w:pPr>
      <w:r>
        <w:rPr>
          <w:b/>
        </w:rPr>
        <w:t xml:space="preserve">Notes: </w:t>
      </w:r>
      <w:r>
        <w:t>abstract_source=pubmed</w:t>
      </w:r>
    </w:p>
    <w:p>
      <w:pPr>
        <w:spacing w:before="0" w:after="80" w:lineRule="auto" w:line="276"/>
      </w:pPr>
      <w:r>
        <w:rPr>
          <w:b/>
        </w:rPr>
        <w:t xml:space="preserve">摘要（ZH）: </w:t>
      </w:r>
      <w:r>
        <w:t>农业中广泛使用的持久性有机磷农药对环境和人类健康构成重大风险。在本报告中，我们评估了在NU-1000（[Zr6(μ3-O)4(μ3-OH)4(OH)4(H2O)4(TBAPy)2]，TBAPy = 1,3,6,8-四(对苯甲酸酯)芘）多孔框架内掺入带有碱性基团的有机聚合物（即聚（甲基丙烯酸甲酯）和聚（甲基丙烯酸2-二甲基氨基乙酯））的影响通过连续的氧化-水解途径光降解持久性农药苯那磷 (Fen)。 NU-1000 有效地将芬光氧化为仍然有毒的苯胺磷亚砜 (FSO)。然而，进一步转化为无毒水解产物的过程是温和的，并且仅限于碱性条件。相比之下，杂化材料保留了原始 NU-1000 的光氧化效率，同时表现出增强的结构稳定性和改善的水解活性，即使在弱酸性条件下也能有效地水解降解芬。</w:t>
      </w:r>
    </w:p>
    <w:p>
      <w:pPr>
        <w:spacing w:before="0" w:after="200" w:lineRule="auto" w:line="276"/>
      </w:pPr>
      <w:r>
        <w:rPr>
          <w:b/>
        </w:rPr>
        <w:t xml:space="preserve">Abstract (EN): </w:t>
      </w:r>
      <w:r>
        <w:t>Persistent organophosphate pesticides extensively used in agriculture present substantial risks to the environment and human health. In this report, we evaluate the impact of incorporating organic polymers bearing basic groups, namely, poly(methyl methacrylate) and poly(2-dimethylaminoethyl methacrylate), within the porous framework of NU-1000 ([Zr6(μ3-O)4(μ3-OH)4(OH)4(H2O)4(TBAPy)2], TBAPy = 1,3,6,8-tetrakis(p-benzoate)pyrene) on the photodegradation of the persistent pesticide fenamiphos (Fen) through a sequential oxidative-hydrolytic pathway. NU-1000 efficiently photooxidizes Fen to the still toxic fenamiphos sulfoxide (FSO). However, the further conversion into nontoxic hydrolytic products is moderate, and it is limited to basic conditions. By contrast, the hybrid materials preserve the photooxidation efficiency of pristine NU-1000 while exhibiting enhanced structural stability and improved hydrolytic activity, enabling effective Fen hydrolytic degradation even under mildly acidic conditions.</w:t>
      </w:r>
    </w:p>
    <w:p>
      <w:pPr>
        <w:spacing w:before="120" w:after="120"/>
      </w:pPr>
      <w:r>
        <w:rPr>
          <w:sz w:val="18"/>
        </w:rPr>
        <w:t>——————————————————————————————————————————————————————————————————————</w:t>
      </w:r>
    </w:p>
    <w:p>
      <w:pPr>
        <w:spacing w:before="160" w:after="40" w:line="240" w:lineRule="auto"/>
      </w:pPr>
      <w:r>
        <w:rPr>
          <w:b/>
        </w:rPr>
        <w:t xml:space="preserve">[97] </w:t>
      </w:r>
      <w:hyperlink r:id="rId577">
        <w:r>
          <w:rPr>
            <w:color w:val="1155CC"/>
            <w:u w:val="single"/>
          </w:rPr>
          <w:t>二元 Ge−Te 硫族化物作为无毒元素平台，通过组合工程实现极性相关的仅选择器存储器</w:t>
        </w:r>
      </w:hyperlink>
    </w:p>
    <w:p>
      <w:pPr>
        <w:spacing w:before="0" w:after="80"/>
      </w:pPr>
      <w:r>
        <w:rPr>
          <w:i/>
          <w:sz w:val="20"/>
        </w:rPr>
        <w:t>EN: Binary Ge−Te Chalcogenide as a Toxic-Element-Free Platform for Polarity-Dependent Selector-Only Memory via Composition Engineering</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78">
        <w:r>
          <w:rPr>
            <w:color w:val="1155CC"/>
            <w:u w:val="single"/>
          </w:rPr>
          <w:t>10.1021/acsami.6c07966</w:t>
        </w:r>
      </w:hyperlink>
    </w:p>
    <w:p>
      <w:pPr>
        <w:spacing w:before="0" w:after="120"/>
      </w:pPr>
      <w:r>
        <w:rPr>
          <w:b/>
        </w:rPr>
        <w:t xml:space="preserve">Notes: </w:t>
      </w:r>
      <w:r>
        <w:t>abstract_source=pubmed</w:t>
      </w:r>
    </w:p>
    <w:p>
      <w:pPr>
        <w:spacing w:before="0" w:after="80" w:lineRule="auto" w:line="276"/>
      </w:pPr>
      <w:r>
        <w:rPr>
          <w:b/>
        </w:rPr>
        <w:t xml:space="preserve">摘要（ZH）: </w:t>
      </w:r>
      <w:r>
        <w:t>对高密度和高能效存储器不断增长的需求推动了纯选择器存储器 (SOM) 的开发，作为传统一选择器一电阻器架构的简化替代方案。然而，大多数报道的 SOM 器件依赖于多组分硫族化物、缓冲层或有毒元素，这使制造变得复杂并限制了可扩展性。在这里，SOM 操作在简单的二元 Ge-Te 系统中进行了演示，没有缓冲层、界面工程或有毒元素。通过系统地调整化学计量，在显着的 SOM 行为出现的地方识别出明确的成分窗口，表现出高达 ∼1.5 V 的极性相关阈值电压偏移。基于脉冲的电测量揭示了存储窗口特性和可靠性指标之间依赖于成分的权衡，包括超过 3 × 108 应力脉冲的耐久性和优化成分中 108 s 数量级的数据保留。为了阐明 SOM 行为的物理起源，将陷阱辅助跳跃模型与透射电子显微镜和 X 射线光电子能谱相结合进行了综合分析。这些分析表明，非晶 Ge-Te 层内局部键合结构和缺陷能量的极性驱动修改导致不对称陷阱传输路径和历史相关的阈值电压。因此，这项工作强调了二元 Ge-Te 作为一种最小且无毒元素的 SOM 材料平台，为下一代存储技术提供了见解。</w:t>
      </w:r>
    </w:p>
    <w:p>
      <w:pPr>
        <w:spacing w:before="0" w:after="200" w:lineRule="auto" w:line="276"/>
      </w:pPr>
      <w:r>
        <w:rPr>
          <w:b/>
        </w:rPr>
        <w:t xml:space="preserve">Abstract (EN): </w:t>
      </w:r>
      <w:r>
        <w:t>The growing demand for high-density and energy-efficient memory has motivated the development of selector-only memory (SOM) as a simplified alternative to conventional one-selector-one-resistor architectures. However, most reported SOM devices rely on multicomponent chalcogenides, buffer layers, or toxic elements, which complicate fabrication and limit scalability. Here, SOM operation is demonstrated in a simple binary Ge-Te system without buffer layers, interfacial engineering, or toxic elements. By systematically tuning the stoichiometry, a well-defined composition window is identified where pronounced SOM behavior emerges, exhibiting a polarity-dependent threshold-voltage shift of up to ∼1.5 V. Pulse-based electrical measurements reveal a composition-dependent trade-off between memory window characteristics and reliability metrics, including endurance exceeding 3 × 108 stress pulses and data retention on the order of 108 s in optimized composition. To elucidate the physical origin of the SOM behavior, comprehensive analyses combining trap-assisted hopping modeling with transmission electron microscopy and X-ray photoelectron spectroscopy were performed. These analyses indicate that polarity-driven modifications of local bonding configurations and defect energetics within the amorphous Ge-Te layer lead to asymmetric trap transport pathways and history-dependent threshold voltages. Thus, this work highlights binary Ge-Te as a minimal and toxic-element-free SOM material platform, providing insights for next-generation memory technologies.</w:t>
      </w:r>
    </w:p>
    <w:p>
      <w:pPr>
        <w:spacing w:before="120" w:after="120"/>
      </w:pPr>
      <w:r>
        <w:rPr>
          <w:sz w:val="18"/>
        </w:rPr>
        <w:t>——————————————————————————————————————————————————————————————————————</w:t>
      </w:r>
    </w:p>
    <w:p>
      <w:pPr>
        <w:spacing w:before="160" w:after="40" w:line="240" w:lineRule="auto"/>
      </w:pPr>
      <w:r>
        <w:rPr>
          <w:b/>
        </w:rPr>
        <w:t xml:space="preserve">[98] </w:t>
      </w:r>
      <w:hyperlink r:id="rId579">
        <w:r>
          <w:rPr>
            <w:color w:val="1155CC"/>
            <w:u w:val="single"/>
          </w:rPr>
          <w:t>装载多奈哌齐的多靶点纳米系统通过激活线粒体自噬和重塑炎症微环境来治疗阿尔茨海默病</w:t>
        </w:r>
      </w:hyperlink>
    </w:p>
    <w:p>
      <w:pPr>
        <w:spacing w:before="0" w:after="80"/>
      </w:pPr>
      <w:r>
        <w:rPr>
          <w:i/>
          <w:sz w:val="20"/>
        </w:rPr>
        <w:t>EN: A Multitarget Nanosystem Loaded with Donepezil for Alzheimer’s Disease Treatment by Activating Mitophagy and Reshaping the Inflammatory Microenvironment</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80">
        <w:r>
          <w:rPr>
            <w:color w:val="1155CC"/>
            <w:u w:val="single"/>
          </w:rPr>
          <w:t>10.1021/acsami.6c05393</w:t>
        </w:r>
      </w:hyperlink>
    </w:p>
    <w:p>
      <w:pPr>
        <w:spacing w:before="0" w:after="120"/>
      </w:pPr>
      <w:r>
        <w:rPr>
          <w:b/>
        </w:rPr>
        <w:t xml:space="preserve">Notes: </w:t>
      </w:r>
      <w:r>
        <w:t>abstract_source=pubmed</w:t>
      </w:r>
    </w:p>
    <w:p>
      <w:pPr>
        <w:spacing w:before="0" w:after="80" w:lineRule="auto" w:line="276"/>
      </w:pPr>
      <w:r>
        <w:rPr>
          <w:b/>
        </w:rPr>
        <w:t xml:space="preserve">摘要（ZH）: </w:t>
      </w:r>
      <w:r>
        <w:t>从单靶点干预到多靶点协同作用的范式转变越来越被认为是阿尔茨海默病（AD）的一种有前途的治疗方法。鉴于此，开发了一种氧化应激响应纳米复合材料 RuO2-TPP/Don@BSA (RDB)，以通过“鸡尾酒策略”实现有效的 AD 治疗。该系统利用牛血清白蛋白 (BSA)，通过 gp60 受体介导的内吞作用穿过血脑屏障 (BBB)。在 AD 脑微环境中，RDB 响应 H2O2 水平升高而发生二硫键裂解，从而以刺激响应方式释放多奈哌齐 (Don) 和 RuO2-TPP。同时，RuO2-TPP从溶酶体中逃逸，靶向线粒体，中断氧化应激级联，进一步修复线粒体功能障碍并激活线粒体自噬。此外，RDB促进小胶质细胞从促炎M1表型向抗炎M2表型极化，从而重塑AD的炎症微环境。最后，RDB 在 APP/PS1 转基因 AD 小鼠中表现出显着疗效，显着降低海马 GFAP 和 Iba-1 的表达，同时显着改善认知功能障碍。总之，这些发现确立了 RDB 作为一种多靶点协同治疗系统，为治疗 AD 提供了一种有前途的策略。</w:t>
      </w:r>
    </w:p>
    <w:p>
      <w:pPr>
        <w:spacing w:before="0" w:after="200" w:lineRule="auto" w:line="276"/>
      </w:pPr>
      <w:r>
        <w:rPr>
          <w:b/>
        </w:rPr>
        <w:t xml:space="preserve">Abstract (EN): </w:t>
      </w:r>
      <w:r>
        <w:t>A paradigm shift from single-target interventions toward multitarget synergistic actions is increasingly recognized as a promising therapeutic approach for Alzheimer's disease (AD). Given this, an oxidative stress-responsive nanocomposite, RuO2-TPP/Don@BSA (RDB), was developed to enable effective AD therapy via a "cocktail strategy". Utilizing bovine serum albumin (BSA), the system crosses the blood-brain barrier (BBB) through gp60 receptor-mediated endocytosis. Within the AD brain microenvironment, RDB undergoes disulfide bond cleavage in response to elevated H2O2 levels, thereby releasing donepezil (Don) and RuO2-TPP in a stimuli-responsive manner. Meanwhile, RuO2-TPP escapes from lysosomes, targets mitochondria, and interrupts the oxidative stress cascade, further repairing mitochondrial dysfunction and activating mitophagy. Moreover, RDB promotes the polarization of microglia from the pro-inflammatory M1 phenotype to the anti-inflammatory M2 phenotype, thereby reshaping the inflammatory microenvironment of AD. Finally, RDB demonstrated significant efficacy in APP/PS1 transgenic AD mice, markedly reducing hippocampal expression of GFAP and Iba-1, concomitant with a notable improvement in cognitive dysfunction. In summary, these findings establish RDB as a multitarget synergistic therapeutic system that offers a promising strategy for the treatment of AD.</w:t>
      </w:r>
    </w:p>
    <w:p>
      <w:pPr>
        <w:spacing w:before="120" w:after="120"/>
      </w:pPr>
      <w:r>
        <w:rPr>
          <w:sz w:val="18"/>
        </w:rPr>
        <w:t>——————————————————————————————————————————————————————————————————————</w:t>
      </w:r>
    </w:p>
    <w:p>
      <w:pPr>
        <w:spacing w:before="160" w:after="40" w:line="240" w:lineRule="auto"/>
      </w:pPr>
      <w:r>
        <w:rPr>
          <w:b/>
        </w:rPr>
        <w:t xml:space="preserve">[99] </w:t>
      </w:r>
      <w:hyperlink r:id="rId581">
        <w:r>
          <w:rPr>
            <w:color w:val="1155CC"/>
            <w:u w:val="single"/>
          </w:rPr>
          <w:t>ERG 保留内皮特性以限制动脉粥样硬化</w:t>
        </w:r>
      </w:hyperlink>
    </w:p>
    <w:p>
      <w:pPr>
        <w:spacing w:before="0" w:after="80"/>
      </w:pPr>
      <w:r>
        <w:rPr>
          <w:i/>
          <w:sz w:val="20"/>
        </w:rPr>
        <w:t>EN: ERG preserves endothelial identity to limit atherosclerosis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内皮功能是防止动脉粥样硬化的保障措施，但内皮间质转化 (EndMT) 可能发生在动脉粥样硬化易发部位。内皮特性丧失如何导致动脉粥样硬化仍不清楚。在这里，我们研究了 ETS 转录因子 ERG（内皮细胞特性的关键调节因子）在动脉粥样硬化进展中的作用。诱导性内皮 Erg 缺失增加了高胆固醇血症小鼠的斑块负担。谱系追踪和单细胞转录组学表明，ERG 缺失会驱动内皮去分化、间充质命运获得以及斑块内 EndMT 细胞的迁移和扩张，从而与促动脉粥样硬化细胞相互作用。 ERG 损失还导致屏障功能早期破坏，促进正常抗动脉粥样硬化区域的脂质摄取和泡沫细胞积累。在人类动脉粥样硬化斑块中，ERG 染色质可及性和表达降低，转录变化与小鼠的转录变化相似。在培养的 EndMT 细胞中恢复 ERG 可逆转间充质程序并重建内皮特性。这些发现表明 ERG 是内皮功能的执行者，可限制 EndMT 从而限制动脉粥样硬化。</w:t>
      </w:r>
    </w:p>
    <w:p>
      <w:pPr>
        <w:spacing w:before="0" w:after="200" w:lineRule="auto" w:line="276"/>
      </w:pPr>
      <w:r>
        <w:rPr>
          <w:b/>
        </w:rPr>
        <w:t xml:space="preserve">Abstract (EN): </w:t>
      </w:r>
      <w:r>
        <w:t>Endothelial function is a safeguard against atherosclerosis, yet endothelial‑to‑mesenchymal transition (EndMT) can occur at atheroprone sites. How endothelial identity loss contributes to atherogenesis remains unclear. Here we investigated the role of the ETS transcription factor ERG, a key regulator of endothelial identity, in atheroprogression. Inducible endothelial Erg deletion increased plaque burden in hypercholesterolemic mice. Lineage tracing and single‑cell transcriptomics showed that ERG loss drove endothelial dedifferentiation, mesenchymal fate acquisition, and migration and expansion of EndMT cells within plaques, which interacted with pro‑atherogenic cells. ERG loss also caused early disruption of barrier function, promoting lipid uptake and foam cell accumulation in normally atheroresistant regions. In human atherosclerotic plaques, ERG chromatin accessibility and expression were reduced, with transcriptional changes mirroring those in mice. Restoring ERG in cultured EndMT cells reversed mesenchymal programs and re‑established endothelial identity. These findings identify ERG as an enforcer of endothelial function that restricts EndMT to limit atherosclerosis.</w:t>
      </w:r>
    </w:p>
    <w:p>
      <w:pPr>
        <w:spacing w:before="120" w:after="120"/>
      </w:pPr>
      <w:r>
        <w:rPr>
          <w:sz w:val="18"/>
        </w:rPr>
        <w:t>——————————————————————————————————————————————————————————————————————</w:t>
      </w:r>
    </w:p>
    <w:p>
      <w:pPr>
        <w:spacing w:before="160" w:after="40" w:line="240" w:lineRule="auto"/>
      </w:pPr>
      <w:r>
        <w:rPr>
          <w:b/>
        </w:rPr>
        <w:t xml:space="preserve">[100] </w:t>
      </w:r>
      <w:hyperlink r:id="rId582">
        <w:r>
          <w:rPr>
            <w:color w:val="1155CC"/>
            <w:u w:val="single"/>
          </w:rPr>
          <w:t>二维 Bi2O2Se 纳米器件中各向异性离子迁移的原子尺度机制</w:t>
        </w:r>
      </w:hyperlink>
    </w:p>
    <w:p>
      <w:pPr>
        <w:spacing w:before="0" w:after="80"/>
      </w:pPr>
      <w:r>
        <w:rPr>
          <w:i/>
          <w:sz w:val="20"/>
        </w:rPr>
        <w:t>EN: Atomic-scale mechanism of anisotropic ion migration in 2D Bi2O2Se nanodevices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二维忆阻技术的进展越来越受到对晶体各向异性如何控制离子迁移和电阻切换的有限了解的限制。 Bi2O2Se 提供了一个引人注目的模型系统，其中面内和面外器件表现出截然不同的电学行为，但这种差异的原子尺度起源仍然未知。在这里，我们使用聚焦离子束制造结合原位像差校正透射电子显微镜来设计定向定义的 Bi2O2Se 纳米器件，从而实现偏压下结构演化的同步电探测和实时成像。在密度泛函理论 (DFT) 计算的支持下，我们证明 O2- 和 Se2- 离子的各向异性迁移势垒会产生两种根本不同的转换途径。受强层间静电锁定约束的垂直场导致局部垂直迁移并形成可逆、有序导电 D-Bi2O2Se 相，从而产生突然的阈值型切换。相比之下，横向场能够实现长距离离子扩散，通过具有不断变化的 Se 浓度的拓扑序列生成扩展的 Bi/Bi4+2nSe3/Bi2O2Se 异质结构，从而产生平滑和线性的电导调制。这些结果确立了 Bi2O2Se 忆阻器中方向依赖传输和相变的微观原理。通过揭示晶体取向如何决定功能，我们的工作为定向的合理设计提供了机械基础</w:t>
      </w:r>
    </w:p>
    <w:p>
      <w:pPr>
        <w:spacing w:before="0" w:after="200" w:lineRule="auto" w:line="276"/>
      </w:pPr>
      <w:r>
        <w:rPr>
          <w:b/>
        </w:rPr>
        <w:t xml:space="preserve">Abstract (EN): </w:t>
      </w:r>
      <w:r>
        <w:t>Progress in 2D memristive technologies is increasingly constrained by a limited understanding of how crystallographic anisotropy governs ion migration and resistive switching. Bi2O2Se offers a compelling model system in which in-plane and out-of-plane devices display strikingly different electrical behaviors, yet the atomic-scale origins of this disparity remain unknown. Here, we engineer orientation-defined Bi2O2Se nanodevices using focused ion beam fabrication coupled with in situ aberration-corrected transmission electron microscopy, enabling simultaneous electrical probing and real-time imaging of structural evolution under bias. Supported by density functional theory (DFT) calculations, we demonstrate that anisotropic migration barriers for O2- and Se2- ions give rise to two fundamentally distinct switching pathways. Vertical fields, constrained by strong interlayer electrostatic locking, lead to localized vertical migration and the formation of a reversible, ordered conductive D-Bi2O2Se phase, producing abrupt, threshold-type switching. By contrast, lateral fields enable long-range ion diffusion, generating extended Bi/Bi4+2nSe3/Bi2O2Se heterostructures through a topotactic sequence with continuously evolving Se concentration, yielding smooth and linear conductance modulation. These results establish the microscopic principles that underpin direction-dependent transport and phase transformation in Bi2O2Se memristors. By revealing how crystallographic orientation dictates functionality, our work provides a mechanistic foundation for the rational design of directionally engineered 2D neuromorphic and memory systems with enhanced versatility and integration potential.</w:t>
      </w:r>
    </w:p>
    <w:p>
      <w:pPr>
        <w:spacing w:before="120" w:after="120"/>
      </w:pPr>
      <w:r>
        <w:rPr>
          <w:sz w:val="18"/>
        </w:rPr>
        <w:t>——————————————————————————————————————————————————————————————————————</w:t>
      </w:r>
    </w:p>
    <w:p>
      <w:pPr>
        <w:spacing w:before="160" w:after="40" w:line="240" w:lineRule="auto"/>
      </w:pPr>
      <w:r>
        <w:rPr>
          <w:b/>
        </w:rPr>
        <w:t xml:space="preserve">[101] </w:t>
      </w:r>
      <w:hyperlink r:id="rId583">
        <w:r>
          <w:rPr>
            <w:color w:val="1155CC"/>
            <w:u w:val="single"/>
          </w:rPr>
          <w:t>碳纤维/环氧树脂复合材料中苝二酰亚胺/氧化石墨烯异质结定制的多功能中间相：同时增强和双模式损伤监测的途径</w:t>
        </w:r>
      </w:hyperlink>
    </w:p>
    <w:p>
      <w:pPr>
        <w:spacing w:before="0" w:after="80"/>
      </w:pPr>
      <w:r>
        <w:rPr>
          <w:i/>
          <w:sz w:val="20"/>
        </w:rPr>
        <w:t>EN: Multifunctional Interphase Tailored by the Perylene Diimide/Graphene Oxide Heterojunction in Carbon Fiber/Epoxy Composites: A Route for Simultaneous Reinforcement and Dual-Mode Damage Monitoring</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84">
        <w:r>
          <w:rPr>
            <w:color w:val="1155CC"/>
            <w:u w:val="single"/>
          </w:rPr>
          <w:t>10.1021/acsami.6c07329</w:t>
        </w:r>
      </w:hyperlink>
    </w:p>
    <w:p>
      <w:pPr>
        <w:spacing w:before="0" w:after="120"/>
      </w:pPr>
      <w:r>
        <w:rPr>
          <w:b/>
        </w:rPr>
        <w:t xml:space="preserve">Notes: </w:t>
      </w:r>
      <w:r>
        <w:t>abstract_source=pubmed</w:t>
      </w:r>
    </w:p>
    <w:p>
      <w:pPr>
        <w:spacing w:before="0" w:after="80" w:lineRule="auto" w:line="276"/>
      </w:pPr>
      <w:r>
        <w:rPr>
          <w:b/>
        </w:rPr>
        <w:t xml:space="preserve">摘要（ZH）: </w:t>
      </w:r>
      <w:r>
        <w:t>碳纤维增强聚合物 (CFRP) 复合材料的结构健康监测 (SHM) 需要高度灵敏且结构兼容的传感系统。在此，通过协同共价键合和π-π相互作用在碳纤维（CF-PDI/GO）/环氧树脂（EP）复合材料中构建苝二酰亚胺/氧化石墨烯（PDI/GO）异质结设计的界面相，从而同时调整π电子传输通道和界面性质，从而开发了双模式自传感策略。 PDI/GO 异质结通过 GO 和 PDI 之间的 π-π 堆叠形成，表现出机械响应荧光“关-开”行为，这是由长程电子离域的有效电子转移驱动的。与CF-PDI相比，CF-PDI/GO表现出猝灭的荧光，同时增强了电导率和化学活性，导致CF-PDI/GO/EP复合材料的电导率提高了222.9%，界面剪切强度提高了82.5%，横向纤维束拉伸强度提高了123.9%（与CF退浆/EP相比）。在机械刺激下，在受损区域观察到明显的电阻变化和荧光“开启”信号，这是由于CF和PDI/GO异质结之间的长程π电子通道的破坏。得益于其固有的自感知机制，电阻抗断层扫描（EIT）可用于原位实时损伤可视化，与红外热成像（IRT）相比具有更高的灵敏度。这项工作提出了一种异质结支持的相间工程策略，用于同时r</w:t>
      </w:r>
    </w:p>
    <w:p>
      <w:pPr>
        <w:spacing w:before="0" w:after="200" w:lineRule="auto" w:line="276"/>
      </w:pPr>
      <w:r>
        <w:rPr>
          <w:b/>
        </w:rPr>
        <w:t xml:space="preserve">Abstract (EN): </w:t>
      </w:r>
      <w:r>
        <w:t>Structural health monitoring (SHM) of carbon fiber-reinforced polymer (CFRP) composites requires sensing systems that are both highly sensitive and structurally compatible. Herein, a dual-mode self-sensing strategy is developed by constructing a perylene diimide/graphene oxide (PDI/GO) heterojunction-engineered interphase in carbon fiber (CF-PDI/GO)/epoxy (EP) composites through synergistic covalent bonding and π-π interactions, thereby simultaneously tailoring π-electron transfer channels and interfacial properties. Formed via π-π stacking between GO and PDI, the PDI/GO heterojunction shows a mechano-responsive fluorescence "off-on" behavior driven by efficient electron transfer via long-range electron delocalization. In contrast to CF-PDI, CF-PDI/GO exhibits quenched fluorescence alongside enhanced conductivity and chemical activity, causing enhancements of 222.9% in electrical conductivity, 82.5% in interfacial shear strength, and 123.9% in transverse fiber bundle tensile strength of CF-PDI/GO/EP composites (vs CF-desized/EP). Under mechanical stimuli, an obvious electrical resistance change is observed with fluorescence "switching-on" signals at damaged regions, which is attributed to breakage of long-range π-electron channels between CF and the PDI/GO heterojunction. Benefiting from its inherent self-sensing mechanism, electrical impedance tomography (EIT) is used for in-situ and real-time damage visualization with higher sensitivity compared to infrared thermography (IRT). This work presents a heterojunction-enabled interphase engineering strategy for simultaneously reinforcing and sensing CFRP composites, offering a pathway toward next-generation smart structural materials.</w:t>
      </w:r>
    </w:p>
    <w:p>
      <w:pPr>
        <w:spacing w:before="120" w:after="120"/>
      </w:pPr>
      <w:r>
        <w:rPr>
          <w:sz w:val="18"/>
        </w:rPr>
        <w:t>——————————————————————————————————————————————————————————————————————</w:t>
      </w:r>
    </w:p>
    <w:p>
      <w:pPr>
        <w:spacing w:before="160" w:after="40" w:line="240" w:lineRule="auto"/>
      </w:pPr>
      <w:r>
        <w:rPr>
          <w:b/>
        </w:rPr>
        <w:t xml:space="preserve">[102] </w:t>
      </w:r>
      <w:hyperlink r:id="rId585">
        <w:r>
          <w:rPr>
            <w:color w:val="1155CC"/>
            <w:u w:val="single"/>
          </w:rPr>
          <w:t>丝网印刷生物炭衍生石墨烯固体接触离子选择性电极，用于水培溶液中的营养物监测</w:t>
        </w:r>
      </w:hyperlink>
    </w:p>
    <w:p>
      <w:pPr>
        <w:spacing w:before="0" w:after="80"/>
      </w:pPr>
      <w:r>
        <w:rPr>
          <w:i/>
          <w:sz w:val="20"/>
        </w:rPr>
        <w:t>EN: Screen-Printed Biochar-Derived Graphene Solid-Contact Ion-Selective Electrodes for Nutrient Monitoring in Hydroponic Solutions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86">
        <w:r>
          <w:rPr>
            <w:color w:val="1155CC"/>
            <w:u w:val="single"/>
          </w:rPr>
          <w:t>10.1021/acsami.6c08370</w:t>
        </w:r>
      </w:hyperlink>
    </w:p>
    <w:p>
      <w:pPr>
        <w:spacing w:before="0" w:after="120"/>
      </w:pPr>
      <w:r>
        <w:rPr>
          <w:b/>
        </w:rPr>
        <w:t xml:space="preserve">Notes: </w:t>
      </w:r>
      <w:r>
        <w:t>abstract_source=pubmed</w:t>
      </w:r>
    </w:p>
    <w:p>
      <w:pPr>
        <w:spacing w:before="0" w:after="80" w:lineRule="auto" w:line="276"/>
      </w:pPr>
      <w:r>
        <w:rPr>
          <w:b/>
        </w:rPr>
        <w:t xml:space="preserve">摘要（ZH）: </w:t>
      </w:r>
      <w:r>
        <w:t>基于石墨烯的固体接触离子选择性电极（SC-ISE）的可扩展制造受到对开采石墨和昂贵、能源密集型或不适合高通量生产的图案化方法的依赖的限制。在这里，我们提出了一种可持续的、可立即生产的方法，其中将源自硬木生物炭的石墨烯配制成可​​印刷油墨，并通过高通量丝网印刷进行图案化，以生产生物源石墨烯固体接触离子选择性电极（BioG-SC-ISE）。与之前基于无定形或活性炭的生物质衍生电极不同，这项工作展示了生物炭转化为与可扩展印刷兼容的类石墨烯纳米片。通过使用掺杂不同离子载体的聚氯乙烯 (PVC) 基离子选择性膜对丝网印刷电极进行功能化，我们生产了能够选择性监测六种植物营养素（K+、Na+、NH4+、Ca2+、Mg2+ 和 NO3-）的传感器。由此产生的传感器表现出接近能斯特的灵敏度，检测限在0.064和0.526 mg·L-1之间，具有较宽的传感范围（单价离子为10-6至10-1 M，Mg2+为10-5至10-1 M，Ca2+为10-5至10-2 M）。作为与应用相关的演示，K+ BioG-SC-ISE 跟踪了改良 Hoagland 配方（100%、50% 和 25% K+）中钾的逐渐消耗，实现了 57.4 ± 0.7 mV·dec-1 的灵敏度和比典型水培钾水平低近三个数量级的检测限，测量结果与电感耦合等离子体光学发射光谱非常一致</w:t>
      </w:r>
    </w:p>
    <w:p>
      <w:pPr>
        <w:spacing w:before="0" w:after="200" w:lineRule="auto" w:line="276"/>
      </w:pPr>
      <w:r>
        <w:rPr>
          <w:b/>
        </w:rPr>
        <w:t xml:space="preserve">Abstract (EN): </w:t>
      </w:r>
      <w:r>
        <w:t>Scalable manufacturing of graphene-based solid-contact ion-selective electrodes (SC-ISEs) is constrained by reliance on mined graphite and on patterning methods that are costly, energy-intensive, or poorly suited to high-throughput production. Here, we present a sustainable, manufacturing-ready approach in which graphene derived from hardwood biochar is formulated into printable inks and patterned by high-throughput screen printing to produce bioderived graphene solid-contact ion-selective electrodes (BioG-SC-ISEs). Unlike prior biomass-derived electrodes based on amorphous or activated carbons, this work demonstrates the conversion of biochar into graphene-like nanosheets compatible with scalable printing. By functionalizing the screen-printed electrodes with poly(vinyl chloride) (PVC)-based ion-selective membranes doped with distinct ionophores, we produced sensors capable of selectively monitoring six plant nutrients (K+, Na+, NH4+, Ca2+, Mg2+, and NO3-). The resulting sensors exhibited near-Nernstian sensitivities with detection limits between 0.064 and 0.526 mg·L-1 with wide sensing ranges (10-6 to 10-1 M for monovalent ions, 10-5 to 10-1 M for Mg2+, and 10-5 to 10-2 M for Ca2+). As an application-relevant demonstration, K+ BioG-SC-ISEs tracked progressive potassium depletion across modified Hoagland formulations (100%, 50%, and 25% K+), achieving a sensitivity of 57.4 ± 0.7 mV·dec-1 and a detection limit nearly three orders of magnitude below typical hydroponic potassium levels, with measurements in close agreement with inductively coupled plasma optical emission spectrometry (ICP-OES). Overall, this work establishes a sustainable strategy for scalable SC-ISE manufacturing and provides a versatile platform for high-performance ion sensing with direct implications for hydroponic agriculture, environmental monitoring, and other electrochemical sensing applications requiring selective ion detection.</w:t>
      </w:r>
    </w:p>
    <w:p>
      <w:pPr>
        <w:spacing w:before="120" w:after="120"/>
      </w:pPr>
      <w:r>
        <w:rPr>
          <w:sz w:val="18"/>
        </w:rPr>
        <w:t>——————————————————————————————————————————————————————————————————————</w:t>
      </w:r>
    </w:p>
    <w:p>
      <w:pPr>
        <w:spacing w:before="160" w:after="40" w:line="240" w:lineRule="auto"/>
      </w:pPr>
      <w:r>
        <w:rPr>
          <w:b/>
        </w:rPr>
        <w:t xml:space="preserve">[103] </w:t>
      </w:r>
      <w:hyperlink r:id="rId587">
        <w:r>
          <w:rPr>
            <w:color w:val="1155CC"/>
            <w:u w:val="single"/>
          </w:rPr>
          <w:t>Ultrabright PCNs@Coumarin 6 增强型无线侧流免疫分析平台，用于超灵敏检测牙龈卟啉单胞菌</w:t>
        </w:r>
      </w:hyperlink>
    </w:p>
    <w:p>
      <w:pPr>
        <w:spacing w:before="0" w:after="80"/>
      </w:pPr>
      <w:r>
        <w:rPr>
          <w:i/>
          <w:sz w:val="20"/>
        </w:rPr>
        <w:t>EN: Ultrabright PCNs@Coumarin 6-Enhanced Wireless Lateral Flow Immunoassay Platform for Ultrasensitive Detection of Porphyromonas gingivalis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88">
        <w:r>
          <w:rPr>
            <w:color w:val="1155CC"/>
            <w:u w:val="single"/>
          </w:rPr>
          <w:t>10.1021/acsami.6c07069</w:t>
        </w:r>
      </w:hyperlink>
    </w:p>
    <w:p>
      <w:pPr>
        <w:spacing w:before="0" w:after="120"/>
      </w:pPr>
      <w:r>
        <w:rPr>
          <w:b/>
        </w:rPr>
        <w:t xml:space="preserve">Notes: </w:t>
      </w:r>
      <w:r>
        <w:t>abstract_source=pubmed</w:t>
      </w:r>
    </w:p>
    <w:p>
      <w:pPr>
        <w:spacing w:before="0" w:after="80" w:lineRule="auto" w:line="276"/>
      </w:pPr>
      <w:r>
        <w:rPr>
          <w:b/>
        </w:rPr>
        <w:t xml:space="preserve">摘要（ZH）: </w:t>
      </w:r>
      <w:r>
        <w:t>牙龈卟啉单胞菌（Pg）是牙周病的主要病原体，与多种全身性疾病有关。然而，传统方法存在灵敏度低、检测时间长、流程复杂、设备昂贵等核心瓶颈。本研究基于荧光纳米DNA步行器-微电子技术的深度融合，开发了超灵敏无线侧流免疫分析平台（WLFIAP）。合成了一种新型荧光金属有机框架（多孔配位网络@香豆素6纳米复合材料，PCNP6），其荧光强度比商业PCN高约16.95倍，并且荧光寿命显着延长。具有出色运动动力学和连续性的四足 DNA walker 通过 Mg2+ 依赖性 DNAzyme 活性进一步放大了荧光信号。 WLFIAP 依靠自主研发的无线 LFIA 分析仪快速、准确地判读试纸条，实现了 Pg 的较宽线性检测范围（8-8 × 107 CFU/mL），检测限低至 5 CFU/mL。使用29个临床唾液样本进行的验证证实，WLFIAP具有出色的准确性和较强的抗干扰能力，同时比聚合酶链式反应成本显着降低，操作更方便。总之，WLFIAP 是一个强大且多功能的 Pg 即时检测 (POCT) 平台，支持椅旁诊断、家庭自我检测和大规模社区筛查。</w:t>
      </w:r>
    </w:p>
    <w:p>
      <w:pPr>
        <w:spacing w:before="0" w:after="200" w:lineRule="auto" w:line="276"/>
      </w:pPr>
      <w:r>
        <w:rPr>
          <w:b/>
        </w:rPr>
        <w:t xml:space="preserve">Abstract (EN): </w:t>
      </w:r>
      <w:r>
        <w:t>Porphyromonas gingivalis (Pg), a keystone pathogen of periodontal disease, is associated with multiple systemic diseases. However, traditional methods have core bottlenecks, such as low sensitivity, long detection times, complex procedures, and expensive equipment. In this study, an ultrasensitive wireless lateral flow immunoassay platform (WLFIAP) was developed based on the deep integration of fluorescent nano-DNA walker-microelectronics technology. A novel fluorescent metal-organic framework (porous coordination network@coumarin 6 nanocomposites, PCNP6) was synthesized, which showed ∼16.95-fold higher fluorescence intensity than commercial PCNs and had a significantly prolonged fluorescence lifetime. The quadruped DNA walker with excellent locomotion dynamics and continuity further amplified the fluorescence signal through Mg2+-dependent DNAzyme activity. Relying on a self-developed wireless LFIA analyzer for fast and accurate interpretation of test strips, the WLFIAP achieved a wide linear detection range for Pg (8-8 × 107 CFU/mL) with a limit of detection as low as 5 CFU/mL. Validation using 29 clinical saliva samples confirmed that the WLFIAP has excellent accuracy and strong anti-interference capability, while being significantly less costly and more operationally convenient than polymerase chain reaction. In conclusion, the WLFIAP serves as a powerful and versatile platform for point-of-care testing (POCT) of Pg, supporting chair-side diagnosis, at-home self-testing, and large-scale community screenings.</w:t>
      </w:r>
    </w:p>
    <w:p>
      <w:pPr>
        <w:spacing w:before="120" w:after="120"/>
      </w:pPr>
      <w:r>
        <w:rPr>
          <w:sz w:val="18"/>
        </w:rPr>
        <w:t>——————————————————————————————————————————————————————————————————————</w:t>
      </w:r>
    </w:p>
    <w:p>
      <w:pPr>
        <w:spacing w:before="160" w:after="40" w:line="240" w:lineRule="auto"/>
      </w:pPr>
      <w:r>
        <w:rPr>
          <w:b/>
        </w:rPr>
        <w:t xml:space="preserve">[104] </w:t>
      </w:r>
      <w:hyperlink r:id="rId589">
        <w:r>
          <w:rPr>
            <w:color w:val="1155CC"/>
            <w:u w:val="single"/>
          </w:rPr>
          <w:t>具有互穿聚合物网络的动态交联介电弹性体，可在低电场下实现高驱动应变</w:t>
        </w:r>
      </w:hyperlink>
    </w:p>
    <w:p>
      <w:pPr>
        <w:spacing w:before="0" w:after="80"/>
      </w:pPr>
      <w:r>
        <w:rPr>
          <w:i/>
          <w:sz w:val="20"/>
        </w:rPr>
        <w:t>EN: Dynamically Crosslinked Dielectric Elastomers with Interpenetrating Polymer Networks for High-Actuation Strain at Low Electric Fields</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90">
        <w:r>
          <w:rPr>
            <w:color w:val="1155CC"/>
            <w:u w:val="single"/>
          </w:rPr>
          <w:t>10.1021/acsami.6c08526</w:t>
        </w:r>
      </w:hyperlink>
    </w:p>
    <w:p>
      <w:pPr>
        <w:spacing w:before="0" w:after="120"/>
      </w:pPr>
      <w:r>
        <w:rPr>
          <w:b/>
        </w:rPr>
        <w:t xml:space="preserve">Notes: </w:t>
      </w:r>
      <w:r>
        <w:t>abstract_source=pubmed</w:t>
      </w:r>
    </w:p>
    <w:p>
      <w:pPr>
        <w:spacing w:before="0" w:after="80" w:lineRule="auto" w:line="276"/>
      </w:pPr>
      <w:r>
        <w:rPr>
          <w:b/>
        </w:rPr>
        <w:t xml:space="preserve">摘要（ZH）: </w:t>
      </w:r>
      <w:r>
        <w:t>介电弹性体（DE）由于其高能量密度和机电转换效率而在软机器人和生物医学工程领域引起了广泛关注。然而，由于机电不稳定性，在低电场下实现大驱动应变仍然是一个重大挑战。在此，我们提出了一种互穿聚合物网络（IPN）策略，该策略将源自含有动态二硫键的聚氨酯-脲弹性体（PUUDS）的物理交联与源自聚（乙二醇）二甲基丙烯酸酯（PEGDMA）的共价交联相结合。 IPN 交联弹性体具有较低的初始杨氏模量 (1.05 MPa)，在小应变下易于变形，在中等应变下具有明显的应变硬化，无需预拉伸即可有效抑制机电不稳定性。通过优化交联剂含量和分子量，所得弹性体在20 MV/m的低电场下表现出48.7%的高驱动面积应变，比仅物理交联网络的弹性体高12.8倍。此外，优化后的弹性体实现了优异的综合性能，包括高介电常数、低机械和介电损耗以及更高的击穿强度。这项工作为低电压、大应变介电弹性体致动器（DEA）提供了一条有前途的弹性体设计路线。</w:t>
      </w:r>
    </w:p>
    <w:p>
      <w:pPr>
        <w:spacing w:before="0" w:after="200" w:lineRule="auto" w:line="276"/>
      </w:pPr>
      <w:r>
        <w:rPr>
          <w:b/>
        </w:rPr>
        <w:t xml:space="preserve">Abstract (EN): </w:t>
      </w:r>
      <w:r>
        <w:t>Dielectric elastomers (DEs) have garnered significant attention in soft robotics and biomedical engineering due to their high-energy density and electromechanical conversion efficiency. However, achieving large actuation strains under low electric fields remains a major challenge due to electromechanical instability. Herein, we propose an interpenetrating polymer network (IPN) strategy that combines physical crosslinking derived from a polyurethane-urea elastomer containing dynamic disulfide bonds (PUUDS) with covalent crosslinking from poly(ethylene glycol) dimethacrylate (PEGDMA). The IPN crosslinked elastomer shows a low initial Young's modulus (1.05 MPa) for facile deformation at small strains and pronounced strain hardening at moderate strains to effectively suppress electromechanical instability without prestretching. By optimizing the crosslinker content and molecular weight, the resulting elastomer exhibits a high-actuation area strain of 48.7% under a low electric field of 20 MV/m, which is 12.8 times higher than that of the elastomer with only a physically crosslinked network. In addition, the optimized elastomer achieves excellent overall performance, including high dielectric constant, low mechanical and dielectric losses, and improved breakdown strength. This work provides a promising elastomer design route for low-voltage, large-strain dielectric elastomer actuators (DEAs).</w:t>
      </w:r>
    </w:p>
    <w:p>
      <w:pPr>
        <w:spacing w:before="120" w:after="120"/>
      </w:pPr>
      <w:r>
        <w:rPr>
          <w:sz w:val="18"/>
        </w:rPr>
        <w:t>——————————————————————————————————————————————————————————————————————</w:t>
      </w:r>
    </w:p>
    <w:p>
      <w:pPr>
        <w:spacing w:before="160" w:after="40" w:line="240" w:lineRule="auto"/>
      </w:pPr>
      <w:r>
        <w:rPr>
          <w:b/>
        </w:rPr>
        <w:t xml:space="preserve">[105] </w:t>
      </w:r>
      <w:hyperlink r:id="rId591">
        <w:r>
          <w:rPr>
            <w:color w:val="1155CC"/>
            <w:u w:val="single"/>
          </w:rPr>
          <w:t>用于双模态 1 H/ 19 F MRI 引导光动力肿瘤治疗的生物矿化钆纳米颗粒</w:t>
        </w:r>
      </w:hyperlink>
    </w:p>
    <w:p>
      <w:pPr>
        <w:spacing w:before="0" w:after="80"/>
      </w:pPr>
      <w:r>
        <w:rPr>
          <w:i/>
          <w:sz w:val="20"/>
        </w:rPr>
        <w:t>EN: Biomineralization-Derived Gadolinium Nanoparticles for Dual-Modal 1 H/ 19 F MRI-Guided Photodynamic Tumor Therapy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92">
        <w:r>
          <w:rPr>
            <w:color w:val="1155CC"/>
            <w:u w:val="single"/>
          </w:rPr>
          <w:t>10.1021/acsami.6c08029</w:t>
        </w:r>
      </w:hyperlink>
    </w:p>
    <w:p>
      <w:pPr>
        <w:spacing w:before="0" w:after="120"/>
      </w:pPr>
      <w:r>
        <w:rPr>
          <w:b/>
        </w:rPr>
        <w:t xml:space="preserve">Notes: </w:t>
      </w:r>
      <w:r>
        <w:t>abstract_source=pubmed</w:t>
      </w:r>
    </w:p>
    <w:p>
      <w:pPr>
        <w:spacing w:before="0" w:after="80" w:lineRule="auto" w:line="276"/>
      </w:pPr>
      <w:r>
        <w:rPr>
          <w:b/>
        </w:rPr>
        <w:t xml:space="preserve">摘要（ZH）: </w:t>
      </w:r>
      <w:r>
        <w:t>传统 1H MRI 与异核 19F MRI 的集成使得能够使用单一仪器同时采集互补的解剖和分子成像信息。在这里，我们报告了一种基于通过仿生矿化策略合成的钆白蛋白（Gd-BSA）纳米结构的 T1-T2 双模态 MRI 平台。为了赋予多功能性，将全氟五苯基-15-冠-5醚（PFCE）和光敏剂IR780共封装，产生治疗诊断探针IR780@PFCE@Gd-BSA（IPGB）。 IPGB在临床和临床前MRI系统（1.5、3.0和9.4 T）上表现出强烈的19F MRI信号和T1-T2对比度增强，证实了其1H/19F多模态成像的潜力。除了成像之外，与免费的 IR780 相比，IPGB 还表现出卓越的光动力治疗 (PDT) 功效。在体内，IPGB实现了长期保留的被动肿瘤积累，实现了高分辨率多模态MRI，并在PDT后显着抑制了乳腺肿瘤的生长。总的来说，这些结果凸显了 IPGB 作为一种可行的多功能纳米平台，可用于癌症诊断、实时多模态成像和图像引导治疗。</w:t>
      </w:r>
    </w:p>
    <w:p>
      <w:pPr>
        <w:spacing w:before="0" w:after="200" w:lineRule="auto" w:line="276"/>
      </w:pPr>
      <w:r>
        <w:rPr>
          <w:b/>
        </w:rPr>
        <w:t xml:space="preserve">Abstract (EN): </w:t>
      </w:r>
      <w:r>
        <w:t>The integration of conventional 1H MRI with heteronuclear 19F MRI enables the concurrent acquisition of complementary anatomical and molecular imaging information using a single instrument. Here, we report a T1-T2 dual-modal MRI platform based on gadolinium-albumin (Gd-BSA) nanostructures synthesized through a biomimetic mineralization strategy. To endow multifunctionality, perfluoropentaphenyl-15-crown-5 ether (PFCE) and the photosensitizer IR780 were coencapsulated, yielding the theranostic probe IR780@PFCE@Gd-BSA (IPGB). IPGB exhibited strong 19F MRI signals and T1-T2 contrast enhancement on clinical and preclinical MRI systems (1.5, 3.0, and 9.4 T), confirming its potential for 1H/19F multimodal imaging. Beyond imaging, IPGB exhibited superior photodynamic therapy (PDT) efficacy compared with free IR780. In vivo, IPGB achieved passive tumor accumulation with prolonged retention, enabled high-resolution multimodal MRI, and significantly suppressed breast tumor growth after PDT. Collectively, these results highlight IPGB as a viable multifunctional nanoplatform for cancer diagnosis, real-time multimodal imaging, and image-guided therapy.</w:t>
      </w:r>
    </w:p>
    <w:p>
      <w:pPr>
        <w:spacing w:before="120" w:after="120"/>
      </w:pPr>
      <w:r>
        <w:rPr>
          <w:sz w:val="18"/>
        </w:rPr>
        <w:t>——————————————————————————————————————————————————————————————————————</w:t>
      </w:r>
    </w:p>
    <w:p>
      <w:pPr>
        <w:spacing w:before="160" w:after="40" w:line="240" w:lineRule="auto"/>
      </w:pPr>
      <w:r>
        <w:rPr>
          <w:b/>
        </w:rPr>
        <w:t xml:space="preserve">[106] </w:t>
      </w:r>
      <w:hyperlink r:id="rId593">
        <w:r>
          <w:rPr>
            <w:color w:val="1155CC"/>
            <w:u w:val="single"/>
          </w:rPr>
          <w:t>肿瘤微环境响应性细胞膜包被的卵黄壳纳米复合材料可实现实体瘤和白血病的联合治疗</w:t>
        </w:r>
      </w:hyperlink>
    </w:p>
    <w:p>
      <w:pPr>
        <w:spacing w:before="0" w:after="80"/>
      </w:pPr>
      <w:r>
        <w:rPr>
          <w:i/>
          <w:sz w:val="20"/>
        </w:rPr>
        <w:t>EN: Tumor-Microenvironment-Responsive Cell-Membrane-Coated Yolk-Shell Nanocomposites Enable Combination Therapy in Solid Tumors and Leukemia</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94">
        <w:r>
          <w:rPr>
            <w:color w:val="1155CC"/>
            <w:u w:val="single"/>
          </w:rPr>
          <w:t>10.1021/acsami.6c08325</w:t>
        </w:r>
      </w:hyperlink>
    </w:p>
    <w:p>
      <w:pPr>
        <w:spacing w:before="0" w:after="120"/>
      </w:pPr>
      <w:r>
        <w:rPr>
          <w:b/>
        </w:rPr>
        <w:t xml:space="preserve">Notes: </w:t>
      </w:r>
      <w:r>
        <w:t>abstract_source=pubmed</w:t>
      </w:r>
    </w:p>
    <w:p>
      <w:pPr>
        <w:spacing w:before="0" w:after="80" w:lineRule="auto" w:line="276"/>
      </w:pPr>
      <w:r>
        <w:rPr>
          <w:b/>
        </w:rPr>
        <w:t xml:space="preserve">摘要（ZH）: </w:t>
      </w:r>
      <w:r>
        <w:t>传统的化疗药物经常受到脱靶毒性和次优治疗结果的限制。利用细胞膜伪装的纳米药物为精确药物输送和多模式联合治疗提供了一种有前途的策略。在此，我们设计了一种肿瘤微环境响应性细胞膜涂层纳米复合材料（命名为ZnO2@MO-D@Mn-CeO2@CM），它由封装在载药介孔有机二氧化硅（MO-D）内的过氧化锌（ZnO2）核心组成，其中D是用于4T1乳腺癌模型的阿霉素和用于C1498的柔红霉素白血病模型）层，中孔由锰掺杂的氧化铈（Mn-CeO2）纳米粒子控制，并涂有同源细胞膜（CM）。这种纳米复合材料能够在酸性条件下和升高的谷胱甘肽 (GSH) 存在下释放治疗成分。它通过整合化疗、增强化学动力学疗法（CDT）、铁死亡诱导和免疫调节来促进联合治疗。我们的结果表明，这种纳米复合材料可以有效抑制 4T1 实体瘤和 C1498 白血病模型的进展，证明其作为强大的组合策略的潜力。</w:t>
      </w:r>
    </w:p>
    <w:p>
      <w:pPr>
        <w:spacing w:before="0" w:after="200" w:lineRule="auto" w:line="276"/>
      </w:pPr>
      <w:r>
        <w:rPr>
          <w:b/>
        </w:rPr>
        <w:t xml:space="preserve">Abstract (EN): </w:t>
      </w:r>
      <w:r>
        <w:t>Conventional chemotherapeutic agents are frequently limited by off-target toxicity and suboptimal therapeutic outcomes. Nanomedicines utilizing cell membrane camouflage provide a promising strategy for precise drug delivery and multimodal combination therapy. Herein, we designed a tumor-microenvironment-responsive cell-membrane-coated nanocomposite (designated as ZnO2@MO-D@Mn-CeO2@CM), which consists of a zinc peroxide (ZnO2) core encapsulated within a drug-loaded mesoporous organosilica (MO-D, where D is doxorubicin for the 4T1 breast cancer model and daunorubicin for the C1498 leukemia model) layer, with the mesopores gated by manganese-doped cerium oxide (Mn-CeO2) nanoparticles, and coated with a homologous cell membrane (CM). This nanocomposite enables the release of therapeutic components under acidic conditions and in the presence of elevated glutathione (GSH). It facilitates a combination therapy by integrating chemotherapy, enhanced chemodynamic therapy (CDT), ferroptosis induction, and immunomodulation. Our results demonstrate that this nanocomposite effectively suppresses the progression in 4T1 solid tumor and C1498 leukemia models, demonstrating its potential as a robust combinatorial strategy.</w:t>
      </w:r>
    </w:p>
    <w:p>
      <w:pPr>
        <w:spacing w:before="120" w:after="120"/>
      </w:pPr>
      <w:r>
        <w:rPr>
          <w:sz w:val="18"/>
        </w:rPr>
        <w:t>——————————————————————————————————————————————————————————————————————</w:t>
      </w:r>
    </w:p>
    <w:p>
      <w:pPr>
        <w:spacing w:before="160" w:after="40" w:line="240" w:lineRule="auto"/>
      </w:pPr>
      <w:r>
        <w:rPr>
          <w:b/>
        </w:rPr>
        <w:t xml:space="preserve">[107] </w:t>
      </w:r>
      <w:hyperlink r:id="rId595">
        <w:r>
          <w:rPr>
            <w:color w:val="1155CC"/>
            <w:u w:val="single"/>
          </w:rPr>
          <w:t>使用具有工程结晶度的 PtBi 合金的体自旋轨道扭矩驱动自旋霍尔纳米振荡器</w:t>
        </w:r>
      </w:hyperlink>
    </w:p>
    <w:p>
      <w:pPr>
        <w:spacing w:before="0" w:after="80"/>
      </w:pPr>
      <w:r>
        <w:rPr>
          <w:i/>
          <w:sz w:val="20"/>
        </w:rPr>
        <w:t>EN: Bulk Spin–Orbit Torque-Driven Spin Hall Nano-Oscillators Using PtBi Alloys with Engineered Crystallinity</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596">
        <w:r>
          <w:rPr>
            <w:color w:val="1155CC"/>
            <w:u w:val="single"/>
          </w:rPr>
          <w:t>10.1021/acsami.6c06092</w:t>
        </w:r>
      </w:hyperlink>
    </w:p>
    <w:p>
      <w:pPr>
        <w:spacing w:before="0" w:after="120"/>
      </w:pPr>
      <w:r>
        <w:rPr>
          <w:b/>
        </w:rPr>
        <w:t xml:space="preserve">Notes: </w:t>
      </w:r>
      <w:r>
        <w:t>abstract_source=pubmed</w:t>
      </w:r>
    </w:p>
    <w:p>
      <w:pPr>
        <w:spacing w:before="0" w:after="80" w:lineRule="auto" w:line="276"/>
      </w:pPr>
      <w:r>
        <w:rPr>
          <w:b/>
        </w:rPr>
        <w:t xml:space="preserve">摘要（ZH）: </w:t>
      </w:r>
      <w:r>
        <w:t>自旋霍尔纳米振荡器（SHNO）中的自旋轨道扭矩驱动的自动振荡为神经形态计算和高频技术的节能纳米级微波设备提供了一条有前途的途径。实现稳健的振荡需要降低阈值电流 (Ith)，该阈值电流由自旋霍尔效率 (θSH) 控制。增强 θSH 的传统方法通常需要权衡，例如增加电阻率和界面效应。在这里，我们通过晶体学工程证明了 PtBi 合金中体自旋霍尔效应的显着增强，从直流偏置自旋扭矩铁磁共振中提取，θSH 从 Pt100.0Bi0.0 中的 0.07 增加到 Pt94.0Bi6.0 中的 0.24 和 Pt91.3Bi8.7 中的 0.19，增加了 3 倍。这种增强是由体占主导的外在侧跳散射引起的。相应地，基于Co40Fe40B20(3 nm)/Pt94.0Bi6.0(4 nm)和Co40Fe40B20(3 nm)/Pt91.3Bi8.7(4 nm)的100 nm SHNOs中Ith分别降低了42%和32%。该器件具有更窄的线宽（∼25 MHz）、增强的品质因数（350 ≤ Q ≤ 550，比 Pt (Pt100.0Bi0.0) 高 ∼4 倍），并且阈值功率降低了 61.6%。这些发现将 PtBi 合金确立为高效的自旋霍尔材料，能够降低基于 SHNO 的神经形态和记忆技术的功耗。</w:t>
      </w:r>
    </w:p>
    <w:p>
      <w:pPr>
        <w:spacing w:before="0" w:after="200" w:lineRule="auto" w:line="276"/>
      </w:pPr>
      <w:r>
        <w:rPr>
          <w:b/>
        </w:rPr>
        <w:t xml:space="preserve">Abstract (EN): </w:t>
      </w:r>
      <w:r>
        <w:t>Spin-orbit-torque-driven auto-oscillations in spin Hall nano-oscillators (SHNOs) provide a promising route toward energy-efficient, nanoscale microwave devices for neuromorphic computing and high-frequency technologies. Achieving robust oscillations requires lowering the threshold current (Ith), governed by the spin Hall efficiency (θSH). Conventional approaches to enhance θSH often involve trade-offs, such as increased resistivity and interfacial effects. Here, we demonstrate a pronounced enhancement of the bulk spin Hall effect in PtBi alloys via crystallographic engineering, achieving a 3-fold increase in θSH from 0.07 in Pt100.0Bi0.0 to 0.24 in Pt94.0Bi6.0 and 0.19 in Pt91.3Bi8.7, extracted from DC-bias spin-torque ferromagnetic resonance. The enhancement arises from bulk-dominated extrinsic side-jump scattering. Correspondingly, Ith is reduced by 42% and 32% in 100 nm SHNOs based on Co40Fe40B20(3 nm)/Pt94.0Bi6.0(4 nm) and Co40Fe40B20(3 nm)/Pt91.3Bi8.7(4 nm), respectively. The devices exhibit narrower linewidths (∼25 MHz), enhanced quality factors (350 ≤ Q ≤ 550, ∼4× higher than Pt (Pt100.0Bi0.0)), and a 61.6% reduction in threshold power. These findings establish PtBi alloys as efficient spin Hall materials, enabling reduced power consumption for SHNO-based neuromorphic and memory technologies.</w:t>
      </w:r>
    </w:p>
    <w:p>
      <w:pPr>
        <w:spacing w:before="120" w:after="120"/>
      </w:pPr>
      <w:r>
        <w:rPr>
          <w:sz w:val="18"/>
        </w:rPr>
        <w:t>——————————————————————————————————————————————————————————————————————</w:t>
      </w:r>
    </w:p>
    <w:p>
      <w:pPr>
        <w:spacing w:before="160" w:after="40" w:line="240" w:lineRule="auto"/>
      </w:pPr>
      <w:r>
        <w:rPr>
          <w:b/>
        </w:rPr>
        <w:t xml:space="preserve">[108] </w:t>
      </w:r>
      <w:hyperlink r:id="rId597">
        <w:r>
          <w:rPr>
            <w:color w:val="1155CC"/>
            <w:u w:val="single"/>
          </w:rPr>
          <w:t>马克·A·拉特纳 (1942–2026)</w:t>
        </w:r>
      </w:hyperlink>
    </w:p>
    <w:p>
      <w:pPr>
        <w:spacing w:before="0" w:after="80"/>
      </w:pPr>
      <w:r>
        <w:rPr>
          <w:i/>
          <w:sz w:val="20"/>
        </w:rPr>
        <w:t>EN: Mark A. Ratner (1942–2026)</w:t>
      </w:r>
    </w:p>
    <w:p>
      <w:pPr>
        <w:spacing w:before="0" w:after="120"/>
      </w:pPr>
      <w:r>
        <w:rPr>
          <w:b/>
        </w:rPr>
        <w:t xml:space="preserve">Source: </w:t>
      </w:r>
      <w:r>
        <w:t>Nature Nanotechnology</w:t>
      </w:r>
      <w:r>
        <w:t xml:space="preserve">    </w:t>
      </w:r>
      <w:r>
        <w:rPr>
          <w:b/>
        </w:rPr>
        <w:t xml:space="preserve">Pub date: </w:t>
      </w:r>
      <w:r>
        <w:t>2026-07-13 00:00:00+00:00</w:t>
      </w:r>
      <w:r>
        <w:t xml:space="preserve">    </w:t>
      </w:r>
      <w:r>
        <w:rPr>
          <w:b/>
        </w:rPr>
        <w:t xml:space="preserve">DOI: </w:t>
      </w:r>
      <w:hyperlink r:id="rId598">
        <w:r>
          <w:rPr>
            <w:color w:val="1155CC"/>
            <w:u w:val="single"/>
          </w:rPr>
          <w:t>10.1038/s41565-026-02223-z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599">
        <w:r>
          <w:rPr>
            <w:color w:val="1155CC"/>
            <w:u w:val="single"/>
          </w:rPr>
          <w:t>农药多样性驱动土壤中抗生素抗性基因富集的不同机制</w:t>
        </w:r>
      </w:hyperlink>
    </w:p>
    <w:p>
      <w:pPr>
        <w:spacing w:before="0" w:after="80"/>
      </w:pPr>
      <w:r>
        <w:rPr>
          <w:i/>
          <w:sz w:val="20"/>
        </w:rPr>
        <w:t>EN: Divergent mechanisms of active antibiotic resistance gene enrichment in soil driven by pesticide diversity</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抗生素耐药性是一个不断升级的全球威胁，土壤成为抗生素耐药性基因 (ARG) 传播的储存库和渠道。农业中农药的使用会导致 ARG 扩散，约 60% 的农业土壤含有多种农药残留。然而，农药多样性如何影响活性微生物种群（活性 ARG）中的 ARG 动态仍不清楚。在这里，我们通过整合生物正交非规范氨基酸标签（BONCAT）、荧光激活细胞分选（FACS）和宏基因组学的长期田间实验评估了农药多样性对活性土壤ARG的影响。我们发现，相对于未经处理的对照，低和高农药多样性均显着增加了活性 ARG 丰度，而总 ARG 水平基本保持不变。潜在机制因农药多样性而异。在多样性较低的情况下，鲍曼不动杆菌中通过外排泵进行主动 ARG 共选择是一个突出的机制。通过培养实验验证，在高多样性下，活性氧和 SOS 反应的升高可促进活性 ARG 的水平基因转移。这些研究结果表明，增加农药多样性会加速活性抗药性基因的出现和传播，突出表明需要制定综合农药管理战略，考虑施用强度和多样性，以减轻“同一个健康”框架下的抗药性风险。</w:t>
      </w:r>
    </w:p>
    <w:p>
      <w:pPr>
        <w:spacing w:before="0" w:after="200" w:lineRule="auto" w:line="276"/>
      </w:pPr>
      <w:r>
        <w:rPr>
          <w:b/>
        </w:rPr>
        <w:t xml:space="preserve">Abstract (EN): </w:t>
      </w:r>
      <w:r>
        <w:t>Antimicrobial resistance is an escalating global threat, with soils serving as reservoirs and conduits for the dissemination of antibiotic resistance genes (ARGs). Pesticide use in agriculture contributes to ARG proliferation, and ~60% of agricultural soils contain multiple pesticide residues. However, how pesticide diversity influences ARG dynamics in active microbial populations (active ARGs) remains unclear. Here, we evaluate the effects of pesticide diversity on active soil ARGs through a long-term field experiment integrating bioorthogonal non-canonical amino acid tagging (BONCAT), fluorescence-activated cell sorting (FACS), and metagenomics. We show that both low and high pesticide diversity significantly increase active ARG abundance relative to untreated control, whereas total ARG levels remain largely unchanged. The underlying mechanisms differ with pesticide diversity. At low diversity, active ARG co-selection via efflux pumps in Acinetobacter baumannii is a prominent mechanism. At high diversity, elevated reactive oxygen species and SOS responses promote horizontal gene transfer of active ARGs, as validated by culture experiments. These findings demonstrate that increasing pesticide diversity accelerates the emergence and dissemination of active ARGs, highlighting the need for integrated pesticide management strategies that consider both application intensity and diversity to mitigate resistance risks under the One Health framework.</w:t>
      </w:r>
    </w:p>
    <w:p>
      <w:pPr>
        <w:spacing w:before="120" w:after="120"/>
      </w:pPr>
      <w:r>
        <w:rPr>
          <w:sz w:val="18"/>
        </w:rPr>
        <w:t>——————————————————————————————————————————————————————————————————————</w:t>
      </w:r>
    </w:p>
    <w:p>
      <w:pPr>
        <w:spacing w:before="160" w:after="40" w:line="240" w:lineRule="auto"/>
      </w:pPr>
      <w:r>
        <w:rPr>
          <w:b/>
        </w:rPr>
        <w:t xml:space="preserve">[110] </w:t>
      </w:r>
      <w:hyperlink r:id="rId600">
        <w:r>
          <w:rPr>
            <w:color w:val="1155CC"/>
            <w:u w:val="single"/>
          </w:rPr>
          <w:t>感染炎症微环境调节纳米抗菌剂的构建及其在烧伤创面并发多重耐药金黄色葡萄球菌感染治疗中的应用</w:t>
        </w:r>
      </w:hyperlink>
    </w:p>
    <w:p>
      <w:pPr>
        <w:spacing w:before="0" w:after="80"/>
      </w:pPr>
      <w:r>
        <w:rPr>
          <w:i/>
          <w:sz w:val="20"/>
        </w:rPr>
        <w:t>EN: Construction of an Infection-Inflammation Microenvironment-Regulating Nano-antimicrobial Agent and Application in the Treatment of Burn Wounds Complicated with Multidrug-Resistant Staphylococcus aureus Infection</w:t>
      </w:r>
    </w:p>
    <w:p>
      <w:pPr>
        <w:spacing w:before="0" w:after="120"/>
      </w:pPr>
      <w:r>
        <w:rPr>
          <w:b/>
        </w:rPr>
        <w:t xml:space="preserve">Source: </w:t>
      </w:r>
      <w:r>
        <w:t>ACS Applied Materials &amp; Interfaces: Latest Articles (ACS Publications)</w:t>
      </w:r>
      <w:r>
        <w:t xml:space="preserve">    </w:t>
      </w:r>
      <w:r>
        <w:rPr>
          <w:b/>
        </w:rPr>
        <w:t xml:space="preserve">Pub date: </w:t>
      </w:r>
      <w:r>
        <w:t>2026-07-13 00:00:00+00:00</w:t>
      </w:r>
      <w:r>
        <w:t xml:space="preserve">    </w:t>
      </w:r>
      <w:r>
        <w:rPr>
          <w:b/>
        </w:rPr>
        <w:t xml:space="preserve">DOI: </w:t>
      </w:r>
      <w:hyperlink r:id="rId601">
        <w:r>
          <w:rPr>
            <w:color w:val="1155CC"/>
            <w:u w:val="single"/>
          </w:rPr>
          <w:t>10.1021/acsami.6c07159</w:t>
        </w:r>
      </w:hyperlink>
    </w:p>
    <w:p>
      <w:pPr>
        <w:spacing w:before="0" w:after="120"/>
      </w:pPr>
      <w:r>
        <w:rPr>
          <w:b/>
        </w:rPr>
        <w:t xml:space="preserve">Notes: </w:t>
      </w:r>
      <w:r>
        <w:t>abstract_source=pubmed</w:t>
      </w:r>
    </w:p>
    <w:p>
      <w:pPr>
        <w:spacing w:before="0" w:after="80" w:lineRule="auto" w:line="276"/>
      </w:pPr>
      <w:r>
        <w:rPr>
          <w:b/>
        </w:rPr>
        <w:t xml:space="preserve">摘要（ZH）: </w:t>
      </w:r>
      <w:r>
        <w:t>烧伤创面极易受到细菌定植，特别是多重耐药病原体的定植，这通常会导致难治性感染、过度炎症和愈合延迟。在此，我们报告了通过介孔普鲁士蓝（mPB）与聚合物聚六亚甲基双胍（PHMB）的共组装，合理设计和构建了多功能纳米抗菌剂，命名为mPB@PHMB。所得纳米复合材料将有效的抗菌活性与调节炎症微环境的能力结合在一起。值得注意的是，mPB@PHMB 对耐甲氧西林金黄色葡萄球菌（MRSA）表现出显着的杀菌功效。受益于 mPB 固有的多酶模拟活性，纳米复合材料可以有效清除细胞内的活性氧，从而减轻氧化应激引起的细胞损伤。转录组分析和蛋白质分析表明，mPB@PHMB 显着抑制 NF-κB 通路激活，减弱脂多糖诱导的 M1 巨噬细胞极化，并减少促炎细胞因子的产生。生物相容性评估表明，对皮肤成纤维细胞的急性细胞毒性可以忽略不计，并且在健康的 C57BL/6 小鼠中没有明显的毒性，这强调了 mPB@PHMB 良好的安全性。此外，在 MRSA 感染烧伤创面的小鼠模型中，使用 mPB@PHMB 进行局部治疗可将细菌负荷减少约 90%。同时，mPB@PHMB 治疗显着降低了 M1 极化巨噬细胞的比例，抑制了</w:t>
      </w:r>
    </w:p>
    <w:p>
      <w:pPr>
        <w:spacing w:before="0" w:after="200" w:lineRule="auto" w:line="276"/>
      </w:pPr>
      <w:r>
        <w:rPr>
          <w:b/>
        </w:rPr>
        <w:t xml:space="preserve">Abstract (EN): </w:t>
      </w:r>
      <w:r>
        <w:t>Burn wounds are highly susceptible to bacterial colonization, particularly by multidrug-resistant pathogens, which often result in refractory infections, excessive inflammation, and delayed healing. Herein, we report the rational design and construction of a multifunctional nano-antimicrobial agent, designated mPB@PHMB, through the co-assembly of mesoporous Prussian blue (mPB) with the polymer polyhexamethylene biguanide (PHMB). The resultant nanocomposite integrates potent antibacterial activity with the capacity to modulate the inflammatory microenvironment. Notably, mPB@PHMB exhibited pronounced bactericidal efficacy against methicillin-resistant Staphylococcus aureus (MRSA). Benefiting from the intrinsic multi-enzyme-mimetic activities of mPB, the nanocomposite efficiently scavenged intracellular reactive oxygen species, thereby alleviating oxidative stress-induced cellular injury. Transcriptomic profiling and protein analyses revealed that mPB@PHMB markedly suppressed the NF-κB pathway activation, attenuated lipopolysaccharide-induced M1 macrophage polarization, and reduced the production of pro-inflammatory cytokines. Biocompatibility assessments demonstrated negligible acute cytotoxicity toward skin fibroblasts and no overt toxicity in healthy C57BL/6 mice, underscoring the favorable safety profile of mPB@PHMB. Furthermore, in a murine model of MRSA-infected burn wounds, topical treatment with mPB@PHMB reduced the bacterial burden by approximately 90%. Concurrently, treatment with mPB@PHMB substantially decreased the proportion of M1-polarized macrophages, suppressed the expression of inflammatory cytokines, and alleviated the inflammatory milieu within the wound bed, thereby accelerating tissue repair and wound closure. Collectively, these findings establish mPB@PHMB as a promising nano-therapeutic platform that synergistically couples antimicrobial action with immunomodulatory functions, offering a robust and translatable strategy for the management of burn wounds complicated by multidrug-resistant bacterial infection.</w:t>
      </w:r>
    </w:p>
    <w:p>
      <w:pPr>
        <w:spacing w:before="120" w:after="120"/>
      </w:pPr>
      <w:r>
        <w:rPr>
          <w:sz w:val="18"/>
        </w:rPr>
        <w:t>——————————————————————————————————————————————————————————————————————</w:t>
      </w:r>
    </w:p>
    <w:p>
      <w:pPr>
        <w:spacing w:before="160" w:after="40" w:line="240" w:lineRule="auto"/>
      </w:pPr>
      <w:r>
        <w:rPr>
          <w:b/>
        </w:rPr>
        <w:t xml:space="preserve">[111] </w:t>
      </w:r>
      <w:hyperlink r:id="rId602">
        <w:r>
          <w:rPr>
            <w:color w:val="1155CC"/>
            <w:u w:val="single"/>
          </w:rPr>
          <w:t>通过位点选择性胶束嵌入用导电聚合物贴片对各向异性等离子体纳米颗粒进行尖端功能化</w:t>
        </w:r>
      </w:hyperlink>
    </w:p>
    <w:p>
      <w:pPr>
        <w:spacing w:before="0" w:after="80"/>
      </w:pPr>
      <w:r>
        <w:rPr>
          <w:i/>
          <w:sz w:val="20"/>
        </w:rPr>
        <w:t>EN: Tip functionalization of anisotropic plasmonic nanoparticles with conductive polymer patches via site-selective micelle intercalation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等离激元斑片纳米粒子（NP）由分布在金属纳米粒子表面的聚合物域组成，对于光子学、电子学和生物医学应用非常重要。然而，目前的合成策略很大程度上局限于含硫醇的配体或嵌段共聚物。在金属纳米粒子上实现功能性导电聚合物贴片的位点选择性定位仍然是一个挑战。在这里，我们展示了胶束嵌入如何决定聚吡咯（PPy）在各向异性等离子体纳米颗粒（包括金纳米棒（NR）和三角纳米棱柱）上的成核位点。 PPy 贴片的位点选择性由 NP 局部曲率和十二烷基硫酸钠 (SDS) 浓度控制。此外，我们通过 HCl 掺杂控制 PPy 和 Au 界面的电荷转移，从而在单 NP 水平上提供可能的刺激响应特性。此外，我们通过种子介导的过度生长和自组装来扩展结构复杂性。这些结果确立了胶束嵌入作为在具有不同几何形状的等离子体纳米粒子上编程导电聚合物贴片的策略。</w:t>
      </w:r>
    </w:p>
    <w:p>
      <w:pPr>
        <w:spacing w:before="0" w:after="200" w:lineRule="auto" w:line="276"/>
      </w:pPr>
      <w:r>
        <w:rPr>
          <w:b/>
        </w:rPr>
        <w:t xml:space="preserve">Abstract (EN): </w:t>
      </w:r>
      <w:r>
        <w:t>Plasmonic patchy nanoparticles (NPs), which consist of polymer domains distributed on metal NP surface, are important for photonics, electronics, and biomedicine applications. However, current synthetic strategies are largely limited to thiol-containing ligands or block copolymers. It remains a challenge to achieve the site-selective positioning of functional conductive polymer patches on a metal NP. Here, we show how micelle intercalation dictates the nucleation sites of polypyrrole (PPy) on anisotropic plasmonic NPs, including Au nanorods (NRs) and triangular nanoprisms. The site-selectivity of the PPy patches is governed by NP local curvature and sodium dodecyl sulphate (SDS) concentration. Moreover, we control over the charge transfer at the PPy and Au interface through HCl doping, offering possible stimuli-responsive properties at single-NP level. Furthermore, we extend the structural complexity via seed-mediated overgrowth and self-assembly. These results establish micelle intercalation as a strategy for programming conductive polymer patches on plasmonic NPs with diverse geometries.</w:t>
      </w:r>
    </w:p>
    <w:p>
      <w:pPr>
        <w:spacing w:before="120" w:after="120"/>
      </w:pPr>
      <w:r>
        <w:rPr>
          <w:sz w:val="18"/>
        </w:rPr>
        <w:t>——————————————————————————————————————————————————————————————————————</w:t>
      </w:r>
    </w:p>
    <w:p>
      <w:pPr>
        <w:spacing w:before="160" w:after="40" w:line="240" w:lineRule="auto"/>
      </w:pPr>
      <w:r>
        <w:rPr>
          <w:b/>
        </w:rPr>
        <w:t xml:space="preserve">[112] </w:t>
      </w:r>
      <w:hyperlink r:id="rId603">
        <w:r>
          <w:rPr>
            <w:color w:val="1155CC"/>
            <w:u w:val="single"/>
          </w:rPr>
          <w:t>一个小的核仁 RNA 决定了利什曼原虫翻译核糖体的结构和功能</w:t>
        </w:r>
      </w:hyperlink>
    </w:p>
    <w:p>
      <w:pPr>
        <w:spacing w:before="0" w:after="80"/>
      </w:pPr>
      <w:r>
        <w:rPr>
          <w:i/>
          <w:sz w:val="20"/>
        </w:rPr>
        <w:t>EN: A small nucleolar RNA dictates the structure and function of translating ribosomes in Leishmania</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最常见的 rRNA 修饰是 2'-O-甲基化。在这里，我们确定了利什曼原虫中 2'-O-甲基化的情况，利什曼原虫是一种在两种不同宿主（昆虫和哺乳动物）之间循环的寄生虫。我们发现两个 2'-O-甲基化位置在寄生虫的两个生命阶段发生了差异性修饰。这些修饰的沉积是由 snoRNA 引导的。当我们对负责指导两个阶段调节修饰之一 Am479 的 snoRNA 进行胞嘧啶碱基编辑时，我们未能检测到缺乏这种修饰的核糖体，这表明它是必需的。为了更好地了解 snoRNA 及其引导修饰的作用，我们确定了过度表达引导 snoRNA 的细胞核糖体的冷冻电镜结构，并将其与亲本菌株的核糖体进行比较。我们没有发现 Am479 周围或小亚基 rRNA 中的结构变化，但观察到大亚基 rRNA 的 H68 由于第二碱基配对相互作用而存在差异，表明 snoRNA 具有潜在的伴侣活性。基于这些结果、翻译组和 tRNA 分析，我们提出了一种机制，通过核糖体结构的变化影响特定 tRNA 的释放，这与仅一部分 mRNA 的翻译变化相关。</w:t>
      </w:r>
    </w:p>
    <w:p>
      <w:pPr>
        <w:spacing w:before="0" w:after="200" w:lineRule="auto" w:line="276"/>
      </w:pPr>
      <w:r>
        <w:rPr>
          <w:b/>
        </w:rPr>
        <w:t xml:space="preserve">Abstract (EN): </w:t>
      </w:r>
      <w:r>
        <w:t>The most common rRNA modification is 2’-O-methylation. Here, we determine the landscape of 2’-O-methylation in Leishmania, a parasite that cycles between two different hosts, insect and mammalian. We find two 2’-O-methylated positions that are differentially modified during the parasite’s two life stages. The deposition of these modifications is guided by snoRNAs. When we perform cytosine base-editing of the snoRNA responsible for guiding one of the two stage-regulated modifications, Am479, we fail to detect ribosomes lacking this modification, suggesting that it is essential. To better understand the role of the snoRNA and its guided modification, we determine the cryo-EM structures of ribosomes from cells overexpressing the guiding snoRNA and compare them to ribosomes from the parental strain. We do not find structural changes around Am479 or in the small subunit rRNA, but observe a difference in H68 of the large subunit rRNA due to a second base-pairing interaction, suggesting a potential chaperone activity for the snoRNA. Based on these results, translatome and tRNA analysis, we propose a mechanism whereby changes in ribosome structure affect the release of specific tRNAs, which correlate with changes in translation of only a subset of mRNAs.</w:t>
      </w:r>
    </w:p>
    <w:p>
      <w:pPr>
        <w:spacing w:before="120" w:after="120"/>
      </w:pPr>
      <w:r>
        <w:rPr>
          <w:sz w:val="18"/>
        </w:rPr>
        <w:t>——————————————————————————————————————————————————————————————————————</w:t>
      </w:r>
    </w:p>
    <w:p>
      <w:pPr>
        <w:spacing w:before="160" w:after="40" w:line="240" w:lineRule="auto"/>
      </w:pPr>
      <w:r>
        <w:rPr>
          <w:b/>
        </w:rPr>
        <w:t xml:space="preserve">[113] </w:t>
      </w:r>
      <w:hyperlink r:id="rId604">
        <w:r>
          <w:rPr>
            <w:color w:val="1155CC"/>
            <w:u w:val="single"/>
          </w:rPr>
          <w:t>里德堡费米子部分子理论 $${{\mathbb{Z}}}_{2}$$Z2 量子自旋液体</w:t>
        </w:r>
      </w:hyperlink>
    </w:p>
    <w:p>
      <w:pPr>
        <w:spacing w:before="0" w:after="80"/>
      </w:pPr>
      <w:r>
        <w:rPr>
          <w:i/>
          <w:sz w:val="20"/>
        </w:rPr>
        <w:t>EN: Fermionic parton theory of Rydberg $${{\mathbb{Z}}}_{2}$$Z2 quantum spin liquids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如今，基于中性原子阵列的可编程量子模拟器为研究量子物质的强相关相提供了强大的平台。在这里，我们采用射影对称群框架来描述拓扑有序 Z2" role="presentation"&gt;Z2{{\mathbb{Z}}}_{2} 量子自旋液体 (QSL) 中合成的红宝石晶格上的里德堡阵列中的对称分式模式。通过系统地比较所有可能的平均场 Ansätze 的静态结构因子与密度矩阵重正化群计算，我们确定了精确 Z2" 的有希望的候选者role="presentation"&gt;Z2{{\mathbb{Z}}}_{2} QSL 微观实现。我们还对动态结构因素进行了详细分析，作为未来实验的参考，并展示了这些自旋相关性如何区分不同的 QSL Ansätze。</w:t>
      </w:r>
    </w:p>
    <w:p>
      <w:pPr>
        <w:spacing w:before="0" w:after="200" w:lineRule="auto" w:line="276"/>
      </w:pPr>
      <w:r>
        <w:rPr>
          <w:b/>
        </w:rPr>
        <w:t xml:space="preserve">Abstract (EN): </w:t>
      </w:r>
      <w:r>
        <w:t>Programmable quantum simulators based on neutral atom arrays today offer powerful platforms for studying strongly correlated phases of quantum matter. Here, we employ the projective symmetry group framework to describe the symmetry fractionalization patterns in a topologically ordered Z2" role="presentation"&gt;Z2{{\mathbb{Z}}}_{2} quantum spin liquid (QSL) synthesized in such a Rydberg array on the ruby lattice. By systematically comparing the static structure factors of all possible mean-field Ansätze against density-matrix renormalization group calculations, we identify a promising candidate for the precise Z2" role="presentation"&gt;Z2{{\mathbb{Z}}}_{2} QSL realized microscopically. We also present detailed analyses of the dynamical structure factors as a reference for future experiments and showcase how these spin correlations can differentiate between varied QSL Ansätze.</w:t>
      </w:r>
    </w:p>
    <w:p>
      <w:pPr>
        <w:spacing w:before="120" w:after="120"/>
      </w:pPr>
      <w:r>
        <w:rPr>
          <w:sz w:val="18"/>
        </w:rPr>
        <w:t>——————————————————————————————————————————————————————————————————————</w:t>
      </w:r>
    </w:p>
    <w:p>
      <w:pPr>
        <w:spacing w:before="160" w:after="40" w:line="240" w:lineRule="auto"/>
      </w:pPr>
      <w:r>
        <w:rPr>
          <w:b/>
        </w:rPr>
        <w:t xml:space="preserve">[114] </w:t>
      </w:r>
      <w:hyperlink r:id="rId605">
        <w:r>
          <w:rPr>
            <w:color w:val="1155CC"/>
            <w:u w:val="single"/>
          </w:rPr>
          <w:t>分层纳米排序使中熵合金具有非凡的低温强度-延展性协同作用</w:t>
        </w:r>
      </w:hyperlink>
    </w:p>
    <w:p>
      <w:pPr>
        <w:spacing w:before="0" w:after="80"/>
      </w:pPr>
      <w:r>
        <w:rPr>
          <w:i/>
          <w:sz w:val="20"/>
        </w:rPr>
        <w:t>EN: Hierarchical nano-orderings enable extraordinary cryogenic strength-ductility synergy in a medium-entropy alloy</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迫切需要同时实现超高屈服强度（YS ≥ 2.0 GPa）和大量均匀伸长率（UE）的低温合金，但从根本上受到强度与延展性权衡的限制。在 Eshelby 夹杂物理论的指导下，我们通过在超细晶粒 NiCoCr 基多主元素合金中设计一种新颖的分层纳米有序 (HNO) 结构来应对这一挑战，该合金通过增材制造和定制后处理相结合来制造。 HNO 具有受控的尺寸分布和界面特性，包含分散的非相干 σ-分散体 (~70 nm)、高密度的双峰相干 L12 沉淀物 (~5 和 26 nm) 以及广泛的、高度扭曲的局部化学排序 (~0.7 nm)。这种配置引入了弹性应变能的逐步增加，进而触发了有效位错源的顺序激活。由此产生的移动位错在变形过程中与纳米有序发生广泛而多样的相互作用，从而激活协同应变硬化机制。因此，这些纳米结构同时充当位错发生器、应变硬化促进剂和强化剂。因此，这种 HNO 介导的自硬化和自延展机制产生了优异的低温 (77 K) 性能：YS 约为 1.96 GPa，极限拉伸强度约为 2.35 GPa，UE 约为 22%，超过了铸造对应物和所有先前报道的先进合金。该策略为超强设计建立了变革性范式</w:t>
      </w:r>
    </w:p>
    <w:p>
      <w:pPr>
        <w:spacing w:before="0" w:after="200" w:lineRule="auto" w:line="276"/>
      </w:pPr>
      <w:r>
        <w:rPr>
          <w:b/>
        </w:rPr>
        <w:t xml:space="preserve">Abstract (EN): </w:t>
      </w:r>
      <w:r>
        <w:t>Cryogenic alloys simultaneously achieving ultrahigh yield strength (YS ≥ 2.0 GPa) alongside substantial uniform elongation (UE) are critically needed, yet fundamentally constrained by the strength-ductility trade-off. Guided by Eshelby’s inclusion theory, we reconcile this challenge by designing a novel hierarchical nano-ordering (HNO) architecture within an ultrafine-grained NiCoCr-based multi-principal element alloy, fabricated via combining additive-manufacturing and tailored post-processing. The HNOs—featuring a controlled size distribution and interfacial properties—comprise dispersed incoherent σ-dispersoids (~70 nm), a high density of bimodal coherent L12 precipitates (~5 and 26 nm) and widespread, highly-distorted local-chemical-orderings (~0.7 nm). This configuration introduces a stepwise increase in elastic strain energy, which in turn triggers the sequential activation of potent dislocation sources. The resulting mobile dislocations engage in extensive and varied interactions with the nano-orderings during deformation, thereby activating cooperative strain-hardening mechanisms. These nano-architectures thus function simultaneously as dislocation generators, strain-hardening enablers, and strengthening agents. Consequently, this HNO-mediated self-hardening and self-ductilizing mechanisms yield an exceptional cryogenic (77 K) property set: YS of ~1.96 GPa, ultimate tensile strength of ~2.35 GPa, and UE of ~22%, surpassing both the cast counterpart and all previously reported advanced alloys. This strategy establishes a transformative paradigm for designing ultrastrong-yet-ductile materials through integrated manufacturing approaches.</w:t>
      </w:r>
    </w:p>
    <w:p>
      <w:pPr>
        <w:spacing w:before="120" w:after="120"/>
      </w:pPr>
      <w:r>
        <w:rPr>
          <w:sz w:val="18"/>
        </w:rPr>
        <w:t>——————————————————————————————————————————————————————————————————————</w:t>
      </w:r>
    </w:p>
    <w:p>
      <w:pPr>
        <w:spacing w:before="160" w:after="40" w:line="240" w:lineRule="auto"/>
      </w:pPr>
      <w:r>
        <w:rPr>
          <w:b/>
        </w:rPr>
        <w:t xml:space="preserve">[115] </w:t>
      </w:r>
      <w:hyperlink r:id="rId606">
        <w:r>
          <w:rPr>
            <w:color w:val="1155CC"/>
            <w:u w:val="single"/>
          </w:rPr>
          <w:t>反铁磁序自旋轨道扭矩切换中固有状态和温度辅助状态之间的交叉</w:t>
        </w:r>
      </w:hyperlink>
    </w:p>
    <w:p>
      <w:pPr>
        <w:spacing w:before="0" w:after="80"/>
      </w:pPr>
      <w:r>
        <w:rPr>
          <w:i/>
          <w:sz w:val="20"/>
        </w:rPr>
        <w:t>EN: Crossover between intrinsic and temperature-assisted regimes in spin-orbit torque switching of antiferromagnetic order</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由于反铁磁体的超快动力学达到皮秒时间尺度，人们对反铁磁体作为下一代存储位的候选材料进行了深入的研究。最近反铁磁态电双向切换的演示引起了人们的广泛关注。然而，在存在使磁序不稳定的显着焦耳热的情况下，与切换相关的时间尺度可以限制为纳秒或更长。在这里，我们通过调整磁性层厚度观察到手性反铁磁体 Mn3Sn 开关行为的交叉。虽然焦耳热会干扰较厚器件的切换，但随着厚度的减小，我们发现了固有自旋轨道扭矩机制的清晰特征，从而避免了热效应。加热的抑制使得能够使用比温度辅助机构所需的脉冲短的脉冲来进行切换，而不会显着衰减读出信号。自旋轨道扭矩切换行为的交叉阐明了实现反铁磁体皮秒自旋动力学所预期的超快切换的潜力。我们的结果为设计可在超快时间尺度下运行的反铁磁存储器件奠定了基础。</w:t>
      </w:r>
    </w:p>
    <w:p>
      <w:pPr>
        <w:spacing w:before="0" w:after="200" w:lineRule="auto" w:line="276"/>
      </w:pPr>
      <w:r>
        <w:rPr>
          <w:b/>
        </w:rPr>
        <w:t xml:space="preserve">Abstract (EN): </w:t>
      </w:r>
      <w:r>
        <w:t>Intensive studies have been made on antiferromagnets as candidate materials for next-generation memory bits due to their ultrafast dynamics reaching picosecond time scales. Recent demonstrations of electrical bidirectional switching of antiferromagnetic states have attracted significant attention. However, in the presence of significant Joule heating that destabilizes the magnetic order, the timescales associated with the switching can be limited to nanoseconds or longer. Here, we present the observation of a crossover in the switching behavior of the chiral antiferromagnet Mn3Sn by tuning the magnetic layer thickness. While Joule heating interferes with switching in thicker devices, we find clear signatures of an intrinsic spin-orbit torque mechanism as the thickness is reduced, avoiding the heating effect. The suppression of heating enables switching without significant attenuation of the readout signal using pulses shorter than those required by temperature-assisted mechanisms. The crossover into the spin-orbit torque switching behavior clarifies the potential for achieving ultrafast switching as expected from the picosecond spin dynamics of antiferromagnets. Our results lay the groundwork for designing antiferromagnetic memory devices that can operate at ultrafast timescales.</w:t>
      </w:r>
    </w:p>
    <w:p>
      <w:pPr>
        <w:spacing w:before="120" w:after="120"/>
      </w:pPr>
      <w:r>
        <w:rPr>
          <w:sz w:val="18"/>
        </w:rPr>
        <w:t>——————————————————————————————————————————————————————————————————————</w:t>
      </w:r>
    </w:p>
    <w:p>
      <w:pPr>
        <w:spacing w:before="160" w:after="40" w:line="240" w:lineRule="auto"/>
      </w:pPr>
      <w:r>
        <w:rPr>
          <w:b/>
        </w:rPr>
        <w:t xml:space="preserve">[116] </w:t>
      </w:r>
      <w:hyperlink r:id="rId607">
        <w:r>
          <w:rPr>
            <w:color w:val="1155CC"/>
            <w:u w:val="single"/>
          </w:rPr>
          <w:t>通过外延剪切应变观察 WO3 中的极性和抗扭曲极化子</w:t>
        </w:r>
      </w:hyperlink>
    </w:p>
    <w:p>
      <w:pPr>
        <w:spacing w:before="0" w:after="80"/>
      </w:pPr>
      <w:r>
        <w:rPr>
          <w:i/>
          <w:sz w:val="20"/>
        </w:rPr>
        <w:t>EN: Polarity and anti-distortive polarons in WO3 through epitaxial shear strain</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赋予互补金属氧化物半导体兼容的二元氧化物附加功能是实现氧化物电子学的有力策略。理想的候选者是对应变、化学掺杂或纳米级限制表现出强烈敏感性的薄膜。其中，结晶三氧化钨 WO3 表现出卓越的结构灵活性，可实现广泛的功能。在这里，我们揭示了外延 WO3 薄膜中极性相的出现。我们通过施加外延剪切应变来实现这一点，这可以稳定低对称性三斜晶结构，该结构在大薄膜厚度和高温下仍能持续存在。在原子尺度上，氧八面体倾斜图案的变化促进了这种对称性降低到极性相，这表现为在微尺度上具有针状分叉的周期性面内偏振条纹域结构。条状畴壁进一步表现出强烈增强的电导率以及扭曲结构模式的显着减少，为最近在WO3中预测的反扭曲极化子输运提供了实验证据。</w:t>
      </w:r>
    </w:p>
    <w:p>
      <w:pPr>
        <w:spacing w:before="0" w:after="200" w:lineRule="auto" w:line="276"/>
      </w:pPr>
      <w:r>
        <w:rPr>
          <w:b/>
        </w:rPr>
        <w:t xml:space="preserve">Abstract (EN): </w:t>
      </w:r>
      <w:r>
        <w:t>Bestowing complementary metal-oxide semiconductor-compatible binary oxides with additional functionalities is a powerful strategy toward the realization of oxide electronics. Ideal candidates are thin films which display a strong sensitivity to strain, chemical doping or nanoscale confinement. Among these, crystalline tungsten trioxide WO3 exhibits exceptional structural flexibility, enabling a wide range of functionalities. Here we reveal the emergence of a polar phase in epitaxial WO3 thin films. We accomplish this by imposing epitaxial shear strain, which stabilizes a low-symmetry triclinic structure that persists up to large film thicknesses and elevated temperatures. At the atomic scale, a change in the oxygen octahedral tilt pattern facilitates this symmetry lowering into a polar phase, which manifests as a periodic in-plane polarized stripe domain configuration with needle-like bifurcations at the microscale. The stripe domain walls further exhibit a strongly enhanced electrical conductivity in conjunction with a pronounced reduction of a distortive structural mode, providing experimental evidence for anti-distortive polaronic transport recently predicted in WO3.</w:t>
      </w:r>
    </w:p>
    <w:p>
      <w:pPr>
        <w:spacing w:before="120" w:after="120"/>
      </w:pPr>
      <w:r>
        <w:rPr>
          <w:sz w:val="18"/>
        </w:rPr>
        <w:t>——————————————————————————————————————————————————————————————————————</w:t>
      </w:r>
    </w:p>
    <w:p>
      <w:pPr>
        <w:spacing w:before="160" w:after="40" w:line="240" w:lineRule="auto"/>
      </w:pPr>
      <w:r>
        <w:rPr>
          <w:b/>
        </w:rPr>
        <w:t xml:space="preserve">[117] </w:t>
      </w:r>
      <w:hyperlink r:id="rId608">
        <w:r>
          <w:rPr>
            <w:color w:val="1155CC"/>
            <w:u w:val="single"/>
          </w:rPr>
          <w:t>离子破坏的氢键网络可实现二维限制下的快速水传输</w:t>
        </w:r>
      </w:hyperlink>
    </w:p>
    <w:p>
      <w:pPr>
        <w:spacing w:before="0" w:after="80"/>
      </w:pPr>
      <w:r>
        <w:rPr>
          <w:i/>
          <w:sz w:val="20"/>
        </w:rPr>
        <w:t>EN: Ion-disrupted hydrogen-bond networks enable fast water transport under two-dimensional confinement</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纳米级限制下的水传输通常表现出异常高的流速，这违背了经典的流体动力学描述。虽然这种行为通常是在假设纯水的情况下进行分析的，但现实条件下的承压水不可避免地含有溶解的离子。因此，离子-水相互作用如何重塑氢键网络并调节纳米级水传输仍然知之甚少。在这里，我们使用基于蛭石的二维纳米通道和可调节、可交换的层间阳离子来研究离子调节水传输。尽管层间距较大，但承载强水合离子的膜表现出明显较慢的水传输，而弱水合离子则实现超快渗透。红外光谱揭示了氢键网络的离子依赖性重组，弱水合阳离子破坏氢键连接性并使 O-H 伸缩带向更高频率移动。分子动力学模拟进一步表明，这种破坏增强了动态交换水合水的数量和流动性，这在限制下主导了二维水扩散。这些发现将离子效应确立为承压水传输的重要组成部分，并为理解自然和工程纳米通道的异常水流提供了分子框架。</w:t>
      </w:r>
    </w:p>
    <w:p>
      <w:pPr>
        <w:spacing w:before="0" w:after="200" w:lineRule="auto" w:line="276"/>
      </w:pPr>
      <w:r>
        <w:rPr>
          <w:b/>
        </w:rPr>
        <w:t xml:space="preserve">Abstract (EN): </w:t>
      </w:r>
      <w:r>
        <w:t>Water transport under nanoscale confinement often exhibits anomalously high flow rates that defy classical hydrodynamic descriptions. While such behavior is commonly analyzed assuming pure water, confined water under realistic conditions inevitably contains dissolved ions. How ion-water interactions reshape hydrogen-bond networks and regulate nanoscale water transport therefore remains poorly understood. Here we study ion-modulated water transport using vermiculite-based two-dimensional nanochannels with tunable, exchangeable interlayer cations. Despite larger interlayer spacings, membranes hosting strongly hydrated ions exhibit markedly slower water transport, whereas weakly hydrated ions enable ultrafast permeation. Infrared spectroscopy reveals ion-dependent restructuring of the hydrogen-bond network, with weakly hydrated cations disrupting hydrogen-bond connectivity and shifting the O-H stretching band toward higher frequencies. Molecular dynamics simulations further show that such disruption enhances the population and mobility of dynamically exchanging hydration water, which dominates two-dimensional water diffusion under confinement. These findings establish ionic effects as an essential component of confined water transport and provide a molecular framework for understanding anomalous water flow across natural and engineered nanochannels.</w:t>
      </w:r>
    </w:p>
    <w:p>
      <w:pPr>
        <w:spacing w:before="120" w:after="120"/>
      </w:pPr>
      <w:r>
        <w:rPr>
          <w:sz w:val="18"/>
        </w:rPr>
        <w:t>——————————————————————————————————————————————————————————————————————</w:t>
      </w:r>
    </w:p>
    <w:p>
      <w:pPr>
        <w:spacing w:before="160" w:after="40" w:line="240" w:lineRule="auto"/>
      </w:pPr>
      <w:r>
        <w:rPr>
          <w:b/>
        </w:rPr>
        <w:t xml:space="preserve">[118] </w:t>
      </w:r>
      <w:hyperlink r:id="rId609">
        <w:r>
          <w:rPr>
            <w:color w:val="1155CC"/>
            <w:u w:val="single"/>
          </w:rPr>
          <w:t>从数据混乱到物理上可解释的确定性映射</w:t>
        </w:r>
      </w:hyperlink>
    </w:p>
    <w:p>
      <w:pPr>
        <w:spacing w:before="0" w:after="80"/>
      </w:pPr>
      <w:r>
        <w:rPr>
          <w:i/>
          <w:sz w:val="20"/>
        </w:rPr>
        <w:t>EN: From data chaos to physically interpretable deterministic mapping</w:t>
      </w:r>
    </w:p>
    <w:p>
      <w:pPr>
        <w:spacing w:before="0" w:after="120"/>
      </w:pPr>
      <w:r>
        <w:rPr>
          <w:b/>
        </w:rPr>
        <w:t xml:space="preserve">Source: </w:t>
      </w:r>
      <w:r>
        <w:t>Scientific community and society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直接从观测数据发现控制方程仍然是科学和工程领域的一项基本挑战，特别是当测量结果充满噪声、高维或多尺度时。现有方法通常将方程发现视为回归问题，选择候选项来拟合观察到的轨迹，这可能会限制实际数据条件下的结构稳定性和可识别性。我们提出了一种结构化的算子学习框架，将方程发现重新表述为一个约束动态推理问题，将谱分解、物理引导的稀疏投影和跨视图一致性正则化集成在一个统一的架构中。通过将动力学分解为尺度解析的分量并在扰动观测中强制执行不变性，该框架促进了稳定且可解释的方程恢复。在这里，我们证明该方法能够一致地识别紧凑的控制方程，同时在规范非线性系统和代表性工业过程中保持强大的长期预测精度，即使在噪声和分布偏移数据下也是如此。</w:t>
      </w:r>
    </w:p>
    <w:p>
      <w:pPr>
        <w:spacing w:before="0" w:after="200" w:lineRule="auto" w:line="276"/>
      </w:pPr>
      <w:r>
        <w:rPr>
          <w:b/>
        </w:rPr>
        <w:t xml:space="preserve">Abstract (EN): </w:t>
      </w:r>
      <w:r>
        <w:t>Discovering governing equations directly from observational data remains a fundamental challenge in science and engineering, particularly when measurements are noisy, high-dimensional, or multi-scale. Existing approaches often cast equation discovery as a regression problem that selects candidate terms to fit observed trajectories, which can limit structural stability and identifiability under realistic data conditions. We propose a structured operator-learning framework that reformulates equation discovery as a constrained dynamical inference problem integrating spectral decomposition, physics-guided sparse projection, and cross-view consistency regularization within a unified architecture. By decomposing dynamics into scale-resolved components and enforcing invariance across perturbed observations, the framework promotes stable and interpretable equation recovery. Here, we show that the method consistently identifies compact governing equations while maintaining strong long-horizon predictive accuracy across canonical nonlinear systems and representative industrial processes, even under noisy and distribution-shifted data.</w:t>
      </w:r>
    </w:p>
    <w:p>
      <w:pPr>
        <w:spacing w:before="120" w:after="120"/>
      </w:pPr>
      <w:r>
        <w:rPr>
          <w:sz w:val="18"/>
        </w:rPr>
        <w:t>——————————————————————————————————————————————————————————————————————</w:t>
      </w:r>
    </w:p>
    <w:p>
      <w:pPr>
        <w:spacing w:before="160" w:after="40" w:line="240" w:lineRule="auto"/>
      </w:pPr>
      <w:r>
        <w:rPr>
          <w:b/>
        </w:rPr>
        <w:t xml:space="preserve">[119] </w:t>
      </w:r>
      <w:hyperlink r:id="rId610">
        <w:r>
          <w:rPr>
            <w:color w:val="1155CC"/>
            <w:u w:val="single"/>
          </w:rPr>
          <w:t>自由活动的啮齿动物的表面圆周脊髓记录</w:t>
        </w:r>
      </w:hyperlink>
    </w:p>
    <w:p>
      <w:pPr>
        <w:spacing w:before="0" w:after="80"/>
      </w:pPr>
      <w:r>
        <w:rPr>
          <w:i/>
          <w:sz w:val="20"/>
        </w:rPr>
        <w:t>EN: Surface circumferential spinal cord recording in freely moving rodents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脊髓损伤影响着全世界超过 250 万人，但目前的神经修复策略仍然支离破碎，只能单独解决运动、感觉或自主功能。在这里，我们展示了单个超薄圆周电极阵列，符合脊髓而不穿透神经组织，可以同时解码运动意图，对感觉输入进行分类，并区分内脏感觉输入。在短期植入期间（最多三天）自由活动的大鼠中，深度学习解码器通过利用与中枢模式发生器节律一致的低频脊柱振荡实现了强大的运动意图解码（R² = 0.97）。同一界面对八种感觉模式进行了分类，准确率高达 94.4%。在急性麻醉的猪中，跨物种验证证实了翻译可扩展性并可靠地区分了内脏感觉输入。独特的是，两排电极配置解决了脊髓束内的定向传播问题，而电极密集的一排设备则实现了高精度椎管内源定位。通过将运动、感觉和内脏传入解码整合到单个适形接口内，该方法将脊髓定位为多功能神经假体接口的目标，为神经损伤后生理功能的综合恢复提供了一条途径。</w:t>
      </w:r>
    </w:p>
    <w:p>
      <w:pPr>
        <w:spacing w:before="0" w:after="200" w:lineRule="auto" w:line="276"/>
      </w:pPr>
      <w:r>
        <w:rPr>
          <w:b/>
        </w:rPr>
        <w:t xml:space="preserve">Abstract (EN): </w:t>
      </w:r>
      <w:r>
        <w:t>Spinal cord injury affects over 2.5 million people worldwide, yet current neuroprosthetic strategies remain fragmented, addressing motor, sensory, or autonomic function in isolation. Here we show that a single ultrathin circumferential electrode array, conforming to the spinal cord without penetrating neural tissue, can simultaneously decode motor intent, classify sensory inputs, and discriminate visceral sensory inputs. In freely moving rats during short-term implantation (up to three days), deep learning decoders achieved robust motor intent decoding (R² = 0.97) by exploiting low-frequency spinal oscillations aligned with central pattern generator rhythms. The same interface classified eight sensory modalities with 94.4% accuracy. In acutely anaesthetized pigs, cross-species validation confirmed translational scalability and reliably distinguished visceral sensory inputs. Uniquely, the two-row electrode configuration resolved directional propagation within spinal tracts while electrode-dense one-row devices enabled high-precision intraspinal source localization. By consolidating motor, sensory, and visceral afferent decoding within a single conformal interface, this approach positions the spinal cord as a target for multifunctional neuroprosthetic interfacing, offering a path toward integrated restoration of physiological function after neurological injury.</w:t>
      </w:r>
    </w:p>
    <w:p>
      <w:pPr>
        <w:spacing w:before="120" w:after="120"/>
      </w:pPr>
      <w:r>
        <w:rPr>
          <w:sz w:val="18"/>
        </w:rPr>
        <w:t>——————————————————————————————————————————————————————————————————————</w:t>
      </w:r>
    </w:p>
    <w:p>
      <w:pPr>
        <w:spacing w:before="160" w:after="40" w:line="240" w:lineRule="auto"/>
      </w:pPr>
      <w:r>
        <w:rPr>
          <w:b/>
        </w:rPr>
        <w:t xml:space="preserve">[120] </w:t>
      </w:r>
      <w:hyperlink r:id="rId611">
        <w:r>
          <w:rPr>
            <w:color w:val="1155CC"/>
            <w:u w:val="single"/>
          </w:rPr>
          <w:t>南大洋格局转变：使用诊断色素框架的表面浮游植物群落组成的不同趋势</w:t>
        </w:r>
      </w:hyperlink>
    </w:p>
    <w:p>
      <w:pPr>
        <w:spacing w:before="0" w:after="80"/>
      </w:pPr>
      <w:r>
        <w:rPr>
          <w:i/>
          <w:sz w:val="20"/>
        </w:rPr>
        <w:t>EN: Southern Ocean regime shift: divergent trends in surface phytoplankton community composition using a diagnostic pigment framework</w:t>
      </w:r>
    </w:p>
    <w:p>
      <w:pPr>
        <w:spacing w:before="0" w:after="120"/>
      </w:pPr>
      <w:r>
        <w:rPr>
          <w:b/>
        </w:rPr>
        <w:t xml:space="preserve">Source: </w:t>
      </w:r>
      <w:r>
        <w:t>Earth and environmental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南大洋（SO）的浮游植物群落通过生物碳泵（BCP）在调节全球气候和生态系统方面发挥着核心作用，其受到海洋变暖和海冰变化的影响。在这里，我们将扩展的环极地表面色素数据集与卫星海洋颜色观测相结合，开发了一个 SO 诊断色素框架，该框架可解析 1998 年至 2024 年澳大利亚春季和夏季的浮游植物群落组成。我们比较了 1998-2014 年和 2015-2024 年期间的多年平均组成，其中 9 月份海冰范围减少了约 7%。在这两个时期之间，春季受海冰影响的地区硅藻对叶绿素总量的平均贡献增加了约 10%，但在夏季南极陆架上硅藻对总叶绿素的贡献减少了约 3%。这些发现表明浮游植物群落组成的季节性和空间变化重组可能会改变水华动态、碳输出效率以及在气候驱动的海冰持续变化下SO BCP的功能。</w:t>
      </w:r>
    </w:p>
    <w:p>
      <w:pPr>
        <w:spacing w:before="0" w:after="200" w:lineRule="auto" w:line="276"/>
      </w:pPr>
      <w:r>
        <w:rPr>
          <w:b/>
        </w:rPr>
        <w:t xml:space="preserve">Abstract (EN): </w:t>
      </w:r>
      <w:r>
        <w:t>Phytoplankton communities in the Southern Ocean (SO) play a central role in regulating global climate and ecosystems through the biological carbon pump (BCP), which is influenced by ocean warming and sea-ice variability. Here, we combine an expanded circumpolar surface pigment dataset with satellite ocean-colour observations to develop a SO-diagnostic pigment framework that resolves phytoplankton community composition for austral spring and summer between 1998 and 2024. We compare multi-year mean composition for 1998-2014 and 2015-2024 periods separated by a ~ 7% step decrease in September sea-ice extent. Between these two periods, the mean diatom contribution to total chlorophyll increased by up to ~ 10% during spring in sea-ice-influenced regions but decreased by up to ~ 3% over the Antarctic shelf during summer. These findings suggest a seasonally and spatially variable reorganisation of phytoplankton community composition that may alter bloom dynamics, carbon-export efficiency, and the functioning of the SO BCP under continued climate-driven sea-ice variability.</w:t>
      </w:r>
    </w:p>
    <w:p>
      <w:pPr>
        <w:spacing w:before="120" w:after="120"/>
      </w:pPr>
      <w:r>
        <w:rPr>
          <w:sz w:val="18"/>
        </w:rPr>
        <w:t>——————————————————————————————————————————————————————————————————————</w:t>
      </w:r>
    </w:p>
    <w:p>
      <w:pPr>
        <w:spacing w:before="160" w:after="40" w:line="240" w:lineRule="auto"/>
      </w:pPr>
      <w:r>
        <w:rPr>
          <w:b/>
        </w:rPr>
        <w:t xml:space="preserve">[121] </w:t>
      </w:r>
      <w:hyperlink r:id="rId612">
        <w:r>
          <w:rPr>
            <w:color w:val="1155CC"/>
            <w:u w:val="single"/>
          </w:rPr>
          <w:t>沿海准入和参与方面的种族和经济差异调节了海洋对人类福祉的贡献</w:t>
        </w:r>
      </w:hyperlink>
    </w:p>
    <w:p>
      <w:pPr>
        <w:spacing w:before="0" w:after="80"/>
      </w:pPr>
      <w:r>
        <w:rPr>
          <w:i/>
          <w:sz w:val="20"/>
        </w:rPr>
        <w:t>EN: Racial and economic disparities in coastal access and engagement mediate the ocean’s contribution to human wellbeing</w:t>
      </w:r>
    </w:p>
    <w:p>
      <w:pPr>
        <w:spacing w:before="0" w:after="120"/>
      </w:pPr>
      <w:r>
        <w:rPr>
          <w:b/>
        </w:rPr>
        <w:t xml:space="preserve">Source: </w:t>
      </w:r>
      <w:r>
        <w:t>Scientific community and society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了解海洋通道的形成因素及其对人类福祉的贡献对于公平和可持续的海洋资源管理至关重要。我们采用社区参与的研究方法，研究了在美国加利福尼亚州中部（这条以其生物多样性和文化意义而闻名的标志性海岸线）进行的 1691 项调查的答复，以探索调节海洋利用和效益的因素。我们发现 a) 海洋对人类福祉的主观和相关贡献超过了物质贡献； b) 对于弱势社区和服务不足的人群来说，这些好处受到个人（例如，缺乏兴趣或负担能力）、物理环境（例如，缺乏基础设施或遭受污染）和知识（例如，如何安全合法地参与）障碍的限制。我们的研究结果强调了海洋空间的结构性排斥如何限制边缘化群体的福祉，这是一个可能使不平等长期存在并降低公共健康的关键反馈循环。尽管加州认为自己是海洋管理领域的世界领先者，但我们的研究结果表明，还有更多工作要做，并为推进更具包容性和以公平为中心的沿海和海洋治理方法提供了可行的见解。</w:t>
      </w:r>
    </w:p>
    <w:p>
      <w:pPr>
        <w:spacing w:before="0" w:after="200" w:lineRule="auto" w:line="276"/>
      </w:pPr>
      <w:r>
        <w:rPr>
          <w:b/>
        </w:rPr>
        <w:t xml:space="preserve">Abstract (EN): </w:t>
      </w:r>
      <w:r>
        <w:t>Understanding what shapes ocean access and its contribution to human wellbeing is critical for equitable and sustainable marine resource management. Using a community-engaged research approach, we examine responses from 1691 surveys administered across central California (USA), an iconic coastline renowned for its biodiversity and cultural significance, to explore the factors mediating ocean use and benefits. We find that a) the ocean’s subjective and relational contributions to human wellbeing outweighed material contributions; and b) these benefits are constrained for vulnerable communities and underserved populations by personal (e.g., lack of interest or affordability), physical-environmental (e.g., lack of infrastructure or exposure to pollution), and knowledge (e.g., how to safely and legally engage) barriers. Our results highlight how structural exclusion from ocean spaces limits wellbeing for marginalized groups, a critical feedback loop that may perpetuate inequality and degrade public health. Though California considers itself a world leader in ocean management, our findings indicate that there is more work to be done and offer actionable insight for advancing more inclusive and equity-centered approaches to coastal and ocean governance.</w:t>
      </w:r>
    </w:p>
    <w:p>
      <w:pPr>
        <w:spacing w:before="120" w:after="120"/>
      </w:pPr>
      <w:r>
        <w:rPr>
          <w:sz w:val="18"/>
        </w:rPr>
        <w:t>——————————————————————————————————————————————————————————————————————</w:t>
      </w:r>
    </w:p>
    <w:p>
      <w:pPr>
        <w:spacing w:before="160" w:after="40" w:line="240" w:lineRule="auto"/>
      </w:pPr>
      <w:r>
        <w:rPr>
          <w:b/>
        </w:rPr>
        <w:t xml:space="preserve">[122] </w:t>
      </w:r>
      <w:hyperlink r:id="rId613">
        <w:r>
          <w:rPr>
            <w:color w:val="1155CC"/>
            <w:u w:val="single"/>
          </w:rPr>
          <w:t>时间自相似性揭示了复杂网络中的渗透普遍性类</w:t>
        </w:r>
      </w:hyperlink>
    </w:p>
    <w:p>
      <w:pPr>
        <w:spacing w:before="0" w:after="80"/>
      </w:pPr>
      <w:r>
        <w:rPr>
          <w:i/>
          <w:sz w:val="20"/>
        </w:rPr>
        <w:t>EN: Temporal self-similarity reveals percolation universality classes in complex networks</w:t>
      </w:r>
    </w:p>
    <w:p>
      <w:pPr>
        <w:spacing w:before="0" w:after="120"/>
      </w:pPr>
      <w:r>
        <w:rPr>
          <w:b/>
        </w:rPr>
        <w:t xml:space="preserve">Source: </w:t>
      </w:r>
      <w:r>
        <w:t>Physical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灾难性的分裂和结构转变在现实世界的复杂系统中普遍存在，但由于强烈的结构异质性和缺乏明确定义的临界阈值，其潜在的普遍性类别在很大程度上仍然难以捉摸。在这里，我们发现了一种强大的时间自相似现象，它控制着不同复杂网络的动态渗透过程。通过跟踪增量增长事件的完整统计数据，我们揭示了碎片动态由两个独立的 Fisher 型临界指数 τc 和 τs 控制。这些指数独特地表征了系统的普遍性类别，所有其他标准关键指数都可以通过新建立的标度关系导出。在规范网络模型上严格验证该框架后，我们将其应用于广泛的经验数据集。引人注目的是，我们对生物、社会和基础设施系统的分析表明，现实世界的网络系统地表现出与理想化网络模型预测的普遍性类别不同的​​普遍性类别，反映了高阶结构特征的影响。我们的研究结果建立了一个连接统计物理和现实世界弹性的动态范式，提供了一种无参数、高度可扩展的方法来对固有异构系统中的结构漏洞进行分类和表征。</w:t>
      </w:r>
    </w:p>
    <w:p>
      <w:pPr>
        <w:spacing w:before="0" w:after="200" w:lineRule="auto" w:line="276"/>
      </w:pPr>
      <w:r>
        <w:rPr>
          <w:b/>
        </w:rPr>
        <w:t xml:space="preserve">Abstract (EN): </w:t>
      </w:r>
      <w:r>
        <w:t>Catastrophic fragmentation and structural transitions are ubiquitous in real-world complex systems, yet their underlying universality classes remain largely elusive due to strong structural heterogeneity and the absence of well-defined critical thresholds. Here, we discover a robust phenomenon of temporal self-similarity governing the dynamic percolation process across diverse complex networks. By tracking the full statistics of incremental growth events, we reveal that fragmentation dynamics are governed by two independent Fisher-type critical exponents, τc and τs. These exponents uniquely characterize the system’s universality class, from which all other standard critical exponents can be derived through newly established scaling relations. After rigorously validating this framework on canonical network models, we apply it to extensive empirical datasets. Strikingly, our analyses across biological, social, and infrastructural systems demonstrate that real-world networks systematically exhibit universality classes distinct from those predicted by idealized network models, reflecting the influence of higher-order structural features. Our findings establish a dynamic paradigm that bridges statistical physics and real-world resilience, offering a parameter-free, highly scalable approach to classify and characterize structural vulnerabilities in inherently heterogeneous systems.</w:t>
      </w:r>
    </w:p>
    <w:p>
      <w:pPr>
        <w:spacing w:before="120" w:after="120"/>
      </w:pPr>
      <w:r>
        <w:rPr>
          <w:sz w:val="18"/>
        </w:rPr>
        <w:t>——————————————————————————————————————————————————————————————————————</w:t>
      </w:r>
    </w:p>
    <w:p>
      <w:pPr>
        <w:spacing w:before="160" w:after="40" w:line="240" w:lineRule="auto"/>
      </w:pPr>
      <w:r>
        <w:rPr>
          <w:b/>
        </w:rPr>
        <w:t xml:space="preserve">[123] </w:t>
      </w:r>
      <w:hyperlink r:id="rId614">
        <w:r>
          <w:rPr>
            <w:color w:val="1155CC"/>
            <w:u w:val="single"/>
          </w:rPr>
          <w:t>用于 IBD 治疗的工程益生菌仿生微胶囊反应器</w:t>
        </w:r>
      </w:hyperlink>
    </w:p>
    <w:p>
      <w:pPr>
        <w:spacing w:before="0" w:after="80"/>
      </w:pPr>
      <w:r>
        <w:rPr>
          <w:i/>
          <w:sz w:val="20"/>
        </w:rPr>
        <w:t>EN: Bioinspired microcapsule reactor with engineered probiotics for IBD therapy</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尽管基于益生菌的仿生策略显示出治疗炎症性肠病的前景，但其临床转化受到胃酸存活率差、肠道定植效率低和靶向性不足的限制。受珊瑚群落中防御保护-危险感知-组织修复的多层次协作机制的启发，我们开发了核壳仿生微胶囊反应器（MY-E@SS）。在这里，我们展示了多功能仿生外壳能够安全地通过胃肠道输送工程细菌。当到达发炎的肠道部位时，这些细菌感知病理微环境并相应地释放抗炎肽。在炎症性肠病的雄性小鼠模型中，该系统表现出优异的生物相容性和显着的治疗功效，恢复肠道屏障完整性，减轻全身炎症和氧化应激，调节呼吸代谢，并重建微生物稳态。从机制上讲，治疗效果归因于TNF-α/NF-κB信号通路的抑制。这项工作提供了一个智能平台来调节炎症微环境并推进复杂疾病的治疗。</w:t>
      </w:r>
    </w:p>
    <w:p>
      <w:pPr>
        <w:spacing w:before="0" w:after="200" w:lineRule="auto" w:line="276"/>
      </w:pPr>
      <w:r>
        <w:rPr>
          <w:b/>
        </w:rPr>
        <w:t xml:space="preserve">Abstract (EN): </w:t>
      </w:r>
      <w:r>
        <w:t>Although probiotic-based bionic strategies show therapeutic promise for inflammatory bowel disease, their clinical translation is limited by poor gastric acid survival, inefficient intestinal colonization and inadequate targeting. Inspired by the multi-level cooperative mechanism of defense protection–danger sensing–tissue repair observed in coral communities, we developed a core–shell bionic microcapsule reactor (MY-E@SS). Here we show that the multifunctional bionic shell enables safe delivery of engineered bacteria through the gastrointestinal tract. Upon reaching inflamed intestinal sites, these bacteria sense the pathological microenvironment and responsively release an anti-inflammatory peptide. In a male murine model of inflammatory bowel disease, this system exhibited excellent biocompatibility and pronounced therapeutic efficacy, restoring intestinal barrier integrity, attenuating systemic inflammation and oxidative stress, modulating respiratory metabolism, and reestablishing microbial homeostasis. Mechanistically, therapeutic effects were attributed to inhibition of TNF-α/NF-κB signaling pathway. This work provides an intelligent platform to modulate inflammatory microenvironments and advance therapies for complex diseases.</w:t>
      </w:r>
    </w:p>
    <w:p>
      <w:pPr>
        <w:spacing w:before="120" w:after="120"/>
      </w:pPr>
      <w:r>
        <w:rPr>
          <w:sz w:val="18"/>
        </w:rPr>
        <w:t>——————————————————————————————————————————————————————————————————————</w:t>
      </w:r>
    </w:p>
    <w:p>
      <w:pPr>
        <w:spacing w:before="160" w:after="40" w:line="240" w:lineRule="auto"/>
      </w:pPr>
      <w:r>
        <w:rPr>
          <w:b/>
        </w:rPr>
        <w:t xml:space="preserve">[124] </w:t>
      </w:r>
      <w:hyperlink r:id="rId615">
        <w:r>
          <w:rPr>
            <w:color w:val="1155CC"/>
            <w:u w:val="single"/>
          </w:rPr>
          <w:t>细胞质 RNA 聚合酶 II 的结构</w:t>
        </w:r>
      </w:hyperlink>
    </w:p>
    <w:p>
      <w:pPr>
        <w:spacing w:before="0" w:after="80"/>
      </w:pPr>
      <w:r>
        <w:rPr>
          <w:i/>
          <w:sz w:val="20"/>
        </w:rPr>
        <w:t>EN: Structure of cytoplasmic RNA polymerase II</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RNA 聚合酶 II (Pol II) 在进入细胞核之前必须在细胞质中组装，并在细胞核中转录蛋白质编码基因。尽管 Pol II 的转录已被深入研究，但这种中心多亚基酶是如何产生的以及专用组装因子的作用仍不清楚。在这里，我们报告了对生物发生结束时捕获的细胞质中的天然人类 Pol II 进行的综合结构分析。该复合物包含 Gdown1 和三种生物发生因子 - RPAP2 以及关键的小 GTP 酶 GPN1 和 GPN3。该复合物的冷冻电镜分析揭示了 Gdown1 和 RPAP2 如何与 Pol II 结合并防止转录因子过早结合。进一步的生化和冷冻电镜分析揭示了 RPAP2 如何将 GPN1-GPN3 束缚到复合物上，以及 RPAP2-GPN1-GPN3 复合物的组装如何受 GTP 水解控制。综合结果揭示了一个相互作用网络，该网络陪伴细胞质 Pol II 以防止异常相互作用，揭示了调节生物发生因子关联的分子开关，并提出了 GPN 环 GTP 酶家族作用的一般机制。</w:t>
      </w:r>
    </w:p>
    <w:p>
      <w:pPr>
        <w:spacing w:before="0" w:after="200" w:lineRule="auto" w:line="276"/>
      </w:pPr>
      <w:r>
        <w:rPr>
          <w:b/>
        </w:rPr>
        <w:t xml:space="preserve">Abstract (EN): </w:t>
      </w:r>
      <w:r>
        <w:t>RNA polymerase II (Pol II) must be assembled in the cytoplasm before it enters the nucleus, where it transcribes protein-coding genes. Although transcription by Pol II is intensively studied, how this central multi-subunit enzyme is made and the role of dedicated assembly factors remains unclear. Here, we report the integrative structural analysis of a native human Pol II from the cytoplasm captured near the end of biogenesis. The complex contains Gdown1 and three biogenesis factors – RPAP2 and the critical small GTPases GPN1 and GPN3. Cryo-EM analysis of the complex reveals how Gdown1 and RPAP2 associate with Pol II and prevent the premature association of transcription factors. Further biochemical and cryo-EM analysis reveals how RPAP2 tethers GPN1–GPN3 to the complex and how the assembly of the RPAP2–GPN1–GPN3 complex is controlled by GTP hydrolysis. The combined results uncover a network of interactions that chaperone cytoplasmic Pol II to prevent aberrant interactions, reveal a molecular switch regulating biogenesis factor association, and suggest a general mechanism for the action of GPN-loop GTPase family of enzymes.</w:t>
      </w:r>
    </w:p>
    <w:p>
      <w:pPr>
        <w:spacing w:before="120" w:after="120"/>
      </w:pPr>
      <w:r>
        <w:rPr>
          <w:sz w:val="18"/>
        </w:rPr>
        <w:t>——————————————————————————————————————————————————————————————————————</w:t>
      </w:r>
    </w:p>
    <w:p>
      <w:pPr>
        <w:spacing w:before="160" w:after="40" w:line="240" w:lineRule="auto"/>
      </w:pPr>
      <w:r>
        <w:rPr>
          <w:b/>
        </w:rPr>
        <w:t xml:space="preserve">[125] </w:t>
      </w:r>
      <w:hyperlink r:id="rId616">
        <w:r>
          <w:rPr>
            <w:color w:val="1155CC"/>
            <w:u w:val="single"/>
          </w:rPr>
          <w:t>一种核酶连接酶，其 RNA 底物上需要 3' 末端磷酸基</w:t>
        </w:r>
      </w:hyperlink>
    </w:p>
    <w:p>
      <w:pPr>
        <w:spacing w:before="0" w:after="80"/>
      </w:pPr>
      <w:r>
        <w:rPr>
          <w:i/>
          <w:sz w:val="20"/>
        </w:rPr>
        <w:t>EN: A ribozyme ligase that requires a 3′ terminal phosphate on its RNA substrate</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在基于 RNA 的原始生命中，核酶可能在催化代谢过程和促进基因组复制方面发挥着重要作用。体外进化使我们能够扩展 RNA 的生化能力，尤其是新的核酶化学能力。在这里，我们报告了核酶连接酶的偶然发现，该连接酶催化RNA底物的2'-羟基对其自身的5'-三磷酸基团的攻击，但仅当底物具有与其亲核2'-羟基相邻的3'-磷酸基团时。连接酶对其底物上 3'-磷酸基团的需求类似于基于蛋白质的 RNA 修复途径中发现的酶促机制。我们提出，核酶催化的 3'-磷酸化 RNA 连接可能为原始细胞中的 RNA 修复提供了途径。我们证明这些核酶与细胞 RNA 异质混合物中存在的 3'-磷酸化 RNA 特异性连接。我们进一步表明，这些核酶可以捕获具有 3'-磷酸和 2'-3'-环状磷酸末端的切割 RNA，使我们能够选择性地扩增捕获的 RNA。这些结果证明了它们作为富集试剂在转录组学研究中分析 RNA 裂解产物的潜在用途。我们的研究结果不仅报告了 RNA 中新的催化反应性，而且还提供了对核酶进化、原始 RNA 修复以及 RNA 测序中潜在应用的见解。</w:t>
      </w:r>
    </w:p>
    <w:p>
      <w:pPr>
        <w:spacing w:before="0" w:after="200" w:lineRule="auto" w:line="276"/>
      </w:pPr>
      <w:r>
        <w:rPr>
          <w:b/>
        </w:rPr>
        <w:t xml:space="preserve">Abstract (EN): </w:t>
      </w:r>
      <w:r>
        <w:t>Ribozymes likely played essential roles in catalyzing metabolic processes and facilitating genome replication in primordial RNA-based life. In vitro evolution has allowed us to expand the biochemical capabilities of RNA, especially new ribozyme chemistries. Here, we report the serendipitous discovery of ribozyme ligases that catalyze the attack of the 2′-hydroxyl group of an RNA substrate on its own 5′-triphosphate group, but only when the substrate possesses a 3′-phosphate vicinal to its nucleophilic 2′-hydroxyl group. The ligases′ requirement for a 3′-phosphate group on its substrate resembles enzymatic mechanisms found in protein-based RNA repair pathways. We propose that ribozyme-catalyzed ligation of 3′-phosphorylated RNA could have provided pathways for RNA repair in primordial cells. We demonstrate that these ribozymes ligate specifically to 3′-phosphorylated RNA present in a heterogeneous mixture of cellular RNAs. We further show that these ribozymes can capture cleaved RNAs with 3′-phosphate and 2′−3′-cyclic phosphate termini, enabling us to selectively amplify the captured RNAs. These results demonstrate their potential utility as enrichment reagents for profiling RNA cleavage products in transcriptomics studies. Our findings not only report a new catalytic reactivity in RNA but also provide insights into ribozyme evolution, primordial RNA repair, and potential applications in RNA sequencing.</w:t>
      </w:r>
    </w:p>
    <w:p>
      <w:pPr>
        <w:spacing w:before="120" w:after="120"/>
      </w:pPr>
      <w:r>
        <w:rPr>
          <w:sz w:val="18"/>
        </w:rPr>
        <w:t>——————————————————————————————————————————————————————————————————————</w:t>
      </w:r>
    </w:p>
    <w:p>
      <w:pPr>
        <w:spacing w:before="160" w:after="40" w:line="240" w:lineRule="auto"/>
      </w:pPr>
      <w:r>
        <w:rPr>
          <w:b/>
        </w:rPr>
        <w:t xml:space="preserve">[126] </w:t>
      </w:r>
      <w:hyperlink r:id="rId617">
        <w:r>
          <w:rPr>
            <w:color w:val="1155CC"/>
            <w:u w:val="single"/>
          </w:rPr>
          <w:t>苯甲醇生物合成及其亚细胞区室化能够形成气味和产生水杨酸</w:t>
        </w:r>
      </w:hyperlink>
    </w:p>
    <w:p>
      <w:pPr>
        <w:spacing w:before="0" w:after="80"/>
      </w:pPr>
      <w:r>
        <w:rPr>
          <w:i/>
          <w:sz w:val="20"/>
        </w:rPr>
        <w:t>EN: Benzyl alcohol biosynthesis and its subcellular compartmentalization enable scent formation and salicylic acid production</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苯甲醇是一种简单的芳香醇，存在于超过一半的种子植物科中，在植物与环境的相互作用中发挥着重要作用，并且是苯甲酸苄酯的前体，苯甲酸苄酯是植物激素水杨酸苯丙氨酸依赖性生物合成的中间体。尽管其重要性，但植物中负责苯甲醇形成的酶仍然未知。通过结合经典的生化、蛋白质组学和遗传学方法，我们证明了两种 NADPH 依赖性苯甲醛还原酶（仅相差三个氨基酸）负责矮牵牛花中苯甲醇及其下游衍生物苯甲酸苄酯和水杨酸甲酯的形成。此外，苯甲醛还原酶表达的下调显着降低了病原体感染后矮牵牛茎中的水杨酸水平。这些发现提供了直接证据，表明苯甲醛还原酶是通过苯甲酸苄酯中间体进行水杨酸生物合成中最后一种未鉴定的酶。此外，苯甲醛还原酶同系物在开花植物中的亚细胞定位是物种特异性的，发生在过氧化物酶体或细胞质中，这表明不同物种采用不同的区室组织来进行苯丙氨酸依赖性水杨酸生物合成。</w:t>
      </w:r>
    </w:p>
    <w:p>
      <w:pPr>
        <w:spacing w:before="0" w:after="200" w:lineRule="auto" w:line="276"/>
      </w:pPr>
      <w:r>
        <w:rPr>
          <w:b/>
        </w:rPr>
        <w:t xml:space="preserve">Abstract (EN): </w:t>
      </w:r>
      <w:r>
        <w:t>Benzyl alcohol, a simple aromatic alcohol found in more than half of seed plant families, plays important roles in plant-environmental interactions and serves as a precursor of benzyl benzoate, an intermediate in the phenylalanine-dependent biosynthesis of the phytohormone salicylic acid. Despite its importance, the enzyme responsible for benzyl alcohol formation in plants has remained unknown. Using a combination of classical biochemical, proteomic and genetic approaches, we demonstrated that two NADPH-dependent benzaldehyde reductases, differing by only three amino acids, are responsible for the formation of benzyl alcohol and its downstream derivatives, benzyl benzoate and methyl salicylate, in petunia flowers. Moreover, downregulation of benzaldehyde reductase expression substantially reduces salicylic acid levels in petunia stems upon pathogen infection. These findings provide direct evidence that benzaldehyde reductase is the last unidentified enzyme in salicylic acid biosynthesis via the benzyl benzoate intermediate. Moreover, the subcellular localization of benzaldehyde reductase homologs across flowering plants is species-specific, occurring either in peroxisomes or cytosol, suggesting that different species employ distinct compartmental organization for phenylalanine-dependent salicylic acid biosynthesis.</w:t>
      </w:r>
    </w:p>
    <w:p>
      <w:pPr>
        <w:spacing w:before="120" w:after="120"/>
      </w:pPr>
      <w:r>
        <w:rPr>
          <w:sz w:val="18"/>
        </w:rPr>
        <w:t>——————————————————————————————————————————————————————————————————————</w:t>
      </w:r>
    </w:p>
    <w:p>
      <w:pPr>
        <w:spacing w:before="160" w:after="40" w:line="240" w:lineRule="auto"/>
      </w:pPr>
      <w:r>
        <w:rPr>
          <w:b/>
        </w:rPr>
        <w:t xml:space="preserve">[127] </w:t>
      </w:r>
      <w:hyperlink r:id="rId618">
        <w:r>
          <w:rPr>
            <w:color w:val="1155CC"/>
            <w:u w:val="single"/>
          </w:rPr>
          <w:t>致癌Ras驱动EED降解和PRC2功能障碍，促进侵袭性鳞状细胞癌</w:t>
        </w:r>
      </w:hyperlink>
    </w:p>
    <w:p>
      <w:pPr>
        <w:spacing w:before="0" w:after="80"/>
      </w:pPr>
      <w:r>
        <w:rPr>
          <w:i/>
          <w:sz w:val="20"/>
        </w:rPr>
        <w:t>EN: Oncogenic Ras drives EED degradation and PRC2 dysfunction to promote aggressive squamous cell carcinoma</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鳞状细胞癌 (SCC) 是常见的上皮恶性肿瘤，经常与 EZH2 上调相关，这与侵袭性生长和不良预后相关。 EZH2 是 Polycomb 抑制性复合物 2 (PRC2) 的催化亚基，可沉积抑制性 H3K27me3 组蛋白标记，但 PRC2 在 SCC 发病机制中的功能仍未解决。在这里，我们发现了一个悖论：尽管 EZH2 升高，但 PRC2 催化的 H3K27me3 在人类 SCC 和互补小鼠模型中显着降低。从机制上讲，我们发现致癌 Ras 信号传导导致 PRC2 亚基 EED 降解，破坏 PRC2 的稳定性并耗尽 H3K27me3。 EED 的缺失会将角质形成细胞重新编程为一种侵袭性的肿瘤特异性细胞状态，并诱导旁分泌因子重塑肿瘤微环境，从而驱动转移。值得注意的是，重新引入 EED 通过恢复 PRC2 完整性和 H3K27me3 水平来抑制肿瘤生长，揭示了这种表观遗传崩溃的可逆性。这些发现将致癌信号传导与表观遗传重编程联系起来，并揭示了 PRC2 重建作为上皮癌的潜在治疗选择。</w:t>
      </w:r>
    </w:p>
    <w:p>
      <w:pPr>
        <w:spacing w:before="0" w:after="200" w:lineRule="auto" w:line="276"/>
      </w:pPr>
      <w:r>
        <w:rPr>
          <w:b/>
        </w:rPr>
        <w:t xml:space="preserve">Abstract (EN): </w:t>
      </w:r>
      <w:r>
        <w:t>Squamous cell carcinomas (SCCs) are common epithelial malignancies frequently associated with EZH2 upregulation, which correlates with aggressive growth and poor prognosis. EZH2 functions as the catalytic subunit of Polycomb repressive complex 2 (PRC2), which deposits the repressive H3K27me3 histone mark, yet PRC2 function in SCC pathogenesis remains unresolved. Here, we uncover a paradox: although EZH2 is elevated, the PRC2-catalyzed H3K27me3 is profoundly reduced in human SCC and complementary murine models. Mechanistically, we identify that oncogenic Ras signaling causes degradation of the PRC2 subunit EED, destabilizing PRC2 and depleting H3K27me3. Loss of EED reprograms keratinocytes into an aggressive tumor-specific cell state and induces paracrine factors that remodel the tumor microenvironment, driving metastasis. Remarkably, reintroducing EED suppresses tumor growth via restoring PRC2 integrity and H3K27me3 levels, revealing the reversibility of this epigenetic collapse. These findings link oncogenic signaling to epigenetic reprogramming and uncover PRC2 reconstitution as a potential therapeutic option in epithelial cancers.</w:t>
      </w:r>
    </w:p>
    <w:p>
      <w:pPr>
        <w:spacing w:before="120" w:after="120"/>
      </w:pPr>
      <w:r>
        <w:rPr>
          <w:sz w:val="18"/>
        </w:rPr>
        <w:t>——————————————————————————————————————————————————————————————————————</w:t>
      </w:r>
    </w:p>
    <w:p>
      <w:pPr>
        <w:spacing w:before="160" w:after="40" w:line="240" w:lineRule="auto"/>
      </w:pPr>
      <w:r>
        <w:rPr>
          <w:b/>
        </w:rPr>
        <w:t xml:space="preserve">[128] </w:t>
      </w:r>
      <w:hyperlink r:id="rId619">
        <w:r>
          <w:rPr>
            <w:color w:val="1155CC"/>
            <w:u w:val="single"/>
          </w:rPr>
          <w:t>小脑神经群以单次试验精度协调多巴胺奖励信号</w:t>
        </w:r>
      </w:hyperlink>
    </w:p>
    <w:p>
      <w:pPr>
        <w:spacing w:before="0" w:after="80"/>
      </w:pPr>
      <w:r>
        <w:rPr>
          <w:i/>
          <w:sz w:val="20"/>
        </w:rPr>
        <w:t>EN: Cerebellar neural populations orchestrate dopamine reward signaling with single-trial precision</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基于奖励的学习需要神经回路快速记录结果并适应行为，但皮层下回路如何促进时间上精确的奖励信号传导仍然难以捉摸。在这里，我们确定了一种以单次试验精度编码奖励的小脑机制。在小鼠觅食任务中利用透明组织纤维束成像、电生理学和双光子成像，我们描述了小脑深部核（DCN）中短暂的群体沉默，称为瞬时群体沉默（IPS），由浦肯野细胞（PC）的同步活动触发。这种短暂的沉默在奖励后 100 毫秒出现，与奖励预测误差成比例，并诱导腹侧被盖区 (VTA) 多巴胺神经元的反弹阶段性放电。这种单次试验的时间准确性可以通过 PC 到 DCN 或 DCN 到 VTA 预测实现精确的奖励控制。单个 5 毫秒光遗传学脉冲足以引发一个 IPS 和相应的相位 VTA 响应，以单次试验精度改变行为。我们的研究结果强调了小脑在实时奖励编码中的作用，说明了群体动态如何实现时间和单事件精度。</w:t>
      </w:r>
    </w:p>
    <w:p>
      <w:pPr>
        <w:spacing w:before="0" w:after="200" w:lineRule="auto" w:line="276"/>
      </w:pPr>
      <w:r>
        <w:rPr>
          <w:b/>
        </w:rPr>
        <w:t xml:space="preserve">Abstract (EN): </w:t>
      </w:r>
      <w:r>
        <w:t>Reward-based learning requires neural circuits to rapidly register outcomes and adapt behavior, yet how subcortical circuits contribute to temporally precise reward signaling remains elusive. Here, we identify a cerebellar mechanism encoding rewards with single-trial precision. Utilizing cleared-tissue tractography, electrophysiology, and two-photon imaging in a mouse foraging task, we describe a brief population silencing in the deep cerebellar nucleus (DCN), termed instantaneous population silencing (IPS), triggered by synchronized activity of Purkinje cells (PCs). This transient silencing emerges 100 ms after reward, scales with reward prediction errors, and induces rebound phasic firing of ventral tegmental area (VTA) dopamine neurons. Such single-trial temporal accuracy enabled precise reward control via PC-to-DCN or DCN-to-VTA projections. A single 5-ms optogenetic pulse suffices to elicit one IPS and corresponding phasic VTA response, shifting behavior with single-trial precision. Our findings underscore the cerebellum’s role in real-time reward coding, illustrating how population dynamics achieve temporal and single-event precision.</w:t>
      </w:r>
    </w:p>
    <w:p>
      <w:pPr>
        <w:spacing w:before="120" w:after="120"/>
      </w:pPr>
      <w:r>
        <w:rPr>
          <w:sz w:val="18"/>
        </w:rPr>
        <w:t>——————————————————————————————————————————————————————————————————————</w:t>
      </w:r>
    </w:p>
    <w:p>
      <w:pPr>
        <w:spacing w:before="160" w:after="40" w:line="240" w:lineRule="auto"/>
      </w:pPr>
      <w:r>
        <w:rPr>
          <w:b/>
        </w:rPr>
        <w:t xml:space="preserve">[129] </w:t>
      </w:r>
      <w:hyperlink r:id="rId620">
        <w:r>
          <w:rPr>
            <w:color w:val="1155CC"/>
            <w:u w:val="single"/>
          </w:rPr>
          <w:t>输卵管组织驻留记忆 T 细胞的转录组分析揭示了预防卵巢癌的前体免疫监视网络</w:t>
        </w:r>
      </w:hyperlink>
    </w:p>
    <w:p>
      <w:pPr>
        <w:spacing w:before="0" w:after="80"/>
      </w:pPr>
      <w:r>
        <w:rPr>
          <w:i/>
          <w:sz w:val="20"/>
        </w:rPr>
        <w:t>EN: Transcriptomic analysis of tissue-resident memory T cells of the fallopian tube reveals a precursor immune surveillance network for ovarian cancer prevention</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输卵管（FT）越来越被认为是高级别浆液性卵巢癌（HGSOC）的起源，但其免疫状况仍然知之甚少。在这里，我们采用单细胞 RNA 测序和配对 T 细胞受体测序来分析来自患者来源的匹配非癌性 FT、转移性肿瘤和外周血的组织驻留记忆样 T 细胞 (TRML)。我们发现 FT 衍生的 TRML 和肿瘤浸润的 TRML 之间存在大量克隆和功能重叠 (18.4%)，超过了循环 T 细胞。共享克隆型优先富集于耗尽的 CD8+ 亚群中，包括先前未表征的与表观遗传可塑性和代谢适应相关的 SIK3 高亚群。从功能上讲，FT 衍生的 TRML 可以识别自体肿瘤抗原，在类器官共培养测定中表现出强烈的干扰素-γ (IFN-γ) 反应和 CD137 上调，支持早期免疫监视中的作用。值得注意的是，FT TRML 表现出比肿瘤对应物更低的耗竭，这表明了治疗潜力。这些发现揭示了 FT 中的前体免疫监视网络，并支持利用 FT 驻留 T 细胞进行癌症免疫治疗和预防。</w:t>
      </w:r>
    </w:p>
    <w:p>
      <w:pPr>
        <w:spacing w:before="0" w:after="200" w:lineRule="auto" w:line="276"/>
      </w:pPr>
      <w:r>
        <w:rPr>
          <w:b/>
        </w:rPr>
        <w:t xml:space="preserve">Abstract (EN): </w:t>
      </w:r>
      <w:r>
        <w:t>The fallopian tube (FT) is increasingly recognized as the origin of high-grade serous ovarian cancer (HGSOC), yet its immune landscape remains poorly understood. Here, we employ single-cell RNA sequencing and paired T-cell receptor sequencing to profile tissue-resident memory-like T cells (TRML) from patient-derived matched non-cancerous FT, metastatic tumors, and peripheral blood. We identify substantial clonal and functional overlap (18.4%) between FT-derived and tumor-infiltrating TRMLs, exceeding that of circulating T cells. Shared clonotypes are preferentially enriched in exhausted CD8+ subsets, including a previously uncharacterized SIK3-high subset linked to epigenetic plasticity and metabolic adaptation. Functionally, FT-derived TRMLs recognize autologous tumor antigens, showing strong interferon-γ (IFN-γ) responses and CD137 upregulation in organoid coculture assays, supporting a role in early immune surveillance. Notably, FT TRMLs exhibit lower exhaustion than tumor counterparts, suggesting therapeutic potential. These findings reveal a precursor immune surveillance network in the FT and support leveraging FT-resident T cells for cancer immunotherapy and prevention.</w:t>
      </w:r>
    </w:p>
    <w:p>
      <w:pPr>
        <w:spacing w:before="120" w:after="120"/>
      </w:pPr>
      <w:r>
        <w:rPr>
          <w:sz w:val="18"/>
        </w:rPr>
        <w:t>——————————————————————————————————————————————————————————————————————</w:t>
      </w:r>
    </w:p>
    <w:p>
      <w:pPr>
        <w:spacing w:before="160" w:after="40" w:line="240" w:lineRule="auto"/>
      </w:pPr>
      <w:r>
        <w:rPr>
          <w:b/>
        </w:rPr>
        <w:t xml:space="preserve">[130] </w:t>
      </w:r>
      <w:hyperlink r:id="rId621">
        <w:r>
          <w:rPr>
            <w:color w:val="1155CC"/>
            <w:u w:val="single"/>
          </w:rPr>
          <w:t>由截短突变体 NEK1 形成的核凝聚物阻碍核糖体 RNA 生物发生并导致运动功能障碍</w:t>
        </w:r>
      </w:hyperlink>
    </w:p>
    <w:p>
      <w:pPr>
        <w:spacing w:before="0" w:after="80"/>
      </w:pPr>
      <w:r>
        <w:rPr>
          <w:i/>
          <w:sz w:val="20"/>
        </w:rPr>
        <w:t>EN: Nuclear condensates formed by truncated mutant NEK1s impede ribosomal RNA biogenesis and drive motor dysfunction</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NIMA 相关激酶 1 (NEK1) 是一种丝氨酸/苏氨酸激酶，是肌萎缩侧索硬化症 (ALS) 的风险变异体。虽然全长 NEK1 参与多种细胞过程，例如 DNA 损伤反应和微管稳定性，但 ALS 中 NEK1 无义突变的致病机制仍然难以捉摸。在这里，我们证明了源自 ALS 相关 NEK1 无义突变的 NEK1 的三种截短形式从细胞质易位到细胞核，表现出核仁定位，并同时形成液体样核质灶。与野生型 NEK1 的弥漫性细胞质分布相反，这些核定位的截短突变体在细胞内和体外都容易发生液-液相分离。从机制上讲，截短的 NEK1 与核仁蛋白 FBL 相互作用，从而损害核糖体 RNA 的生物发生和翻译。表达截短突变体 NEK1 的转基因果蝇表现出运动功能障碍和生存时间缩短，表达 ALS 相关 NEK1 突变体的敲入转基因小鼠模型同样表现出运动缺陷，并伴有核糖体 RNA 失调。这些发现表明，表达 NEK1 截短形式的 ALS 相关 NEK1 突变体通过干扰核糖体 RNA 代谢引起细胞毒性，并揭示了涉及 NEK1 的 ALS 发病机制中的功能获得机制。</w:t>
      </w:r>
    </w:p>
    <w:p>
      <w:pPr>
        <w:spacing w:before="0" w:after="200" w:lineRule="auto" w:line="276"/>
      </w:pPr>
      <w:r>
        <w:rPr>
          <w:b/>
        </w:rPr>
        <w:t xml:space="preserve">Abstract (EN): </w:t>
      </w:r>
      <w:r>
        <w:t>NIMA-related kinase 1 (NEK1), a serine/threonine kinase, is a risk variant for amyotrophic lateral sclerosis (ALS). While the full-length NEK1 is involved in diverse cellular processes, such as DNA damage response and microtubule stability, the pathogenic mechanism of NEK1 nonsense mutations in ALS remains elusive. Here, we demonstrate that three truncated forms of NEK1 derived from ALS-related NEK1 nonsense mutations translocate from the cytoplasm to the nucleus, exhibit nucleolar localization, and simultaneously form liquid-like nucleoplasmic foci. In contrast to the diffuse cytoplasmic distribution of wild-type NEK1, these nuclear-localized truncated mutants are prone to undergo liquid-liquid phase separation both in cells and in vitro. Mechanistically, the truncated NEK1s interact with the nucleolar protein FBL, thereby impairing ribosomal RNA biogenesis and translation. Transgenic flies expressing truncated mutant NEK1s display motor dysfunction and reduced survival length, and a knock-in transgenic mouse model expressing ALS-related NEK1 mutant similarly exhibits motor deficits accompanied by ribosomal RNA dysregulation. These findings suggest that ALS-related NEK1 mutants expressing truncated forms of NEK1 cause cell toxicity by interfering with ribosomal RNA metabolism and reveal a gain-of-function mechanism in ALS pathogenesis involving NEK1.</w:t>
      </w:r>
    </w:p>
    <w:p>
      <w:pPr>
        <w:spacing w:before="120" w:after="120"/>
      </w:pPr>
      <w:r>
        <w:rPr>
          <w:sz w:val="18"/>
        </w:rPr>
        <w:t>——————————————————————————————————————————————————————————————————————</w:t>
      </w:r>
    </w:p>
    <w:p>
      <w:pPr>
        <w:spacing w:before="160" w:after="40" w:line="240" w:lineRule="auto"/>
      </w:pPr>
      <w:r>
        <w:rPr>
          <w:b/>
        </w:rPr>
        <w:t xml:space="preserve">[131] </w:t>
      </w:r>
      <w:hyperlink r:id="rId622">
        <w:r>
          <w:rPr>
            <w:color w:val="1155CC"/>
            <w:u w:val="single"/>
          </w:rPr>
          <w:t>Nrf2介导的代谢重编程驱动肝细胞癌中调节性T细胞的积累</w:t>
        </w:r>
      </w:hyperlink>
    </w:p>
    <w:p>
      <w:pPr>
        <w:spacing w:before="0" w:after="80"/>
      </w:pPr>
      <w:r>
        <w:rPr>
          <w:i/>
          <w:sz w:val="20"/>
        </w:rPr>
        <w:t>EN: Nrf2-mediated metabolic reprogramming drives regulatory T cell accumulation in hepatocellular carcinoma</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调节性 T 细胞 (Treg) 过度招募和/或激活到肿瘤微环境 (TME) 中会阻碍抗癌免疫。因此，靶向 Tregs 是逆转 TME 免疫抑制特征的一种有前景的策略。在这里，我们研究了肝细胞癌 (HCC) 的发展如何影响组织驻留性 Tregs 的分子程序。存在于非肿瘤肝脏中的 Tregs 具有代谢惰性并且易于凋亡。相反，HCC 浸润性 Treg 响应富含乳酸的 TME，激活核因子红细胞 2 相关因子 2 (Nrf2) 通路，将氧化还原稳态与线粒体功能结合起来，促进 Treg 代谢活性、存活和抑制功能。通过 Treg 特异性 Nfe2l2 消融或全身药理学抑制，Nrf2 功能丧失可防止肿瘤内 Treg 积聚并抑制癌症生长。此外，富含 Nrf2 激活的 Tregs 的晚期 HCC 患者在阿特朱单抗/贝伐单抗治疗后表现出较短的无进展生存期。我们建议将 Nrf2 作为破坏 TME 内 Treg 代谢适应的靶点，从而打破效应细胞和调节性免疫细胞之间的平衡，并减少癌症进展。</w:t>
      </w:r>
    </w:p>
    <w:p>
      <w:pPr>
        <w:spacing w:before="0" w:after="200" w:lineRule="auto" w:line="276"/>
      </w:pPr>
      <w:r>
        <w:rPr>
          <w:b/>
        </w:rPr>
        <w:t xml:space="preserve">Abstract (EN): </w:t>
      </w:r>
      <w:r>
        <w:t>Excessive recruitment and/or activation of regulatory T cells (Treg) into the tumour microenvironment (TME) hamper anti-cancer immunity. Targeting Tregs is therefore a promising strategy to reverse the immunosuppressive features of the TME. Here, we investigate how the development of hepatocellular carcinoma (HCC) impacts the molecular programmes of tissue-resident Tregs. Tregs residing in non-tumoral liver are metabolically inert and prone to apoptosis. Conversely, HCC-infiltrating Tregs activate the nuclear factor erythroid 2-related factor-2 (Nrf2) pathway in response to the lactate-rich TME, which couples redox homeostasis with mitochondrial function and promotes Treg metabolic activity, survival, and suppressive function. Nrf2 loss of function, through either Treg-specific Nfe2l2 ablation or systemic pharmacological inhibition, prevents intra-tumoral Treg accumulation and suppresses cancer growth. Furthermore, patients with advanced HCCs enriched in Tregs with high Nrf2 activation exhibit shorter progression-free survival following atezolizumab/bevacizumab treatment. We propose Nrf2 as a target to disrupt Treg metabolic adaptation within the TME, tipping the balance between effector and regulatory immune cells and reducing cancer progression.</w:t>
      </w:r>
    </w:p>
    <w:p>
      <w:pPr>
        <w:spacing w:before="120" w:after="120"/>
      </w:pPr>
      <w:r>
        <w:rPr>
          <w:sz w:val="18"/>
        </w:rPr>
        <w:t>——————————————————————————————————————————————————————————————————————</w:t>
      </w:r>
    </w:p>
    <w:p>
      <w:pPr>
        <w:spacing w:before="160" w:after="40" w:line="240" w:lineRule="auto"/>
      </w:pPr>
      <w:r>
        <w:rPr>
          <w:b/>
        </w:rPr>
        <w:t xml:space="preserve">[132] </w:t>
      </w:r>
      <w:hyperlink r:id="rId623">
        <w:r>
          <w:rPr>
            <w:color w:val="1155CC"/>
            <w:u w:val="single"/>
          </w:rPr>
          <w:t>对具有较高 BMI 遗传倾向的极端个体进行饮食干预和降低 BMI：一项随机对照试验</w:t>
        </w:r>
      </w:hyperlink>
    </w:p>
    <w:p>
      <w:pPr>
        <w:spacing w:before="0" w:after="80"/>
      </w:pPr>
      <w:r>
        <w:rPr>
          <w:i/>
          <w:sz w:val="20"/>
        </w:rPr>
        <w:t>EN: Dietary intervention and BMI reduction in individuals at the extremes of genetic predisposition to higher BMI: a randomized controlled trial</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遗传易感性在很大程度上导致体重指数（BMI）的个体间差异，但目前尚不清楚全基因组多基因风险是否会改变对饮食减肥干预措施的反应。我们进行了一项前瞻性随机对照试验 (GENEROOS)，以测试 BMI 多基因评分 (PS) 是否与 BMI 变化的六个月饮食干预相互作用，这是主要结果。我们在 38,621 名基因分型个体中采用基因优先再接触策略，从 BMI PS 分布顶部和底部 5% 的超重或轻度肥胖、非糖尿病成年人中招募。共有 223 名参与者（平均年龄 51.1 岁；74.9% 为女性；平均 BMI 30.3 kg/m²）被随机分配接受结构化饮食指导或对照。在基线时，BMI PS 分布前 5% 的个体的 BMI 比后 5% 的个体高 3.0 kg/m²。与对照组（−0.01 kg/m²，95% CI − 0.22 至 0.19）相比，饮食干预在六个月时降低了 BMI（−1.51 kg/m²，95% CI − 1.72 至 −1.31）。然而，我们没有观察到干预相互作用对 BMI 变化产生 BMI PS 的证据（β = 0.06，95% CI - 1.33 至 1.44；P = 0.94）。这些发现表明，在这个人群中，当前全基因组多基因评分所捕获的对较高BMI的遗传易感性并不会显着改变对饮食干预的短期减肥反应。然而，考虑到该研究的样本量，不能排除适度的相互作用效应，需要更大规模的研究来阐明多基因评分在分层基于生活方式的减肥干预中的作用</w:t>
      </w:r>
    </w:p>
    <w:p>
      <w:pPr>
        <w:spacing w:before="0" w:after="200" w:lineRule="auto" w:line="276"/>
      </w:pPr>
      <w:r>
        <w:rPr>
          <w:b/>
        </w:rPr>
        <w:t xml:space="preserve">Abstract (EN): </w:t>
      </w:r>
      <w:r>
        <w:t>Genetic susceptibility substantially contributes to inter-individual variation in body mass index (BMI), yet it remains unclear whether genome-wide polygenic risk modifies response to dietary weight loss interventions. We conducted a prospective, randomized controlled trial (GENEROOS) to test whether a BMI polygenic score (PS) interacts with a six-month dietary intervention on BMI change, which was the primary outcome. Using a genetic-first recontact strategy within 38,621 genotyped individuals, we recruited overweight or mildly obese, non-diabetic adults from the top and bottom 5% of the BMI PS distribution. A total of 223 participants (mean age 51.1 years; 74.9% women; mean BMI 30.3 kg/m²) were randomized to structured dietary coaching or control. At baseline, individuals in the top 5% of the BMI PS distribution had a BMI 3.0 kg/m² higher than those in the bottom 5%. The diet intervention reduced BMI at six months (−1.51 kg/m², 95% CI − 1.72 to −1.31) compared with controls (−0.01 kg/m², 95% CI − 0.22 to 0.19). However, we observed no evidence of a BMI PS by intervention interaction on BMI change (β = 0.06, 95% CI − 1.33 to 1.44; P = 0.94). These findings suggest that, in this population, genetic susceptibility to higher BMI, as captured by current genome-wide polygenic scores, does not substantially modify short-term weight loss response to dietary intervention. However, given the study’s sample size, modest interaction effects cannot be excluded, and larger studies are needed to clarify the role of polygenic scores in stratifying lifestyle-based weight loss interventions. ClinicalTrials.gov Identifier NCT06092372.</w:t>
      </w:r>
    </w:p>
    <w:p>
      <w:pPr>
        <w:spacing w:before="120" w:after="120"/>
      </w:pPr>
      <w:r>
        <w:rPr>
          <w:sz w:val="18"/>
        </w:rPr>
        <w:t>——————————————————————————————————————————————————————————————————————</w:t>
      </w:r>
    </w:p>
    <w:p>
      <w:pPr>
        <w:spacing w:before="160" w:after="40" w:line="240" w:lineRule="auto"/>
      </w:pPr>
      <w:r>
        <w:rPr>
          <w:b/>
        </w:rPr>
        <w:t xml:space="preserve">[133] </w:t>
      </w:r>
      <w:hyperlink r:id="rId624">
        <w:r>
          <w:rPr>
            <w:color w:val="1155CC"/>
            <w:u w:val="single"/>
          </w:rPr>
          <w:t>肝脏 TMEM141 的遗传或药理学抑制可通过 ROS-HNF4α 信号通路减轻 MASH 和纤维化</w:t>
        </w:r>
      </w:hyperlink>
    </w:p>
    <w:p>
      <w:pPr>
        <w:spacing w:before="0" w:after="80"/>
      </w:pPr>
      <w:r>
        <w:rPr>
          <w:i/>
          <w:sz w:val="20"/>
        </w:rPr>
        <w:t>EN: Genetic or pharmacological inhibition of hepatic TMEM141 attenuates MASH and fibrosis via the ROS-HNF4α signaling pathway</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由于肥胖和遗传易感性，代谢功能障碍相关的脂肪性肝病（MASLD）及其晚期形式代谢功能障碍相关的脂肪性肝炎（MASH）已成为全球流行病。在这里，我们报告跨膜蛋白 141 (TMEM141)，一种功能很大程度上未知的蛋白质，作为 MASH 和 MASH 相关纤维化的关键调节因子。由于 microRNA-149 增加，MASLD/MASH 患者和 MASLD/MASH 小鼠模型中肝脏 TMEM141 减少。出乎意料的是，肝细胞TMEM141的基因失活可以防止高脂肪/胆固醇/果糖（HFCF）饮食诱导的MASLD/MASH，而人TMEM141的肝脏过度表达会加剧MASLD/MASH。我们进一步表明 TMEM141 定位于线粒体内并与线粒体复合物 I 相互作用以调节 ROS 的产生。 TMEM141 失活会减少 ROS 产生，诱导肝细胞核因子 4α (HNF4α)，并且在肝细胞 HNF4α 缺失的情况下无法防止 HFCF 饮食诱导的 MASH 或纤维化。最后，N-乙酰半乳糖胺 (GalNAc)-siTmem141 对肝脏 TMEM141 的药理学抑制显着促进 HFCF 饮食诱导的 MASH 和纤维化的逆转。这些发现强调了 TMEM141 在 MASH 发展中的关键作用，并表明靶向肝脏 TMEM141 可能是治疗 MASH 和 MASH 相关纤维化的有前途的策略。</w:t>
      </w:r>
    </w:p>
    <w:p>
      <w:pPr>
        <w:spacing w:before="0" w:after="200" w:lineRule="auto" w:line="276"/>
      </w:pPr>
      <w:r>
        <w:rPr>
          <w:b/>
        </w:rPr>
        <w:t xml:space="preserve">Abstract (EN): </w:t>
      </w:r>
      <w:r>
        <w:t>Metabolic dysfunction-associated steatoic liver disease (MASLD) and its advanced form, metabolic dysfunction-associated steatohepatitis (MASH), have become a global epidemic due to obesity and genetic susceptibility. Here, we report transmembrane protein 141 (TMEM141), a protein with a largely unknown function, as a key regulator of MASH and MASH-associated fibrosis. Hepatic TMEM141 is reduced in MASLD/MASH patients and mouse models of MASLD/MASH due to increased microRNA-149. Unexpectedly, genetic inactivation of hepatocyte TMEM141 protects against MASLD/MASH induced by a high fat/cholesterol/fructose (HFCF) diet, whereas hepatic overexpression of human TMEM141 exacerbates MASLD/MASH. We further show that TMEM141 localizes within mitochondria and interacts with mitochondrial complex I to regulate ROS production. Inactivation of TMEM141 reduces ROS production, induces hepatocyte nuclear factor 4α (HNF4α), and fails to protect against HFCF diet-induced MASH or fibrosis in the absence of hepatocyte HNF4α. Finally, pharmacological inhibition of hepatic TMEM141 by N-acetylgalactosamine (GalNAc)-siTmem141 significantly promotes the reversal of HFCF diet-induced MASH and fibrosis. These findings underscore a critical role of TMEM141 in MASH development and suggest that targeting hepatic TMEM141 may represent a promising strategy for treating MASH and MASH-associated fibrosis.</w:t>
      </w:r>
    </w:p>
    <w:p>
      <w:pPr>
        <w:spacing w:before="120" w:after="120"/>
      </w:pPr>
      <w:r>
        <w:rPr>
          <w:sz w:val="18"/>
        </w:rPr>
        <w:t>——————————————————————————————————————————————————————————————————————</w:t>
      </w:r>
    </w:p>
    <w:p>
      <w:pPr>
        <w:spacing w:before="160" w:after="40" w:line="240" w:lineRule="auto"/>
      </w:pPr>
      <w:r>
        <w:rPr>
          <w:b/>
        </w:rPr>
        <w:t xml:space="preserve">[134] </w:t>
      </w:r>
      <w:hyperlink r:id="rId625">
        <w:r>
          <w:rPr>
            <w:color w:val="1155CC"/>
            <w:u w:val="single"/>
          </w:rPr>
          <w:t>跨统计和深度学习方法评估心力衰竭目标试验模拟的偏差</w:t>
        </w:r>
      </w:hyperlink>
    </w:p>
    <w:p>
      <w:pPr>
        <w:spacing w:before="0" w:after="80"/>
      </w:pPr>
      <w:r>
        <w:rPr>
          <w:i/>
          <w:sz w:val="20"/>
        </w:rPr>
        <w:t>EN: Evaluating bias in target trial emulation for heart failure across statistical and deep learning methods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目标试验模拟（TTE）越来越多地用于根据观察数据进行因果推断，但仍然容易受到指示的混淆，并且尚不清楚先进的调整方法是否可以减轻这种偏差。使用临床实践研究 Datalink Aurum，我们模拟了 β 受体阻滞剂（阳性对照）和地高辛（阴性对照）与常规治疗对射血分数降低的心力衰竭患者两年全因死亡率的目标试验。我们应用四种调整策略：倾向得分匹配、治疗加权逆概率、有针对性的最大似然估计和基于 Transformer 的深度学习方法。没有任何方法可以重现随机对照试验 (RCT) 基准：所有结果都表明 β 受体阻滞剂具有中性或有害作用，而地高辛则具有较高的死亡率。在半合成模拟中，所有方法在观察到混杂因素时都能恢复真实效果，但在现实世界数据中却失败了。当混杂因素很强时，即使进行了高级调整，TTE 也可能无法产生试验等效估计值；随机证据对于临床和政策决策仍然至关重要。</w:t>
      </w:r>
    </w:p>
    <w:p>
      <w:pPr>
        <w:spacing w:before="0" w:after="200" w:lineRule="auto" w:line="276"/>
      </w:pPr>
      <w:r>
        <w:rPr>
          <w:b/>
        </w:rPr>
        <w:t xml:space="preserve">Abstract (EN): </w:t>
      </w:r>
      <w:r>
        <w:t>Target trial emulation (TTE) is increasingly used for causal inference from observational data, but remains vulnerable to confounding by indication, and whether advanced adjustment methods mitigate this bias is unclear. Using Clinical Practice Research Datalink Aurum, we emulate target trials of beta-blockers (positive control) and digoxin (negative control) versus usual care on two-year all-cause mortality in patients with heart failure with reduced ejection fraction. We apply four adjustment strategies: propensity score matching, inverse probability of treatment weighting, targeted maximum likelihood estimation, and a Transformer-based deep learning approach. No method reproduces the randomised controlled trial (RCT) benchmarks: all suggest neutral or harmful effects for beta-blockers and elevated mortality for digoxin. In semi-synthetic simulation, all methods recover the true effects when confounders are observed, yet fail in real-world data. TTE, even with advanced adjustment, may not yield trial-equivalent estimates when confounding is strong; randomised evidence remains essential for clinical and policy decisions.</w:t>
      </w:r>
    </w:p>
    <w:p>
      <w:pPr>
        <w:spacing w:before="120" w:after="120"/>
      </w:pPr>
      <w:r>
        <w:rPr>
          <w:sz w:val="18"/>
        </w:rPr>
        <w:t>——————————————————————————————————————————————————————————————————————</w:t>
      </w:r>
    </w:p>
    <w:p>
      <w:pPr>
        <w:spacing w:before="160" w:after="40" w:line="240" w:lineRule="auto"/>
      </w:pPr>
      <w:r>
        <w:rPr>
          <w:b/>
        </w:rPr>
        <w:t xml:space="preserve">[135] </w:t>
      </w:r>
      <w:hyperlink r:id="rId626">
        <w:r>
          <w:rPr>
            <w:color w:val="1155CC"/>
            <w:u w:val="single"/>
          </w:rPr>
          <w:t>整合结构相互作用组学揭示了巨型病毒中的蛋白质组织和结构</w:t>
        </w:r>
      </w:hyperlink>
    </w:p>
    <w:p>
      <w:pPr>
        <w:spacing w:before="0" w:after="80"/>
      </w:pPr>
      <w:r>
        <w:rPr>
          <w:i/>
          <w:sz w:val="20"/>
        </w:rPr>
        <w:t>EN: Integrative structural interactomics reveals protein organization and structure in a giant virus</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巨型病毒是大型DNA病毒，可感染单细胞和多细胞真核生物并形成异常大的细胞外颗粒。 （元）基因组学和（元）转录组学提供了对其多样化编码库的深入了解，但许多蛋白质仍有待表征，因为它们与已知蛋白质缺乏同源性。在这里，我们整合了交联质谱、定量蛋白质组学、计算工具和冷冻电镜数据来表征完整墨尔本病毒颗粒的蛋白质结构。在此基础上，我们将 88 个病毒蛋白分配到不同的病毒体子区室，并提出了 25 个内膜蛋白的拓扑结构。我们在冷冻电镜数据中分配了衣壳的八个成分，包括将衣壳壳束缚到膜上的蛋白质，反映了病毒颗粒成熟的关键点。这些数据提供了宝贵的资源，并证明了综合方法的力量，可以对特征不明确的生物系统获得系统级结构的见解。</w:t>
      </w:r>
    </w:p>
    <w:p>
      <w:pPr>
        <w:spacing w:before="0" w:after="200" w:lineRule="auto" w:line="276"/>
      </w:pPr>
      <w:r>
        <w:rPr>
          <w:b/>
        </w:rPr>
        <w:t xml:space="preserve">Abstract (EN): </w:t>
      </w:r>
      <w:r>
        <w:t>Giant viruses are large DNA viruses that infect unicellular and multicellular eukaryotes and form exceptionally large extracellular particles. (Meta)genomics and (meta)transcriptomics have provided insight into their diverse coding repertoire, but many of the proteins remain to be characterized as they lack homology with known proteins. Here, we integrate cross-linking mass spectrometry, quantitative proteomics, computational tools and cryo-EM data to characterize the protein architecture of intact melbournevirus particles. Based on this, we allocate 88 viral proteins to different virion sub-compartments and propose topologies of 25 inner membrane proteins. We assign eight components of the capsid in cryo-EM data, including proteins that tether the capsid shell to the membrane, reflecting key points in virion maturation. The data provide a valuable resource and demonstrate the power of an integrative approach to gain system-level structural insights into a poorly characterized biological system.</w:t>
      </w:r>
    </w:p>
    <w:p>
      <w:pPr>
        <w:spacing w:before="120" w:after="120"/>
      </w:pPr>
      <w:r>
        <w:rPr>
          <w:sz w:val="18"/>
        </w:rPr>
        <w:t>——————————————————————————————————————————————————————————————————————</w:t>
      </w:r>
    </w:p>
    <w:p>
      <w:pPr>
        <w:spacing w:before="160" w:after="40" w:line="240" w:lineRule="auto"/>
      </w:pPr>
      <w:r>
        <w:rPr>
          <w:b/>
        </w:rPr>
        <w:t xml:space="preserve">[136] </w:t>
      </w:r>
      <w:hyperlink r:id="rId627">
        <w:r>
          <w:rPr>
            <w:color w:val="1155CC"/>
            <w:u w:val="single"/>
          </w:rPr>
          <w:t>ProLM：针对普通人群的血浆蛋白质组学预训练模型</w:t>
        </w:r>
      </w:hyperlink>
    </w:p>
    <w:p>
      <w:pPr>
        <w:spacing w:before="0" w:after="80"/>
      </w:pPr>
      <w:r>
        <w:rPr>
          <w:i/>
          <w:sz w:val="20"/>
        </w:rPr>
        <w:t>EN: ProLM: a plasma proteomics pretrained model for the general population</w:t>
      </w:r>
    </w:p>
    <w:p>
      <w:pPr>
        <w:spacing w:before="0" w:after="120"/>
      </w:pPr>
      <w:r>
        <w:rPr>
          <w:b/>
        </w:rPr>
        <w:t xml:space="preserve">Source: </w:t>
      </w:r>
      <w:r>
        <w:t>Biological sciences : Nature Communications subject feeds</w:t>
      </w:r>
      <w:r>
        <w:t xml:space="preserve">    </w:t>
      </w:r>
      <w:r>
        <w:rPr>
          <w:b/>
        </w:rPr>
        <w:t xml:space="preserve">Pub date: </w:t>
      </w:r>
      <w:r>
        <w:t>2026-07-13 00:00:00+00:00</w:t>
      </w:r>
    </w:p>
    <w:p>
      <w:pPr>
        <w:spacing w:before="0" w:after="120"/>
      </w:pPr>
      <w:r>
        <w:rPr>
          <w:b/>
        </w:rPr>
        <w:t xml:space="preserve">Notes: </w:t>
      </w:r>
      <w:r>
        <w:t>abstract_source=nature_html</w:t>
      </w:r>
    </w:p>
    <w:p>
      <w:pPr>
        <w:spacing w:before="0" w:after="80" w:lineRule="auto" w:line="276"/>
      </w:pPr>
      <w:r>
        <w:rPr>
          <w:b/>
        </w:rPr>
        <w:t xml:space="preserve">摘要（ZH）: </w:t>
      </w:r>
      <w:r>
        <w:t>血浆蛋白质组学可以提供人类健康的动态分子读数，但学习人群中通用蛋白质表达模式的模型仍然有限。在这里，我们展示了 ProLM，一种基于 BERT 的血浆蛋白质组学模型，对 15,499 名相对健康的英国生物银行参与者进行了预训练，可捕获基线蛋白质表达关系并支持对 16 种常见慢性疾病的预测。经过针对疾病的微调后，ProLM 衍生的蛋白质组风险评分在所有 16 种疾病中均优于年龄+性别模型，在 14 种疾病中优于心血管疾病 (ASCVD) 风险方程，在 11 种疾病中优于 35 变量临床 PANEL 评分。模型解释强调了包括 GDF15 在内的蛋白质，其表达在临床诊断前超过 15 年发生了变化，并且关键发现在中国嘉道理生物库进行了外部评估。这些结果支持血浆蛋白质组学预训练模型作为早期慢性病风险分层的工具，而在临床实施之前需要进行前瞻性验证。</w:t>
      </w:r>
    </w:p>
    <w:p>
      <w:pPr>
        <w:spacing w:before="0" w:after="200" w:lineRule="auto" w:line="276"/>
      </w:pPr>
      <w:r>
        <w:rPr>
          <w:b/>
        </w:rPr>
        <w:t xml:space="preserve">Abstract (EN): </w:t>
      </w:r>
      <w:r>
        <w:t>Plasma proteomics can provide a dynamic molecular readout of human health, but models that learn generalizable protein-expression patterns in population cohorts remain limited. Here we show that ProLM, a BERT-based plasma proteomics model pretrained on 15,499 relatively healthy UK Biobank participants, captures baseline protein-expression relationships and supports prediction of 16 common chronic diseases. After disease-specific fine-tuning, the ProLM-derived proteomic risk score outperformed the Age+Sex model for all 16 diseases, the cardiovascular disease (ASCVD) risk equation for 14 diseases and a 35-variable clinical PANEL score for 11 diseases. Model interpretation highlighted proteins including GDF15 whose expression changed more than 15 years before clinical diagnosis, and key findings were externally evaluated in the China Kadoorie Biobank. These results support plasma proteomics pretrained models as tools for early chronic-disease risk stratification, while prospective validation is needed before clinical implementation.</w:t>
      </w:r>
    </w:p>
    <w:p>
      <w:pPr>
        <w:spacing w:before="120" w:after="120"/>
      </w:pPr>
      <w:r>
        <w:rPr>
          <w:sz w:val="18"/>
        </w:rPr>
        <w:t>——————————————————————————————————————————————————————————————————————</w:t>
      </w:r>
    </w:p>
    <w:p>
      <w:pPr>
        <w:spacing w:before="160" w:after="40" w:line="240" w:lineRule="auto"/>
      </w:pPr>
      <w:r>
        <w:rPr>
          <w:b/>
        </w:rPr>
        <w:t xml:space="preserve">[137] </w:t>
      </w:r>
      <w:hyperlink r:id="rId628">
        <w:r>
          <w:rPr>
            <w:color w:val="1155CC"/>
            <w:u w:val="single"/>
          </w:rPr>
          <w:t>Pbr1（一种假定的氧化还原酶）在 ER 质量控制和酵母 Fks1 葡聚糖合酶折叠中的作用</w:t>
        </w:r>
      </w:hyperlink>
    </w:p>
    <w:p>
      <w:pPr>
        <w:spacing w:before="0" w:after="80"/>
      </w:pPr>
      <w:r>
        <w:rPr>
          <w:i/>
          <w:sz w:val="20"/>
        </w:rPr>
        <w:t>EN: Role of Pbr1, a putative oxidoreductase, in the ER quality control and folding of yeast Fks1 glucan synthase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29">
        <w:r>
          <w:rPr>
            <w:color w:val="1155CC"/>
            <w:u w:val="single"/>
          </w:rPr>
          <w:t>10.1073/pnas.2612792123</w:t>
        </w:r>
      </w:hyperlink>
    </w:p>
    <w:p>
      <w:pPr>
        <w:spacing w:before="0" w:after="120"/>
      </w:pPr>
      <w:r>
        <w:rPr>
          <w:b/>
        </w:rPr>
        <w:t xml:space="preserve">Notes: </w:t>
      </w:r>
      <w:r>
        <w:t>abstract_source=crossref</w:t>
      </w:r>
    </w:p>
    <w:p>
      <w:pPr>
        <w:spacing w:before="0" w:after="80" w:lineRule="auto" w:line="276"/>
      </w:pPr>
      <w:r>
        <w:rPr>
          <w:b/>
        </w:rPr>
        <w:t xml:space="preserve">摘要（ZH）: </w:t>
      </w:r>
      <w:r>
        <w:t>多通道膜蛋白的生物合成对内质网 (ER) 质量控制提出了挑战，特别是当跨膜片段含有功能所需的极性或带电残基时。 Fks1 是酵母 β-(1,3)-葡聚糖合酶的催化亚基，它体现了这一挑战，因为其大型多通道跨膜结构必须支持质膜上的葡聚糖合成，同时在内质网中进行有效的生物发生。在这里，我们研究了细胞的作用</w:t>
      </w:r>
      <w:r>
        <w:t xml:space="preserve"> </w:t>
      </w:r>
      <w:r>
        <w:t>策略BR1</w:t>
      </w:r>
      <w:r>
        <w:t xml:space="preserve"> </w:t>
      </w:r>
      <w:r>
        <w:t>（</w:t>
      </w:r>
      <w:r>
        <w:t xml:space="preserve"> </w:t>
      </w:r>
      <w:r>
        <w:t>YNL181W</w:t>
      </w:r>
      <w:r>
        <w:t xml:space="preserve"> </w:t>
      </w:r>
      <w:r>
        <w:t>），这是一个重要基因，尽管其预测产物与氧化还原酶相似，但其作用仍未得到表征。通过将定量形态学分析与全局遗传相互作用分析相结合，我们发现</w:t>
      </w:r>
      <w:r>
        <w:t xml:space="preserve"> </w:t>
      </w:r>
      <w:r>
        <w:t>策略BR1</w:t>
      </w:r>
      <w:r>
        <w:t xml:space="preserve"> </w:t>
      </w:r>
      <w:r>
        <w:t>功能集中在细胞壁生物合成上，并且与细胞壁生物合成非常相似</w:t>
      </w:r>
      <w:r>
        <w:t xml:space="preserve"> </w:t>
      </w:r>
      <w:r>
        <w:t>FKS1</w:t>
      </w:r>
      <w:r>
        <w:t xml:space="preserve"> </w:t>
      </w:r>
      <w:r>
        <w:t>。 Pbr1 功能的部分丧失会导致温度敏感的生长缺陷，但也会损害 β-(1,3)-葡聚糖的合成，并削弱细胞壁的完整性。在这些条件下，Fks1 未能在细胞表面积累，而是积累在 ER 相关区室中，在那里它表现出稳定性降低。生化分析揭示了未成熟 Fks1 物种的积累，包括糖基化缺陷的形式，这与 ER 质量控制受损一致。自发错义抑制等位基因</w:t>
      </w:r>
      <w:r>
        <w:t xml:space="preserve"> </w:t>
      </w:r>
      <w:r>
        <w:t>FKS1</w:t>
      </w:r>
      <w:r>
        <w:t xml:space="preserve"> </w:t>
      </w:r>
      <w:r>
        <w:t>部分恢复 Fks1 稳定性和</w:t>
      </w:r>
    </w:p>
    <w:p>
      <w:pPr>
        <w:spacing w:before="0" w:after="200" w:lineRule="auto" w:line="276"/>
      </w:pPr>
      <w:r>
        <w:rPr>
          <w:b/>
        </w:rPr>
        <w:t xml:space="preserve">Abstract (EN): </w:t>
      </w:r>
      <w:r>
        <w:t>The biogenesis of multipass membrane proteins challenges the endoplasmic reticulum (ER) quality control, particularly when transmembrane segments contain polar or charged residues required for function. Fks1, the catalytic subunit of yeast β-(1,3)-glucan synthase, exemplifies this challenge because its large multipass transmembrane architecture must support glucan synthesis at the plasma membrane while also undergoing efficient biogenesis in the ER. Here, we investigate the cellular role of</w:t>
      </w:r>
      <w:r>
        <w:t xml:space="preserve"> </w:t>
      </w:r>
      <w:r>
        <w:t>PBR1</w:t>
      </w:r>
      <w:r>
        <w:t xml:space="preserve"> </w:t>
      </w:r>
      <w:r>
        <w:t>(</w:t>
      </w:r>
      <w:r>
        <w:t xml:space="preserve"> </w:t>
      </w:r>
      <w:r>
        <w:t>YNL181W</w:t>
      </w:r>
      <w:r>
        <w:t xml:space="preserve"> </w:t>
      </w:r>
      <w:r>
        <w:t>), an essential gene whose role remains uncharacterized even though its predicted product has similarity to oxidoreductases. By integrating quantitative morphological profiling with global genetic interaction analysis, we found that</w:t>
      </w:r>
      <w:r>
        <w:t xml:space="preserve"> </w:t>
      </w:r>
      <w:r>
        <w:t>PBR1</w:t>
      </w:r>
      <w:r>
        <w:t xml:space="preserve"> </w:t>
      </w:r>
      <w:r>
        <w:t>function converges on cell-wall biosynthesis and closely parallels that of</w:t>
      </w:r>
      <w:r>
        <w:t xml:space="preserve"> </w:t>
      </w:r>
      <w:r>
        <w:t>FKS1</w:t>
      </w:r>
      <w:r>
        <w:t xml:space="preserve"> </w:t>
      </w:r>
      <w:r>
        <w:t>. Partial loss of Pbr1 function caused temperature-sensitive growth defects but also impaired β-(1,3)-glucan synthesis, and weakened cell-wall integrity. Under these conditions, Fks1 failed to accumulate at the cell surface and, instead, accumulated in ER-associated compartments, where it exhibited reduced stability. Biochemical analyses revealed the accumulation of immature Fks1 species, including forms defective in glycosylation, consistent with compromised ER quality control. A spontaneous missense suppressor allele of</w:t>
      </w:r>
      <w:r>
        <w:t xml:space="preserve"> </w:t>
      </w:r>
      <w:r>
        <w:t>FKS1</w:t>
      </w:r>
      <w:r>
        <w:t xml:space="preserve"> </w:t>
      </w:r>
      <w:r>
        <w:t>partially restored Fks1 stability and growth, supporting a functional relationship between the two proteins. Pbr1 is a cytosol-facing ER membrane protein that physically associates with Fks1, and structural modeling suggests that it adopts a Rossmann-like fold capable of binding pyridine nucleotides despite divergence from canonical catalytic motifs. Together, these findings identify Pbr1 as an ER-associated, chaperone-like factor required for the folding and maturation of Fks1.</w:t>
      </w:r>
    </w:p>
    <w:p>
      <w:pPr>
        <w:spacing w:before="120" w:after="120"/>
      </w:pPr>
      <w:r>
        <w:rPr>
          <w:sz w:val="18"/>
        </w:rPr>
        <w:t>——————————————————————————————————————————————————————————————————————</w:t>
      </w:r>
    </w:p>
    <w:p>
      <w:pPr>
        <w:spacing w:before="160" w:after="40" w:line="240" w:lineRule="auto"/>
      </w:pPr>
      <w:r>
        <w:rPr>
          <w:b/>
        </w:rPr>
        <w:t xml:space="preserve">[138] </w:t>
      </w:r>
      <w:hyperlink r:id="rId630">
        <w:r>
          <w:rPr>
            <w:color w:val="1155CC"/>
            <w:u w:val="single"/>
          </w:rPr>
          <w:t>默认网络的目标导向调制支持选择性注意、工作记忆和先验知识之间的交互</w:t>
        </w:r>
      </w:hyperlink>
    </w:p>
    <w:p>
      <w:pPr>
        <w:spacing w:before="0" w:after="80"/>
      </w:pPr>
      <w:r>
        <w:rPr>
          <w:i/>
          <w:sz w:val="20"/>
        </w:rPr>
        <w:t>EN: Goal-directed modulation of the default network supports interactions between selective attention, working memory, and prior knowledge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31">
        <w:r>
          <w:rPr>
            <w:color w:val="1155CC"/>
            <w:u w:val="single"/>
          </w:rPr>
          <w:t>10.1073/pnas.2605179123</w:t>
        </w:r>
      </w:hyperlink>
    </w:p>
    <w:p>
      <w:pPr>
        <w:spacing w:before="0" w:after="120"/>
      </w:pPr>
      <w:r>
        <w:rPr>
          <w:b/>
        </w:rPr>
        <w:t xml:space="preserve">Notes: </w:t>
      </w:r>
      <w:r>
        <w:t>abstract_source=crossref</w:t>
      </w:r>
    </w:p>
    <w:p>
      <w:pPr>
        <w:spacing w:before="0" w:after="80" w:lineRule="auto" w:line="276"/>
      </w:pPr>
      <w:r>
        <w:rPr>
          <w:b/>
        </w:rPr>
        <w:t xml:space="preserve">摘要（ZH）: </w:t>
      </w:r>
      <w:r>
        <w:t>记忆对于灵活、目标导向的行为至关重要。先验知识决定了我们当前的决策和未来的计划，并引导我们的注意力在复杂、嘈杂的世界中选择性地优先考虑相关信息。然而，大多数关于选择性注意的神经基础的研究都集中在新刺激上，并根据感知特征而不是先验知识定义了目标相关性。我们研究了当目标相关性取决于先验知识时大脑如何支持选择性注意，并比较了新奇（与记忆无关）和熟悉（记忆增强）刺激的选择。使用多回波功能磁共振成像，我们记录了选择性工作记忆任务期间的大脑活动，该任务涉及著名（熟悉）和匿名（新颖）的人和地点的图片。我们操纵了名声与任务绩效的相关性：在“名声相关”任务块中，参与者有选择地关注名人，而忽略匿名刺激；在“与名气无关”的街区，他们专注于匿名，而忽略了著名的刺激。与非选择性分类任务相比，选择性工作记忆任务引发了额顶控制和背侧注意网络的持续共同激活。与任务相关的刺激与与任务无关的刺激相比，会引起额顶控制和默认网络区域的短暂共激活，而与刺激的名气无关。在 DN 中，这种效应是由任务相关刺激的增强激活和任务无关刺激的抑制驱动的，证实了注意力驱动的神经调节。此外，选择性工作记忆共同激活</w:t>
      </w:r>
    </w:p>
    <w:p>
      <w:pPr>
        <w:spacing w:before="0" w:after="200" w:lineRule="auto" w:line="276"/>
      </w:pPr>
      <w:r>
        <w:rPr>
          <w:b/>
        </w:rPr>
        <w:t xml:space="preserve">Abstract (EN): </w:t>
      </w:r>
      <w:r>
        <w:t>Memory is central to flexible, goal-directed behavior. Prior knowledge shapes our current decisions and future plans and guides our attention to selectively prioritize relevant information in our complex, noisy world. Yet, most research on the neural basis of selective attention has focused on novel stimuli and has defined goal relevance based on perceptual features rather than prior knowledge. We investigated how the brain supports selective attention when goal relevance depends on prior knowledge, and compared selection of novel (memory-independent) versus familiar (memory-enhanced) stimuli. Using multiecho fMRI, we recorded brain activity during a selective working memory task involving pictures of famous (familiar) and anonymous (novel) people and places. We manipulated the relevance of fame to task performance: In “fame relevant” task blocks, participants selectively attended to famous while ignoring anonymous stimuli; in “fame irrelevant” blocks, they attended to anonymous while ignoring famous stimuli. Compared to a nonselective, categorization task, the selective working memory task elicited sustained coactivation of frontoparietal control and dorsal attention networks. Task-relevant contrasted with task-irrelevant stimuli elicited transient coactivation of frontoparietal control and default network regions, irrespective of stimulus fame. Within the DN, this effect was driven by both enhanced activation for task-relevant stimuli and suppression for task-irrelevant stimuli, confirming attention-driven neuromodulation. Further, selective working memory coactivated these high-order, heteromodal brain networks while lowering activity in visual regions. Our findings elucidate the neural underpinnings of prior knowledge-guided selection of perceptual inputs for working memory, suggesting differences from those previously reported for perception-guided selection.</w:t>
      </w:r>
    </w:p>
    <w:p>
      <w:pPr>
        <w:spacing w:before="120" w:after="120"/>
      </w:pPr>
      <w:r>
        <w:rPr>
          <w:sz w:val="18"/>
        </w:rPr>
        <w:t>——————————————————————————————————————————————————————————————————————</w:t>
      </w:r>
    </w:p>
    <w:p>
      <w:pPr>
        <w:spacing w:before="160" w:after="40" w:line="240" w:lineRule="auto"/>
      </w:pPr>
      <w:r>
        <w:rPr>
          <w:b/>
        </w:rPr>
        <w:t xml:space="preserve">[139] </w:t>
      </w:r>
      <w:hyperlink r:id="rId632">
        <w:r>
          <w:rPr>
            <w:color w:val="1155CC"/>
            <w:u w:val="single"/>
          </w:rPr>
          <w:t>通过蜜蜂中表达 dsx 的细胞抑制年龄依赖性行为</w:t>
        </w:r>
      </w:hyperlink>
    </w:p>
    <w:p>
      <w:pPr>
        <w:spacing w:before="0" w:after="80"/>
      </w:pPr>
      <w:r>
        <w:rPr>
          <w:i/>
          <w:sz w:val="20"/>
        </w:rPr>
        <w:t>EN: Inhibitory modulation of age-dependent behavior through dsx-expressing cells in honeybees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33">
        <w:r>
          <w:rPr>
            <w:color w:val="1155CC"/>
            <w:u w:val="single"/>
          </w:rPr>
          <w:t>10.1073/pnas.2604986123</w:t>
        </w:r>
      </w:hyperlink>
    </w:p>
    <w:p>
      <w:pPr>
        <w:spacing w:before="0" w:after="120"/>
      </w:pPr>
      <w:r>
        <w:rPr>
          <w:b/>
        </w:rPr>
        <w:t xml:space="preserve">Notes: </w:t>
      </w:r>
      <w:r>
        <w:t>abstract_source=crossref</w:t>
      </w:r>
    </w:p>
    <w:p>
      <w:pPr>
        <w:spacing w:before="0" w:after="80" w:lineRule="auto" w:line="276"/>
      </w:pPr>
      <w:r>
        <w:rPr>
          <w:b/>
        </w:rPr>
        <w:t xml:space="preserve">摘要（ZH）: </w:t>
      </w:r>
      <w:r>
        <w:t>群居昆虫表现出独特的与年龄相关的行为能力，这些行为能力共同为群体的共同利益做出了贡献。然而，神经系统如何表现出这种与年龄相关的、不同的劳动分工行为能力，目前还不清楚。在蜜蜂中（</w:t>
      </w:r>
      <w:r>
        <w:t xml:space="preserve"> </w:t>
      </w:r>
      <w:r>
        <w:t>意大利蜜蜂</w:t>
      </w:r>
      <w:r>
        <w:t xml:space="preserve"> </w:t>
      </w:r>
      <w:r>
        <w:t>），这种年龄依赖性多民族主义的经典模型，年轻但不年长的工蜂会照顾并喂养蜂王（随从行为），这是由蜂王下颌信息素（QMP）触发的。在这里，我们发现年长的蜜蜂仍然具有潜在的 QMP 随从反应，但是，该反应受到</w:t>
      </w:r>
      <w:r>
        <w:t xml:space="preserve"> </w:t>
      </w:r>
      <w:r>
        <w:t>双性恋</w:t>
      </w:r>
      <w:r>
        <w:t xml:space="preserve"> </w:t>
      </w:r>
      <w:r>
        <w:t>- 表达（</w:t>
      </w:r>
      <w:r>
        <w:t xml:space="preserve"> </w:t>
      </w:r>
      <w:r>
        <w:t>dsx</w:t>
      </w:r>
      <w:r>
        <w:t xml:space="preserve"> </w:t>
      </w:r>
      <w:r>
        <w:t>+</w:t>
      </w:r>
      <w:r>
        <w:t xml:space="preserve"> </w:t>
      </w:r>
      <w:r>
        <w:t>）细胞。我们从内源性基因中表达了设计的神经元沉默剂 hM4Di 蛋白</w:t>
      </w:r>
      <w:r>
        <w:t xml:space="preserve"> </w:t>
      </w:r>
      <w:r>
        <w:t>dsx</w:t>
      </w:r>
      <w:r>
        <w:t xml:space="preserve"> </w:t>
      </w:r>
      <w:r>
        <w:t>发起人。我们通过喂食或不喂食合成配体 C21 有条件地激活该受体蛋白。 8 至 11 天大的工蜂在电沉默条件下 (+C21) 表现出类似随从的 QMP 反应，但在非沉默条件下 (−C21) 则不然。对照实验表明，配体 C21 的施用不能解释在老年蜜蜂中观察到的随从行为的增加，否则这种现象只能在年轻的蜜蜂中观察到。我们的研究表明具有抑制作用</w:t>
      </w:r>
      <w:r>
        <w:t xml:space="preserve"> </w:t>
      </w:r>
      <w:r>
        <w:t>dsx</w:t>
      </w:r>
      <w:r>
        <w:t xml:space="preserve"> </w:t>
      </w:r>
      <w:r>
        <w:t>+</w:t>
      </w:r>
      <w:r>
        <w:t xml:space="preserve"> </w:t>
      </w:r>
      <w:r>
        <w:t>年龄依赖性随行行为细胞</w:t>
      </w:r>
    </w:p>
    <w:p>
      <w:pPr>
        <w:spacing w:before="0" w:after="200" w:lineRule="auto" w:line="276"/>
      </w:pPr>
      <w:r>
        <w:rPr>
          <w:b/>
        </w:rPr>
        <w:t xml:space="preserve">Abstract (EN): </w:t>
      </w:r>
      <w:r>
        <w:t>Social insects exhibit distinct age-dependent behavioral repertoires that collectively contribute to the common benefits of a colony. However, how the nervous system manifests the capacity of such age-dependent, disparate behavioral repertoires underlying the division of labor is largely unknown. In honeybee (</w:t>
      </w:r>
      <w:r>
        <w:t xml:space="preserve"> </w:t>
      </w:r>
      <w:r>
        <w:t>Apis mellifera</w:t>
      </w:r>
      <w:r>
        <w:t xml:space="preserve"> </w:t>
      </w:r>
      <w:r>
        <w:t>), a classical model of such age-dependent polyethism, young but not older worker bees attend and feed the queen (retinue behavior), which is triggered by the queen mandibular pheromone (QMP). Here, we revealed that older bees are still equipped with a latent QMP retinue response that is, however, modulated by the electrical activity of</w:t>
      </w:r>
      <w:r>
        <w:t xml:space="preserve"> </w:t>
      </w:r>
      <w:r>
        <w:t>doublesex</w:t>
      </w:r>
      <w:r>
        <w:t xml:space="preserve"> </w:t>
      </w:r>
      <w:r>
        <w:t>-expressing (</w:t>
      </w:r>
      <w:r>
        <w:t xml:space="preserve"> </w:t>
      </w:r>
      <w:r>
        <w:t>dsx</w:t>
      </w:r>
      <w:r>
        <w:t xml:space="preserve"> </w:t>
      </w:r>
      <w:r>
        <w:t>+</w:t>
      </w:r>
      <w:r>
        <w:t xml:space="preserve"> </w:t>
      </w:r>
      <w:r>
        <w:t>) cells. We genetically expressed a designed neuron silencer hM4Di protein from the endogenous</w:t>
      </w:r>
      <w:r>
        <w:t xml:space="preserve"> </w:t>
      </w:r>
      <w:r>
        <w:t>dsx</w:t>
      </w:r>
      <w:r>
        <w:t xml:space="preserve"> </w:t>
      </w:r>
      <w:r>
        <w:t>promoter. We conditionally activated this receptor protein by feeding or not feeding the synthetic ligand C21. Eight- to 11-day-old worker bees displayed a retinue-like QMP response under electrical silencing conditions (+C21) but not under nonsilencing conditions (−C21). Control experiments demonstrated that the administration of the ligand C21 could not account for the observed increase in retinue behaviors in older bees, which is otherwise only observed in younger bees. Our study suggests an inhibitory role of</w:t>
      </w:r>
      <w:r>
        <w:t xml:space="preserve"> </w:t>
      </w:r>
      <w:r>
        <w:t>dsx</w:t>
      </w:r>
      <w:r>
        <w:t xml:space="preserve"> </w:t>
      </w:r>
      <w:r>
        <w:t>+</w:t>
      </w:r>
      <w:r>
        <w:t xml:space="preserve"> </w:t>
      </w:r>
      <w:r>
        <w:t>cells of age-dependent retinue behaviors and establishes an unexplored connection between polyethism and its manifestation in the nervous system. Hence, chemogenetically driven manipulations suggest inroads for examining the division of labor at the level of neuronal activity.</w:t>
      </w:r>
    </w:p>
    <w:p>
      <w:pPr>
        <w:spacing w:before="120" w:after="120"/>
      </w:pPr>
      <w:r>
        <w:rPr>
          <w:sz w:val="18"/>
        </w:rPr>
        <w:t>——————————————————————————————————————————————————————————————————————</w:t>
      </w:r>
    </w:p>
    <w:p>
      <w:pPr>
        <w:spacing w:before="160" w:after="40" w:line="240" w:lineRule="auto"/>
      </w:pPr>
      <w:r>
        <w:rPr>
          <w:b/>
        </w:rPr>
        <w:t xml:space="preserve">[140] </w:t>
      </w:r>
      <w:hyperlink r:id="rId634">
        <w:r>
          <w:rPr>
            <w:color w:val="1155CC"/>
            <w:u w:val="single"/>
          </w:rPr>
          <w:t>经历纳米级距离变化的相同点散射体的不间断光学分辨率</w:t>
        </w:r>
      </w:hyperlink>
    </w:p>
    <w:p>
      <w:pPr>
        <w:spacing w:before="0" w:after="80"/>
      </w:pPr>
      <w:r>
        <w:rPr>
          <w:i/>
          <w:sz w:val="20"/>
        </w:rPr>
        <w:t>EN: Uninterrupted optical resolution of identical point scatterers undergoing nanometric changes in distance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35">
        <w:r>
          <w:rPr>
            <w:color w:val="1155CC"/>
            <w:u w:val="single"/>
          </w:rPr>
          <w:t>10.1073/pnas.2604558123</w:t>
        </w:r>
      </w:hyperlink>
    </w:p>
    <w:p>
      <w:pPr>
        <w:spacing w:before="0" w:after="120"/>
      </w:pPr>
      <w:r>
        <w:rPr>
          <w:b/>
        </w:rPr>
        <w:t xml:space="preserve">Notes: </w:t>
      </w:r>
      <w:r>
        <w:t>abstract_source=crossref</w:t>
      </w:r>
    </w:p>
    <w:p>
      <w:pPr>
        <w:spacing w:before="0" w:after="80" w:lineRule="auto" w:line="276"/>
      </w:pPr>
      <w:r>
        <w:rPr>
          <w:b/>
        </w:rPr>
        <w:t xml:space="preserve">摘要（ZH）: </w:t>
      </w:r>
      <w:r>
        <w:t>在已建立的超分辨率荧光显微镜或纳米显微镜中，在亚衍射距离处解析相同的荧光分子需要分子顺序发射，以便它们可以一个接一个地短暂地与邻近的分子辨别。因此，同时跟踪相距仅几纳米的多个荧光团在概念上和实际上都是不可能的。我们最近表明，用强度为零的激发光束（即 MINFLUX 超分辨率）探测亚衍射区域，可以不间断地定位和解析紧密堆积的相同荧光团。在这里，我们提供了一个概念框架，用于解析和跟踪不断发射相同的荧光团（更一般地说，点散射体），这些荧光团的位置发生随机变化。特别是，我们表明荧光显微镜的检测率足以跟踪微秒至毫秒内亚 10 nm 的距离变化。通过使用具有固定和可移动荧光团的 DNA 折纸结构作为代理，我们提供了一个概念验证，即可以用可见光连续检测大分子的热驱动构象变化。 DNA 纳米结构的构象变化导致两个标签之间约 10 nm 距离的随机跳跃，在约 1 ms 内被记录。我们的工作为利用聚焦光超分辨单个生物分子的复杂构象转变铺平了道路。</w:t>
      </w:r>
    </w:p>
    <w:p>
      <w:pPr>
        <w:spacing w:before="0" w:after="200" w:lineRule="auto" w:line="276"/>
      </w:pPr>
      <w:r>
        <w:rPr>
          <w:b/>
        </w:rPr>
        <w:t xml:space="preserve">Abstract (EN): </w:t>
      </w:r>
      <w:r>
        <w:t>In established superresolution fluorescence microscopy or nanoscopy, resolving identical fluorescent molecules at subdiffraction distances requires the molecules to emit sequentially so that they briefly become discernible from their neighbors one after another. Simultaneous tracking of multiple fluorophores that are only a few nanometers apart is thus conceptually and practically impossible. We have recently shown that probing a subdiffraction region with an excitation beam featuring an intensity zero, i.e., MINFLUX superresolution, localizes and resolves closely packed identical fluorophores without interruption. Here, we provide a conceptual framework for resolving and tracking constantly emitting identical fluorophores—more generally, point scatterers—that undergo random changes in position. In particular, we show that the detection rates available in fluorescence microscopy are sufficient to track sub-10 nm distance changes within micro- to milliseconds. By using a DNA origami construct with a fixed and a movable fluorophore as a proxy, we provide a proof-of-concept that thermally driven conformational changes of macromolecules are continuously detectable with visible light. Conformational changes of the DNA nanostructure leading to random jumps in distance of about 10 nm between two labels are registered within ~1 ms. Our work paves the way toward superresolving complex conformational transitions of individual biomolecules with focused light.</w:t>
      </w:r>
    </w:p>
    <w:p>
      <w:pPr>
        <w:spacing w:before="120" w:after="120"/>
      </w:pPr>
      <w:r>
        <w:rPr>
          <w:sz w:val="18"/>
        </w:rPr>
        <w:t>——————————————————————————————————————————————————————————————————————</w:t>
      </w:r>
    </w:p>
    <w:p>
      <w:pPr>
        <w:spacing w:before="160" w:after="40" w:line="240" w:lineRule="auto"/>
      </w:pPr>
      <w:r>
        <w:rPr>
          <w:b/>
        </w:rPr>
        <w:t xml:space="preserve">[141] </w:t>
      </w:r>
      <w:hyperlink r:id="rId636">
        <w:r>
          <w:rPr>
            <w:color w:val="1155CC"/>
            <w:u w:val="single"/>
          </w:rPr>
          <w:t>通过生命树序列的融合进行进化创新</w:t>
        </w:r>
      </w:hyperlink>
    </w:p>
    <w:p>
      <w:pPr>
        <w:spacing w:before="0" w:after="80"/>
      </w:pPr>
      <w:r>
        <w:rPr>
          <w:i/>
          <w:sz w:val="20"/>
        </w:rPr>
        <w:t>EN: Evolutionary innovation through fusion of sequences from across the tree of life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37">
        <w:r>
          <w:rPr>
            <w:color w:val="1155CC"/>
            <w:u w:val="single"/>
          </w:rPr>
          <w:t>10.1073/pnas.2602557123</w:t>
        </w:r>
      </w:hyperlink>
    </w:p>
    <w:p>
      <w:pPr>
        <w:spacing w:before="0" w:after="120"/>
      </w:pPr>
      <w:r>
        <w:rPr>
          <w:b/>
        </w:rPr>
        <w:t xml:space="preserve">Notes: </w:t>
      </w:r>
      <w:r>
        <w:t>abstract_source=crossref</w:t>
      </w:r>
    </w:p>
    <w:p>
      <w:pPr>
        <w:spacing w:before="0" w:after="80" w:lineRule="auto" w:line="276"/>
      </w:pPr>
      <w:r>
        <w:rPr>
          <w:b/>
        </w:rPr>
        <w:t xml:space="preserve">摘要（ZH）: </w:t>
      </w:r>
      <w:r>
        <w:t>新基因通过多种机制产生，包括基因复制、基因融合和水平基因转移（HGT）。虽然 HGT 在动物身上得到越来越多的记录，但水平获得基因的转移后进化命运尚不清楚。我们假设与动物基因组中的内源序列融合可能会产生我们所说的“HGT嵌合体”：在同一开放阅读框中具有非后生动物和后生动物血统区域的基因。为了检验这一假设，我们开发了一种分子系统发育管道，能够识别 HGT 嵌合体。我们将我们的流程应用于 319 个高质量带注释的节肢动物基因组，并发现了一组高置信度的 274 个 HGT 嵌合体，对应于不同节肢动物的 104 个独立起源事件。 HGT 嵌合体包含从整个生命树获得的间隔，并且许多可能起源于基于基因复制的机制。为了评估 HGT 嵌合体是否具有重要的功能，我们对 20 种节肢动物的组织进行了 RT-PCR 和桑格测序，预计其基因组中含有 HGT 嵌合体。我们发现了 20 个不同测试物种中的 18 个中的 41 个测试的 HGT 嵌合体中的 36 个存在连续嵌合信使 RNA 转录本 (mRNA) 表达的证据。我们还发现证据表明 HGT 嵌合体在纯化选择下进化，并获得了潜在的功能域结构，这与这些基因正在被积极使用并可能参与不同的生物过程的假设相一致。这些结果揭示了一种被低估的现象</w:t>
      </w:r>
    </w:p>
    <w:p>
      <w:pPr>
        <w:spacing w:before="0" w:after="200" w:lineRule="auto" w:line="276"/>
      </w:pPr>
      <w:r>
        <w:rPr>
          <w:b/>
        </w:rPr>
        <w:t xml:space="preserve">Abstract (EN): </w:t>
      </w:r>
      <w:r>
        <w:t>Novel genes arise through multiple mechanisms, including gene duplication, gene fusion, and horizontal gene transfer (HGT). While HGT has increasingly been documented in animals, the posttransfer evolutionary fate of horizontally acquired genes is less well understood. We hypothesized that fusion with endogenous sequences in animal genomes might generate what we call “HGT-chimeras”: genes with regions of nonmetazoan and metazoan descent in the same open reading frame. To test this hypothesis, we developed a molecular phylogenetics pipeline that enables the identification of HGT-chimeras. We applied our pipeline to 319 high-quality annotated arthropod genomes and uncovered a high-confidence set of 274 HGT-chimeras corresponding to 104 independent origination events across diverse arthropods. HGT-chimeras contain intervals acquired from across the tree of life, and many likely originated via a gene duplication-based mechanism. To assess whether HGT-chimeras might be functionally important, we performed RT-PCR and Sanger sequencing of tissues from 20 arthropod species predicted to harbor HGT-chimeras in their genome. We found evidence for the expression of contiguous chimeric messenger RNA transcripts (mRNAs) for 36 of 41 tested HGT-chimeras across 18 of 20 different tested species. We also found evidence that HGT-chimeras evolve under purifying selection and have acquired potentially functional domain architectures, consistent with the hypothesis that these genes are in active use and may participate in diverse biological processes. These results illuminate an underappreciated combinatorial mechanism underlying the origin of novel genes across the largest animal phylum, and suggest that interdomain sequence fusion can play important roles in animal biology and evolution.</w:t>
      </w:r>
    </w:p>
    <w:p>
      <w:pPr>
        <w:spacing w:before="120" w:after="120"/>
      </w:pPr>
      <w:r>
        <w:rPr>
          <w:sz w:val="18"/>
        </w:rPr>
        <w:t>——————————————————————————————————————————————————————————————————————</w:t>
      </w:r>
    </w:p>
    <w:p>
      <w:pPr>
        <w:spacing w:before="160" w:after="40" w:line="240" w:lineRule="auto"/>
      </w:pPr>
      <w:r>
        <w:rPr>
          <w:b/>
        </w:rPr>
        <w:t xml:space="preserve">[142] </w:t>
      </w:r>
      <w:hyperlink r:id="rId638">
        <w:r>
          <w:rPr>
            <w:color w:val="1155CC"/>
            <w:u w:val="single"/>
          </w:rPr>
          <w:t>几何控制喷头问题中的动量通量</w:t>
        </w:r>
      </w:hyperlink>
    </w:p>
    <w:p>
      <w:pPr>
        <w:spacing w:before="0" w:after="80"/>
      </w:pPr>
      <w:r>
        <w:rPr>
          <w:i/>
          <w:sz w:val="20"/>
        </w:rPr>
        <w:t>EN: Geometry controls momentum flux in the sprinkler problem</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39">
        <w:r>
          <w:rPr>
            <w:color w:val="1155CC"/>
            <w:u w:val="single"/>
          </w:rPr>
          <w:t>10.1073/pnas.2537479123</w:t>
        </w:r>
      </w:hyperlink>
    </w:p>
    <w:p>
      <w:pPr>
        <w:spacing w:before="0" w:after="120"/>
      </w:pPr>
      <w:r>
        <w:rPr>
          <w:b/>
        </w:rPr>
        <w:t xml:space="preserve">Notes: </w:t>
      </w:r>
      <w:r>
        <w:t>abstract_source=crossref</w:t>
      </w:r>
    </w:p>
    <w:p>
      <w:pPr>
        <w:spacing w:before="0" w:after="80" w:lineRule="auto" w:line="276"/>
      </w:pPr>
      <w:r>
        <w:rPr>
          <w:b/>
        </w:rPr>
        <w:t xml:space="preserve">摘要（ZH）: </w:t>
      </w:r>
      <w:r>
        <w:t>液压和航空机械装置将流体流动转化为有用的运动、力和功率。操作原理可能涉及微妙且鲜为人知的物理原理，如有关通过弯曲管状臂吸入流体的系统的开放问题所体现的那样。自从马赫提出并由费曼推广以来，所谓的反向喷水器问题引发了许多相互竞争的理论和流体力学效应，而这些理论和流体力学效应迄今为止尚未通过实验来区分。在这里，我们进行了一系列实验，直接报告设备的运动、扭矩和流量，这些设备的几何形状经过定制，以消除主要假设的歧义。我们的观察与一些想法背道而驰，例如基于流体总角动量的想法和其他关注臂外部的流量和压力分布的想法。相反，测量结果揭示了扭矩/旋转感与流入设备的流体动量之间的强相关性。这些结果表明了反向喷头的工作原理，涉及从远场各向同性输入流体并在臂中形成旋涡，产生角动量，其剩余部分被注入内部并驱动旋转。质量到动量通量的转换由弯曲臂的几何形状控制。这里学到的物理学是流-结构相互作用问题的基础，并且可以为收集和转换流能量的应用提供信息。</w:t>
      </w:r>
    </w:p>
    <w:p>
      <w:pPr>
        <w:spacing w:before="0" w:after="200" w:lineRule="auto" w:line="276"/>
      </w:pPr>
      <w:r>
        <w:rPr>
          <w:b/>
        </w:rPr>
        <w:t xml:space="preserve">Abstract (EN): </w:t>
      </w:r>
      <w:r>
        <w:t>Hydro- and aero-mechanical devices convert fluid flows into useful motions, force, and power. The operating principles can involve subtle and poorly understood physics, as epitomized by open questions about systems that aspirate flows through curving tubular arms. Since its introduction by Mach and popularization by Feynman, the so-called reverse sprinkler problem has evoked many competing theories and fluid mechanical effects that have not to date been distinguished by experiments. Here we conduct a series of experiments that directly report on the motions, torques, and flows for devices whose geometries are tailored to disambiguate the leading hypotheses. Our observations run counter to several ideas, such as those based on the total angular momentum of the fluid and others focusing on the flow and pressure distributions at the outer portions of the arms. The measurements instead reveal strong correlations between the sense of torque/rotation and the fluid momentum fluxing into the device. These results suggest an operating principle for the reverse sprinkler involving isotropic input of fluid from the far field and swirl-up in the arms that generates angular momentum, a residual portion of which is injected inside and drives rotation. The mass-to-momentum flux conversion is governed by the geometry of the curving arms. The physics learned here is fundamental to flow–structure interaction problems and may inform applications for harvesting and transforming flow energy.</w:t>
      </w:r>
    </w:p>
    <w:p>
      <w:pPr>
        <w:spacing w:before="120" w:after="120"/>
      </w:pPr>
      <w:r>
        <w:rPr>
          <w:sz w:val="18"/>
        </w:rPr>
        <w:t>——————————————————————————————————————————————————————————————————————</w:t>
      </w:r>
    </w:p>
    <w:p>
      <w:pPr>
        <w:spacing w:before="160" w:after="40" w:line="240" w:lineRule="auto"/>
      </w:pPr>
      <w:r>
        <w:rPr>
          <w:b/>
        </w:rPr>
        <w:t xml:space="preserve">[143] </w:t>
      </w:r>
      <w:hyperlink r:id="rId640">
        <w:r>
          <w:rPr>
            <w:color w:val="1155CC"/>
            <w:u w:val="single"/>
          </w:rPr>
          <w:t>声音奖励回路的发育差异将自闭症患者与正常发育的儿童和青少年区分开来</w:t>
        </w:r>
      </w:hyperlink>
    </w:p>
    <w:p>
      <w:pPr>
        <w:spacing w:before="0" w:after="80"/>
      </w:pPr>
      <w:r>
        <w:rPr>
          <w:i/>
          <w:sz w:val="20"/>
        </w:rPr>
        <w:t>EN: Developmental divergence in voice–reward circuitry differentiates autistic from typically developing children and adolescents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41">
        <w:r>
          <w:rPr>
            <w:color w:val="1155CC"/>
            <w:u w:val="single"/>
          </w:rPr>
          <w:t>10.1073/pnas.2601227123</w:t>
        </w:r>
      </w:hyperlink>
    </w:p>
    <w:p>
      <w:pPr>
        <w:spacing w:before="0" w:after="120"/>
      </w:pPr>
      <w:r>
        <w:rPr>
          <w:b/>
        </w:rPr>
        <w:t xml:space="preserve">Notes: </w:t>
      </w:r>
      <w:r>
        <w:t>abstract_source=crossref</w:t>
      </w:r>
    </w:p>
    <w:p>
      <w:pPr>
        <w:spacing w:before="0" w:after="80" w:lineRule="auto" w:line="276"/>
      </w:pPr>
      <w:r>
        <w:rPr>
          <w:b/>
        </w:rPr>
        <w:t xml:space="preserve">摘要（ZH）: </w:t>
      </w:r>
      <w:r>
        <w:t>青春期是一个深刻的社会变革时期，其特征是注意力和动机从父母向非家庭同龄人的发展转变。自闭症是一种神经发育疾病，其特征是社交沟通方面存在终生挑战。然而，人们对自闭症青少年社会重新定向的神经生物学特征知之甚少。人类语音处理是社会学习和交流的主要驱动力，但在自闭症文献中仍然没有得到充分研究，特别是因为它与神经发育变化有关。在这里，我们使用自闭症儿童和青少年以及匹配对照（7 至 17 岁）声音处理的功能性脑成像来检查对母亲声音和非家庭声音的神经反应。我们在奖励、显着性、社会评价和额顶叶处理区域中发现了自闭症中与年龄相关的不同模式，这与扩展语音处理网络的模型一致。结果表明，虽然典型的发育中参与者在语音处理网络区域内的神经活动和连接性表现出与年龄相关的增加，但患有自闭症的个体在这些区域中没有表现出与年龄相关的增加，并且经常减少。自闭症青少年进一步揭示了特征发展模式的逆转：随着年龄的增长，他们表现出对非家庭声音的神经参与减少，对母亲声音的参与增加，这种模式在社交沟通挑战更严重的个体中最为明显。研究结果表明，受损的器官</w:t>
      </w:r>
    </w:p>
    <w:p>
      <w:pPr>
        <w:spacing w:before="0" w:after="200" w:lineRule="auto" w:line="276"/>
      </w:pPr>
      <w:r>
        <w:rPr>
          <w:b/>
        </w:rPr>
        <w:t xml:space="preserve">Abstract (EN): </w:t>
      </w:r>
      <w:r>
        <w:t>Adolescence is a period of profound social change marked by a developmental shift in attention and motivation from parents toward nonfamilial peers. Autism is a neurodevelopmental condition characterized by lifelong challenges in social communication. However, the neurobiological signatures of adolescent social reorientation in autism are poorly understood. Human voice processing is a primary driver of social learning and communication, but it remains understudied in the autism literature, particularly as it relates to neurodevelopmental change. Here we used functional brain imaging of voice processing in children and adolescents with autism and matched controls (ages 7 to 17) to examine neural responses to mother’s voice and nonfamilial voices. We identified divergent age-related patterns in autism across reward, salience, social evaluative, and frontoparietal processing regions consistent with models of an extended voice processing network. Results showed that while typically developing participants exhibited age-related increases in neural activity and connectivity within regions of the voice processing network, individuals with autism showed no age-related increases, and often decreases, in these regions. Adolescents with autism further revealed a reversal of the characteristic developmental pattern: with increasing age, they exhibited decreasing neural engagement with nonfamilial voices and increasing engagement with mother’s voice, a pattern that was most pronounced in individuals with more severe social communication challenges. Findings suggest that disrupted organization of the extended voice processing network, including reward, salience, social evaluative, and frontoparietal circuitry, may underlie atypical social neurodevelopment in autism. More broadly, results suggest that individual differences in social communication shape age-related neural patterns supporting social reorientation.</w:t>
      </w:r>
    </w:p>
    <w:p>
      <w:pPr>
        <w:spacing w:before="120" w:after="120"/>
      </w:pPr>
      <w:r>
        <w:rPr>
          <w:sz w:val="18"/>
        </w:rPr>
        <w:t>——————————————————————————————————————————————————————————————————————</w:t>
      </w:r>
    </w:p>
    <w:p>
      <w:pPr>
        <w:spacing w:before="160" w:after="40" w:line="240" w:lineRule="auto"/>
      </w:pPr>
      <w:r>
        <w:rPr>
          <w:b/>
        </w:rPr>
        <w:t xml:space="preserve">[144] </w:t>
      </w:r>
      <w:hyperlink r:id="rId642">
        <w:r>
          <w:rPr>
            <w:color w:val="1155CC"/>
            <w:u w:val="single"/>
          </w:rPr>
          <w:t>肠内分泌细胞连接肠-脑迷走神经轴</w:t>
        </w:r>
      </w:hyperlink>
    </w:p>
    <w:p>
      <w:pPr>
        <w:spacing w:before="0" w:after="80"/>
      </w:pPr>
      <w:r>
        <w:rPr>
          <w:i/>
          <w:sz w:val="20"/>
        </w:rPr>
        <w:t>EN: Enteroendocrine cells wire the gut–brain vagal axis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43">
        <w:r>
          <w:rPr>
            <w:color w:val="1155CC"/>
            <w:u w:val="single"/>
          </w:rPr>
          <w:t>10.1073/pnas.2600339123</w:t>
        </w:r>
      </w:hyperlink>
    </w:p>
    <w:p>
      <w:pPr>
        <w:spacing w:before="0" w:after="120"/>
      </w:pPr>
      <w:r>
        <w:rPr>
          <w:b/>
        </w:rPr>
        <w:t xml:space="preserve">Notes: </w:t>
      </w:r>
      <w:r>
        <w:t>abstract_source=crossref</w:t>
      </w:r>
    </w:p>
    <w:p>
      <w:pPr>
        <w:spacing w:before="0" w:after="80" w:lineRule="auto" w:line="276"/>
      </w:pPr>
      <w:r>
        <w:rPr>
          <w:b/>
        </w:rPr>
        <w:t xml:space="preserve">摘要（ZH）: </w:t>
      </w:r>
      <w:r>
        <w:t>迷走感觉神经系统在介导肠脑通讯和维持生理稳态方面发挥着重要作用。尽管最近的研究极大地增强了我们对迷走神经感觉神经元功能的理解，但我们对是什么引导迷走神经感觉神经纤维支配肠道并形成复杂的肠-脑感觉网络知之甚少。在这里，利用斑马鱼遗传模型追踪肠道迷走神经网络的发育，我们发现肠道迷走神经感觉网络的发育与肠内分泌细胞（EEC）的形成耦合。迷走神经感觉神经元在受精后第 2 天开始支配肠道。迷走神经纤维向肠上皮中新形成的 EEC 分支。新形成的 EEC 在其基部显示出活性肌动蛋白丝，使它们能够与迷走神经感觉纤维进行物理接触，并促进肠道迷走神经感觉网络的形成。基因消融 EEC 会损害肠道迷走神经网络的形成并改变迷走神经中央投射模式。消融 EEC 会诱导一部分迷走神经感觉神经元凋亡，并减少支配迷走神经感觉神经元的肠道中央突出轴突的数量。此外，消融 EEC 会完全改变大脑对营养摄入的反应，并减少营养诱导的后脑和下丘脑神经元激活。最后，EEC 的损失会增加食物摄入量，同时损害脂肪组织的发育和存活。总之，我们的研究表明 EEC 引导迷走神经感觉神经元</w:t>
      </w:r>
    </w:p>
    <w:p>
      <w:pPr>
        <w:spacing w:before="0" w:after="200" w:lineRule="auto" w:line="276"/>
      </w:pPr>
      <w:r>
        <w:rPr>
          <w:b/>
        </w:rPr>
        <w:t xml:space="preserve">Abstract (EN): </w:t>
      </w:r>
      <w:r>
        <w:t>The vagal sensory nervous system plays important roles in mediating gut–brain communication and maintaining physiological homeostasis. Although recent research has greatly enhanced our understanding of the function of vagal sensory neurons, little is known about what guides the vagal sensory nerve fibers to innervate the intestine and form a complex gut–brain sensory network. Here, using zebrafish genetic models to trace the development of the intestinal vagal network, we found that the development of the intestinal vagal sensory network is coupled with the formation of enteroendocrine cells (EECs). Vagal sensory neurons begin to innervate the intestine at 2 d postfertilization. Vagal nerve fibers branch out toward the newly formed EECs in the intestinal epithelium. The newly formed EECs display active actin filaments at their base, enabling them to physically engage with the vagal sensory fibers and facilitate the formation of the intestinal vagal sensory network. Genetically ablating EECs impairs intestinal vagal network formation and alters the vagal central projection pattern. Ablating EECs induces apoptosis in a subset of vagal sensory neurons and reduces the number of central projecting axons of the intestine innervating vagal sensory neurons. Moreover, ablating EECs completely alters the brain’s response to nutrient ingestion and diminishes nutrient-induced hindbrain and hypothalamus neuron activation. Finally, loss of EECs increases food intake while impairing adipose tissue development and survival. Together, our study revealed that EECs guide vagal sensory neuron development and intestinal vagal network formation. Loss of EECs impairs the anatomical vagal sensory axis and alters gut–brain signaling transmission.</w:t>
      </w:r>
    </w:p>
    <w:p>
      <w:pPr>
        <w:spacing w:before="120" w:after="120"/>
      </w:pPr>
      <w:r>
        <w:rPr>
          <w:sz w:val="18"/>
        </w:rPr>
        <w:t>——————————————————————————————————————————————————————————————————————</w:t>
      </w:r>
    </w:p>
    <w:p>
      <w:pPr>
        <w:spacing w:before="160" w:after="40" w:line="240" w:lineRule="auto"/>
      </w:pPr>
      <w:r>
        <w:rPr>
          <w:b/>
        </w:rPr>
        <w:t xml:space="preserve">[145] </w:t>
      </w:r>
      <w:hyperlink r:id="rId644">
        <w:r>
          <w:rPr>
            <w:color w:val="1155CC"/>
            <w:u w:val="single"/>
          </w:rPr>
          <w:t>实验性干旱导致土壤微生物群的分化演替</w:t>
        </w:r>
      </w:hyperlink>
    </w:p>
    <w:p>
      <w:pPr>
        <w:spacing w:before="0" w:after="80"/>
      </w:pPr>
      <w:r>
        <w:rPr>
          <w:i/>
          <w:sz w:val="20"/>
        </w:rPr>
        <w:t>EN: Experimental drought drives divergent succession of soil microbiota</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45">
        <w:r>
          <w:rPr>
            <w:color w:val="1155CC"/>
            <w:u w:val="single"/>
          </w:rPr>
          <w:t>10.1073/pnas.2537753123</w:t>
        </w:r>
      </w:hyperlink>
    </w:p>
    <w:p>
      <w:pPr>
        <w:spacing w:before="0" w:after="120"/>
      </w:pPr>
      <w:r>
        <w:rPr>
          <w:b/>
        </w:rPr>
        <w:t xml:space="preserve">Notes: </w:t>
      </w:r>
      <w:r>
        <w:t>abstract_source=crossref</w:t>
      </w:r>
    </w:p>
    <w:p>
      <w:pPr>
        <w:spacing w:before="0" w:after="80" w:lineRule="auto" w:line="276"/>
      </w:pPr>
      <w:r>
        <w:rPr>
          <w:b/>
        </w:rPr>
        <w:t xml:space="preserve">摘要（ZH）: </w:t>
      </w:r>
      <w:r>
        <w:t>随着全球干旱变得越来越严重和持续时间越来越长，了解地下生物多样性在水限制下如何随时间变化对于评估生态系统的恢复力至关重要。然而，对土壤微生物对干旱反应的长期、连续观察仍然很少。在这里，我们在高草草原生态系统中进行了为期 6 年的实验性干旱，结果表明实验性干旱重塑了土壤细菌、真菌和原生生物的群落组成，同时伴随着微生物多样性和生物量的逐渐下降。对干旱和环境条件之间的时间衰变关系和配对群落差异的分析揭示了干旱下土壤微生物群的演替轨迹日益不同。尽管随机过程总体上主导了群落组装，但它们的相对重要性随着时间的推移而下降，特别是对于干旱处理土壤中的细菌来说，这表明干旱造成的确定性环境过滤越来越强。此外，干旱减少了微生物网络的规模，但通过有利于耐旱的类群而增加了细菌网络的复杂性和稳定性。此外，干旱驱动的微生物群落组成的变化显着改变了功能基因和相关的生态系统功能。这些发现表明，微生物群落可能变得不那么可变，但更加脆弱，在日益干旱的世界中，生物多样性丧失对生态系统的不利影响可能更加严重。</w:t>
      </w:r>
    </w:p>
    <w:p>
      <w:pPr>
        <w:spacing w:before="0" w:after="200" w:lineRule="auto" w:line="276"/>
      </w:pPr>
      <w:r>
        <w:rPr>
          <w:b/>
        </w:rPr>
        <w:t xml:space="preserve">Abstract (EN): </w:t>
      </w:r>
      <w:r>
        <w:t>As droughts become increasingly severe and prolonged worldwide, understanding how belowground biodiversity changes over time under water limitation is critical for assessing ecosystem resilience. However, long-term and continuous observations of soil microbial responses to drought remain rare. Here, using a 6-y experimental drought in a tallgrass prairie ecosystem, we showed that experimental drought reshaped the community compositions of soil bacteria, fungi, and protists, accompanied by progressive declines in microbial diversity and biomass. Analyses of time–decay relationships and paired community differences between drought and ambient conditions revealed increasingly divergent successional trajectories of soil microbiota under drought. Although stochastic processes dominated community assembly overall, their relative importance declined over time, particularly for bacteria in drought-treated soils, suggesting increasingly strong deterministic environmental filtering imposed by drought. In addition, drought reduced microbial network size but increased the complexity and stability of bacterial networks by favoring drought-tolerant taxa. Furthermore, drought-driven shifts in microbial community compositions significantly altered functional genes and associated ecosystem functioning. These findings suggest that microbial communities may become less variable but more vulnerable, and the detrimental effects of biodiversity loss on ecosystems could be more severe in an increasingly drought-prone world.</w:t>
      </w:r>
    </w:p>
    <w:p>
      <w:pPr>
        <w:spacing w:before="120" w:after="120"/>
      </w:pPr>
      <w:r>
        <w:rPr>
          <w:sz w:val="18"/>
        </w:rPr>
        <w:t>——————————————————————————————————————————————————————————————————————</w:t>
      </w:r>
    </w:p>
    <w:p>
      <w:pPr>
        <w:spacing w:before="160" w:after="40" w:line="240" w:lineRule="auto"/>
      </w:pPr>
      <w:r>
        <w:rPr>
          <w:b/>
        </w:rPr>
        <w:t xml:space="preserve">[146] </w:t>
      </w:r>
      <w:hyperlink r:id="rId646">
        <w:r>
          <w:rPr>
            <w:color w:val="1155CC"/>
            <w:u w:val="single"/>
          </w:rPr>
          <w:t>眶额去甲肾上腺素支持概率逆转学习中的自适应学习率调整</w:t>
        </w:r>
      </w:hyperlink>
    </w:p>
    <w:p>
      <w:pPr>
        <w:spacing w:before="0" w:after="80"/>
      </w:pPr>
      <w:r>
        <w:rPr>
          <w:i/>
          <w:sz w:val="20"/>
        </w:rPr>
        <w:t>EN: Orbitofrontal noradrenaline supports adaptive learning-rate adjustment in probabilistic reversal learning</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47">
        <w:r>
          <w:rPr>
            <w:color w:val="1155CC"/>
            <w:u w:val="single"/>
          </w:rPr>
          <w:t>10.1073/pnas.2536535123</w:t>
        </w:r>
      </w:hyperlink>
    </w:p>
    <w:p>
      <w:pPr>
        <w:spacing w:before="0" w:after="120"/>
      </w:pPr>
      <w:r>
        <w:rPr>
          <w:b/>
        </w:rPr>
        <w:t xml:space="preserve">Notes: </w:t>
      </w:r>
      <w:r>
        <w:t>abstract_source=crossref</w:t>
      </w:r>
    </w:p>
    <w:p>
      <w:pPr>
        <w:spacing w:before="0" w:after="80" w:lineRule="auto" w:line="276"/>
      </w:pPr>
      <w:r>
        <w:rPr>
          <w:b/>
        </w:rPr>
        <w:t xml:space="preserve">摘要（ZH）: </w:t>
      </w:r>
      <w:r>
        <w:t>动态环境下的自适应决策需要灵活调整学习速度，以平衡稳定性和灵活性。当结果高度随机时，学习者必须避免过度解释噪音并更慢地更新，而在突发事件频繁变化的不稳定环境中，学习应该加速以快速吸收新证据。理论认为，不确定性的内部估计通过依赖于神经调节的机制来调整学习率。在这里，我们研究了从蓝斑（LC）到眶额皮质（OFC）的去甲肾上腺素输入如何支持不确定性下的适应性学习。我们表明，在不同随机性水平上执行的概率逆转学习任务中，老鼠表现出的行为可以通过自适应强化学习模型得到最好的解释，其中学习速率根据模型估计的随机性和波动性动态调​​整，优于标准的固定速率模型。 OFC 中去甲肾上腺素的释放密切跟踪了围绕意外变化的逐项试验、模型得出的波动性估计。破坏 LC→OFC 去甲肾上腺素能输入再现了与模型估计波动性相关的自适应学习率调整中的模型预测损伤。总之，这些发现将 OFC 去甲肾上腺素信号传导确定为一种关键的电路机制，支持学习率调整，以响应不确定性下自适应决策过程中波动性的内部估计。</w:t>
      </w:r>
    </w:p>
    <w:p>
      <w:pPr>
        <w:spacing w:before="0" w:after="200" w:lineRule="auto" w:line="276"/>
      </w:pPr>
      <w:r>
        <w:rPr>
          <w:b/>
        </w:rPr>
        <w:t xml:space="preserve">Abstract (EN): </w:t>
      </w:r>
      <w:r>
        <w:t>Adaptive decision-making in dynamic environments requires flexible adjustment of learning speed to balance stability and flexibility. When outcomes are highly stochastic, learners must avoid over-interpreting noise and update more slowly, whereas in volatile environments where contingencies change frequently, learning should accelerate to rapidly incorporate new evidence. Theories propose that internal estimates of uncertainty tune learning rates through neuromodulation-dependent mechanisms. Here, we investigated how noradrenergic inputs from the locus coeruleus (LC) to the orbitofrontal cortex (OFC) support adaptive learning under uncertainty. We show that, in a probabilistic reversal learning task performed across different levels of stochasticity, rats exhibited behavior best explained by an adaptive reinforcement-learning model in which learning rates dynamically adjusted according to model-estimated stochasticity and volatility, outperforming standard fixed-rate models. Noradrenaline release in the OFC closely tracked trial-by-trial, model-derived volatility estimates around contingency changes. Disrupting LC→OFC noradrenergic inputs reproduced the model-predicted impairment in adaptive learning-rate adjustment associated with model-estimated volatility. Together, these findings identify OFC noradrenergic signaling as a key circuit mechanism supporting learning-rate adjustment in response to internal estimates of volatility during adaptive decision-making under uncertainty.</w:t>
      </w:r>
    </w:p>
    <w:p>
      <w:pPr>
        <w:spacing w:before="120" w:after="120"/>
      </w:pPr>
      <w:r>
        <w:rPr>
          <w:sz w:val="18"/>
        </w:rPr>
        <w:t>——————————————————————————————————————————————————————————————————————</w:t>
      </w:r>
    </w:p>
    <w:p>
      <w:pPr>
        <w:spacing w:before="160" w:after="40" w:line="240" w:lineRule="auto"/>
      </w:pPr>
      <w:r>
        <w:rPr>
          <w:b/>
        </w:rPr>
        <w:t xml:space="preserve">[147] </w:t>
      </w:r>
      <w:hyperlink r:id="rId648">
        <w:r>
          <w:rPr>
            <w:color w:val="1155CC"/>
            <w:u w:val="single"/>
          </w:rPr>
          <w:t>技术的复杂性不是证据</w:t>
        </w:r>
      </w:hyperlink>
    </w:p>
    <w:p>
      <w:pPr>
        <w:spacing w:before="0" w:after="80"/>
      </w:pPr>
      <w:r>
        <w:rPr>
          <w:i/>
          <w:sz w:val="20"/>
        </w:rPr>
        <w:t>EN: Technical sophistication is not evidence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49">
        <w:r>
          <w:rPr>
            <w:color w:val="1155CC"/>
            <w:u w:val="single"/>
          </w:rPr>
          <w:t>10.1073/pnas.2614011123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650">
        <w:r>
          <w:rPr>
            <w:color w:val="1155CC"/>
            <w:u w:val="single"/>
          </w:rPr>
          <w:t>CD64 使 AML 细胞具有 TCR 依赖性、MHC 独立性 CTL 细胞毒性</w:t>
        </w:r>
      </w:hyperlink>
    </w:p>
    <w:p>
      <w:pPr>
        <w:spacing w:before="0" w:after="80"/>
      </w:pPr>
      <w:r>
        <w:rPr>
          <w:i/>
          <w:sz w:val="20"/>
        </w:rPr>
        <w:t>EN: CD64 enables TCR-dependent, MHC-independent CTL cytotoxicity of AML cells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51">
        <w:r>
          <w:rPr>
            <w:color w:val="1155CC"/>
            <w:u w:val="single"/>
          </w:rPr>
          <w:t>10.1073/pnas.2601232123</w:t>
        </w:r>
      </w:hyperlink>
    </w:p>
    <w:p>
      <w:pPr>
        <w:spacing w:before="0" w:after="120"/>
      </w:pPr>
      <w:r>
        <w:rPr>
          <w:b/>
        </w:rPr>
        <w:t xml:space="preserve">Notes: </w:t>
      </w:r>
      <w:r>
        <w:t>abstract_source=crossref</w:t>
      </w:r>
    </w:p>
    <w:p>
      <w:pPr>
        <w:spacing w:before="0" w:after="80" w:lineRule="auto" w:line="276"/>
      </w:pPr>
      <w:r>
        <w:rPr>
          <w:b/>
        </w:rPr>
        <w:t xml:space="preserve">摘要（ZH）: </w:t>
      </w:r>
      <w:r>
        <w:t>CD8+ T 细胞介导的细胞毒性通常是通过 α-β T 细胞受体 (TCRαβ) 与 I 类肽主要组织相容性复合物 (pMHC) 的结合而发生。然而，众所周知，细胞毒性 CD8+ T 淋巴细胞 (CTL) 可以以不依赖于 pMHC 的方式杀死肿瘤细胞。不依赖 pMHC 的 CTL 杀伤的相对生理学贡献和生物学意义仍不清楚，CTL 和自然杀伤 (NK) 细胞之间共享的受体通常被认为是发生这种情况的机制。在这项研究中，我们使用急性髓系白血病 (AML) 作为模型来检查 pMHC 独立的细胞毒性机制，并发现了一种需要 CD64 的矛盾的 TCR 依赖性、MHC 独立机制。利用潜在的 AML 配体和 CTL 受体的敲除，我们证明 pMHC 独立的细胞毒性是 CTL 介导的 AML 细胞杀伤的有效机制，并且通过 IFNγ 调节的过程在很大程度上仅限于表达 CD64 的细胞。值得注意的是，我们发现不依赖 pMHC 的 CTL 杀伤并不是由于通常涉及的 NK 激活受体的激活，而是需要激活的 TCRαβ/CD3 复合物。因此，我们确定了 CD64 依赖、pMHC 独立、TCR 依赖的 CTL 细胞毒性模式，这种模式在 AML 中似乎高度富集。</w:t>
      </w:r>
    </w:p>
    <w:p>
      <w:pPr>
        <w:spacing w:before="0" w:after="200" w:lineRule="auto" w:line="276"/>
      </w:pPr>
      <w:r>
        <w:rPr>
          <w:b/>
        </w:rPr>
        <w:t xml:space="preserve">Abstract (EN): </w:t>
      </w:r>
      <w:r>
        <w:t>CD8+ T cell–mediated cytotoxicity classically occurs through engagement of an alpha-beta T cell receptor (TCRαβ) with a peptide–class I major histocompatibility complex (pMHC). However, it is also known that cytotoxic CD8+ T lymphocytes (CTLs) can kill tumor cells in a pMHC-independent manner. The relative physiologic contribution and biological significance of pMHC-independent CTL killing remain unclear, and a receptor shared between CTLs and natural killer (NK) cells is generally invoked as the mechanism by which this occurs. In this study, we used acute myeloid leukemia (AML) as a model to examine mechanisms of pMHC-independent cytotoxicity and found a paradoxical TCR-dependent, MHC-independent mechanism that requires CD64. Utilizing knockouts of potential AML ligands and CTL receptors, we demonstrate that pMHC-independent cytotoxicity is a potent mechanism of CTL-mediating killing of AML cells and is largely restricted to CD64-expressing cells through an IFNγ-regulated process. Notably, we found that pMHC-independent CTL killing is not due to activation of commonly implicated NK activating receptors but rather requires an activated TCRαβ/CD3 complex. Thus, we identify a CD64-dependent, pMHC-independent, TCR-dependent mode of CTL cytotoxicity that appears highly enriched for in AML.</w:t>
      </w:r>
    </w:p>
    <w:p>
      <w:pPr>
        <w:spacing w:before="120" w:after="120"/>
      </w:pPr>
      <w:r>
        <w:rPr>
          <w:sz w:val="18"/>
        </w:rPr>
        <w:t>——————————————————————————————————————————————————————————————————————</w:t>
      </w:r>
    </w:p>
    <w:p>
      <w:pPr>
        <w:spacing w:before="160" w:after="40" w:line="240" w:lineRule="auto"/>
      </w:pPr>
      <w:r>
        <w:rPr>
          <w:b/>
        </w:rPr>
        <w:t xml:space="preserve">[149] </w:t>
      </w:r>
      <w:hyperlink r:id="rId652">
        <w:r>
          <w:rPr>
            <w:color w:val="1155CC"/>
            <w:u w:val="single"/>
          </w:rPr>
          <w:t>视觉几何，启动</w:t>
        </w:r>
      </w:hyperlink>
    </w:p>
    <w:p>
      <w:pPr>
        <w:spacing w:before="0" w:after="80"/>
      </w:pPr>
      <w:r>
        <w:rPr>
          <w:i/>
          <w:sz w:val="20"/>
        </w:rPr>
        <w:t>EN: The geometry of vision, set in motion</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53">
        <w:r>
          <w:rPr>
            <w:color w:val="1155CC"/>
            <w:u w:val="single"/>
          </w:rPr>
          <w:t>10.1073/pnas.2614199123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654">
        <w:r>
          <w:rPr>
            <w:color w:val="1155CC"/>
            <w:u w:val="single"/>
          </w:rPr>
          <w:t>HDA19 介导的组蛋白 H3.3 在赖氨酸 27 和 36 处的脱乙酰化调节植物对盐胁迫的敏感性</w:t>
        </w:r>
      </w:hyperlink>
    </w:p>
    <w:p>
      <w:pPr>
        <w:spacing w:before="0" w:after="80"/>
      </w:pPr>
      <w:r>
        <w:rPr>
          <w:i/>
          <w:sz w:val="20"/>
        </w:rPr>
        <w:t>EN: HDA19-mediated deacetylation of histone H3.3 at lysines 27 and 36 regulates plant sensitivity to salt stress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55">
        <w:r>
          <w:rPr>
            <w:color w:val="1155CC"/>
            <w:u w:val="single"/>
          </w:rPr>
          <w:t>10.1073/pnas.2534315123</w:t>
        </w:r>
      </w:hyperlink>
    </w:p>
    <w:p>
      <w:pPr>
        <w:spacing w:before="0" w:after="120"/>
      </w:pPr>
      <w:r>
        <w:rPr>
          <w:b/>
        </w:rPr>
        <w:t xml:space="preserve">Notes: </w:t>
      </w:r>
      <w:r>
        <w:t>abstract_source=crossref</w:t>
      </w:r>
    </w:p>
    <w:p>
      <w:pPr>
        <w:spacing w:before="0" w:after="80" w:lineRule="auto" w:line="276"/>
      </w:pPr>
      <w:r>
        <w:rPr>
          <w:b/>
        </w:rPr>
        <w:t xml:space="preserve">摘要（ZH）: </w:t>
      </w:r>
      <w:r>
        <w:t>植物通过快速染色质重编程在极端环境中生存，但赋予抗逆能力的表观遗传标记仍然知之甚少。组蛋白脱乙酰酶 HDA19 是拟南芥中关键的表观遗传调节因子，</w:t>
      </w:r>
      <w:r>
        <w:t xml:space="preserve"> </w:t>
      </w:r>
      <w:r>
        <w:t>HDA19</w:t>
      </w:r>
      <w:r>
        <w:t xml:space="preserve"> </w:t>
      </w:r>
      <w:r>
        <w:t>-缺陷突变体表现出对多种非生物胁迫的耐受性，包括干旱、热和盐度。使用赖氨酸乙酰化组分析，我们在九个 H3 变体中鉴定出组蛋白 H3.3 上的非经典 K27/K36 二乙酰化标记，作为 HDA19 的特定底物。在盐胁迫下，该标记在野生型植物中下降，但在</w:t>
      </w:r>
      <w:r>
        <w:t xml:space="preserve"> </w:t>
      </w:r>
      <w:r>
        <w:t>HDA19</w:t>
      </w:r>
      <w:r>
        <w:t xml:space="preserve"> </w:t>
      </w:r>
      <w:r>
        <w:t>突变体，而其他已知的 H3 修饰在两种基因型中也受到类似的影响。通过赖氨酸到谷氨酰胺的取代模拟 H3.3K27/K36 的组成型二乙酰化促进了应激反应性晚期胚胎发生丰富 (LEA) 蛋白的积累，并赋予幼苗、表型复制的耐盐性</w:t>
      </w:r>
      <w:r>
        <w:t xml:space="preserve"> </w:t>
      </w:r>
      <w:r>
        <w:t>HDA19</w:t>
      </w:r>
      <w:r>
        <w:t xml:space="preserve"> </w:t>
      </w:r>
      <w:r>
        <w:t>突变体。此外，生成</w:t>
      </w:r>
      <w:r>
        <w:t xml:space="preserve"> </w:t>
      </w:r>
      <w:r>
        <w:t>lea7-1/lea29-1/rab18-1</w:t>
      </w:r>
      <w:r>
        <w:t xml:space="preserve"> </w:t>
      </w:r>
      <w:r>
        <w:t>三重突变体被废除</w:t>
      </w:r>
      <w:r>
        <w:t xml:space="preserve"> </w:t>
      </w:r>
      <w:r>
        <w:t>HDA19</w:t>
      </w:r>
      <w:r>
        <w:t xml:space="preserve"> </w:t>
      </w:r>
      <w:r>
        <w:t>依赖性盐度耐受性，证实了 LEA 蛋白在 HDA19 下游的作用。我们的研究结果表明，HDA19 调节的 H3.3K27/K36 二乙酰化可驱动 LEA 蛋白积累，并使植物能够抵御环境胁迫，揭示了植物逆境恢复的核心机制。</w:t>
      </w:r>
    </w:p>
    <w:p>
      <w:pPr>
        <w:spacing w:before="0" w:after="200" w:lineRule="auto" w:line="276"/>
      </w:pPr>
      <w:r>
        <w:rPr>
          <w:b/>
        </w:rPr>
        <w:t xml:space="preserve">Abstract (EN): </w:t>
      </w:r>
      <w:r>
        <w:t>Plants survive extreme environments through rapid chromatin reprogramming, yet the epigenetic marks that confer stress resilience remain poorly understood. Histone deacetylase HDA19 is a key epigenetic regulator in Arabidopsis, and</w:t>
      </w:r>
      <w:r>
        <w:t xml:space="preserve"> </w:t>
      </w:r>
      <w:r>
        <w:t>hda19</w:t>
      </w:r>
      <w:r>
        <w:t xml:space="preserve"> </w:t>
      </w:r>
      <w:r>
        <w:t>-deficient mutants display tolerance to multiple abiotic stresses, including drought, heat, and salinity. Using lysine acetylome profiling, we identified a noncanonical K27/K36 diacetylation mark on histone H3.3, among nine H3 variants, as a specific substrate of HDA19. Under salinity stress, this mark decreased in wild-type plants but increased in</w:t>
      </w:r>
      <w:r>
        <w:t xml:space="preserve"> </w:t>
      </w:r>
      <w:r>
        <w:t>hda19</w:t>
      </w:r>
      <w:r>
        <w:t xml:space="preserve"> </w:t>
      </w:r>
      <w:r>
        <w:t>mutants, while other known H3 modifications were similarly affected in both genotypes. Mimicking constitutive diacetylation of H3.3K27/K36 through lysine-to-glutamine substitutions promoted accumulation of stress-responsive late embryogenesis abundant (LEA) proteins and conferred salinity tolerance in seedlings, phenocopying</w:t>
      </w:r>
      <w:r>
        <w:t xml:space="preserve"> </w:t>
      </w:r>
      <w:r>
        <w:t>hda19</w:t>
      </w:r>
      <w:r>
        <w:t xml:space="preserve"> </w:t>
      </w:r>
      <w:r>
        <w:t>mutants. Furthermore, generating the</w:t>
      </w:r>
      <w:r>
        <w:t xml:space="preserve"> </w:t>
      </w:r>
      <w:r>
        <w:t>lea7-1/lea29-1/rab18-1</w:t>
      </w:r>
      <w:r>
        <w:t xml:space="preserve"> </w:t>
      </w:r>
      <w:r>
        <w:t>triple mutant abolished</w:t>
      </w:r>
      <w:r>
        <w:t xml:space="preserve"> </w:t>
      </w:r>
      <w:r>
        <w:t>hda19</w:t>
      </w:r>
      <w:r>
        <w:t xml:space="preserve"> </w:t>
      </w:r>
      <w:r>
        <w:t>-dependent salinity tolerance, confirming the LEA proteins’ role downstream of HDA19. Our findings demonstrate that H3.3K27/K36 diacetylation, modulated by HDA19, drives LEA protein accumulation and enables plants to withstand environmental stress, revealing a core mechanism of plant stress resilience.</w:t>
      </w:r>
    </w:p>
    <w:p>
      <w:pPr>
        <w:spacing w:before="120" w:after="120"/>
      </w:pPr>
      <w:r>
        <w:rPr>
          <w:sz w:val="18"/>
        </w:rPr>
        <w:t>——————————————————————————————————————————————————————————————————————</w:t>
      </w:r>
    </w:p>
    <w:p>
      <w:pPr>
        <w:spacing w:before="160" w:after="40" w:line="240" w:lineRule="auto"/>
      </w:pPr>
      <w:r>
        <w:rPr>
          <w:b/>
        </w:rPr>
        <w:t xml:space="preserve">[151] </w:t>
      </w:r>
      <w:hyperlink r:id="rId656">
        <w:r>
          <w:rPr>
            <w:color w:val="1155CC"/>
            <w:u w:val="single"/>
          </w:rPr>
          <w:t>可涂漆的皮肤干电极，具有坚固的皮肤和设备连接，用于无线传感和人机界面</w:t>
        </w:r>
      </w:hyperlink>
    </w:p>
    <w:p>
      <w:pPr>
        <w:spacing w:before="0" w:after="80"/>
      </w:pPr>
      <w:r>
        <w:rPr>
          <w:i/>
          <w:sz w:val="20"/>
        </w:rPr>
        <w:t>EN: Paintable on-skin dry electrodes with robust skin and device connection for wireless sensing and human–machine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57">
        <w:r>
          <w:rPr>
            <w:color w:val="1155CC"/>
            <w:u w:val="single"/>
          </w:rPr>
          <w:t>10.1073/pnas.2615835123</w:t>
        </w:r>
      </w:hyperlink>
    </w:p>
    <w:p>
      <w:pPr>
        <w:spacing w:before="0" w:after="120"/>
      </w:pPr>
      <w:r>
        <w:rPr>
          <w:b/>
        </w:rPr>
        <w:t xml:space="preserve">Notes: </w:t>
      </w:r>
      <w:r>
        <w:t>abstract_source=crossref</w:t>
      </w:r>
    </w:p>
    <w:p>
      <w:pPr>
        <w:spacing w:before="0" w:after="80" w:lineRule="auto" w:line="276"/>
      </w:pPr>
      <w:r>
        <w:rPr>
          <w:b/>
        </w:rPr>
        <w:t xml:space="preserve">摘要（ZH）: </w:t>
      </w:r>
      <w:r>
        <w:t>可靠且连续的电生理记录对于健康监测和人机交互非常重要。然而，大多数现有的表皮电极要么在皮肤变形和出汗期间皮肤与电极接触有限，要么由于固有的机械不匹配而导致软电极和相对刚性的数据采集系统之间的连接不稳定。此外，它们缺乏个性化进一步阻碍了长期使用，特别是对于儿童、青少年和对耻辱敏感的个人。在这里，这项工作提出了一种可涂漆、在皮肤上绘制的干电极，它在分层纹理的皮肤形貌上形成超共形界面，具有厚度梯度，以最大限度地减少界面应力，实现低接触阻抗（10.8 kΩ cm）</w:t>
      </w:r>
      <w:r>
        <w:rPr>
          <w:vertAlign w:val="subscript"/>
        </w:rPr>
        <w:t>2</w:t>
      </w:r>
      <w:r>
        <w:t>）和对皮肤的高附着力（~963 kPa）。由此产生的电极的形状和颜色是可定制的，将它们从“医疗设备”转变为有趣的可穿戴配件，从而提高用户的依从性和长期可穿戴性。此外，原位可涂性能够与多孔银纺织连接器无缝集成，产生具有内置模量梯度的互锁连接，以实现稳定的信号传输。该平台的多功能性通过多种用例得到证明，包括长期复杂日常活动中的无线心电图监测、用于手势识别和机器人手控制的机器学习肌电图、以及用于神经反应和神经反应的穿发脑电图检测。</w:t>
      </w:r>
    </w:p>
    <w:p>
      <w:pPr>
        <w:spacing w:before="0" w:after="200" w:lineRule="auto" w:line="276"/>
      </w:pPr>
      <w:r>
        <w:rPr>
          <w:b/>
        </w:rPr>
        <w:t xml:space="preserve">Abstract (EN): </w:t>
      </w:r>
      <w:r>
        <w:t>Reliable and continuous electrophysiological recording is important for health monitoring and human–machine interactions. However, most existing epidermal electrodes suffer from either limited skin–electrode contact during skin deformation and sweating, or unstable connections between soft electrodes and relatively rigid data acquisition systems due to the inherent mechanical mismatch. Besides, their lack of personalization further discourages long-term use, particularly among children, adolescents, and individuals sensitive to stigma. Here, this work presents a paintable, drawn-on-skin dry electrode that forms an ultraconformal interface on hierarchically textured skin topographies with a thickness gradient to minimize interfacial stress, achieving low contact impedance (10.8 kΩ cm</w:t>
      </w:r>
      <w:r>
        <w:rPr>
          <w:vertAlign w:val="subscript"/>
        </w:rPr>
        <w:t>2</w:t>
      </w:r>
      <w:r>
        <w:t>) and high adhesion (~963 kPa) on skin. The resulting electrodes are customizable in shape and color, transforming them from “medical devices” into playful wearable accessories, thus enhancing user compliance and long-term wearability. Moreover, the in situ paintability enables seamless integration with porous silver textile connectors, yielding an interlocked junction with a built-in modulus gradient for stable signal transmission. The versatility of this platform is demonstrated through diverse use cases, including wireless electrocardiogram monitoring during long-term complex daily activities, machine learning-enabled electromyogram for gesture recognition and robotic hand control, and through-hair electroencephalogram detection for neural response analysis. In addition, the absence of image artifact highlights its potential for multimodal MRI imaging and electrophysiology. Overall, this strategy establishes a personalized, scalable platform for next-generation electronic tattoos toward continuous healthcare and interactive bioelectronics.</w:t>
      </w:r>
    </w:p>
    <w:p>
      <w:pPr>
        <w:spacing w:before="120" w:after="120"/>
      </w:pPr>
      <w:r>
        <w:rPr>
          <w:sz w:val="18"/>
        </w:rPr>
        <w:t>——————————————————————————————————————————————————————————————————————</w:t>
      </w:r>
    </w:p>
    <w:p>
      <w:pPr>
        <w:spacing w:before="160" w:after="40" w:line="240" w:lineRule="auto"/>
      </w:pPr>
      <w:r>
        <w:rPr>
          <w:b/>
        </w:rPr>
        <w:t xml:space="preserve">[152] </w:t>
      </w:r>
      <w:hyperlink r:id="rId658">
        <w:r>
          <w:rPr>
            <w:color w:val="1155CC"/>
            <w:u w:val="single"/>
          </w:rPr>
          <w:t>藻圈的拉曼成像揭示了单个浮游植物细胞分泌的有机物的尖锐梯度</w:t>
        </w:r>
      </w:hyperlink>
    </w:p>
    <w:p>
      <w:pPr>
        <w:spacing w:before="0" w:after="80"/>
      </w:pPr>
      <w:r>
        <w:rPr>
          <w:i/>
          <w:sz w:val="20"/>
        </w:rPr>
        <w:t>EN: Raman imaging of the phycosphere reveals sharp gradients of organic matter exuded by single phytoplankton cells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59">
        <w:r>
          <w:rPr>
            <w:color w:val="1155CC"/>
            <w:u w:val="single"/>
          </w:rPr>
          <w:t>10.1073/pnas.2535317123</w:t>
        </w:r>
      </w:hyperlink>
    </w:p>
    <w:p>
      <w:pPr>
        <w:spacing w:before="0" w:after="120"/>
      </w:pPr>
      <w:r>
        <w:rPr>
          <w:b/>
        </w:rPr>
        <w:t xml:space="preserve">Notes: </w:t>
      </w:r>
      <w:r>
        <w:t>abstract_source=crossref</w:t>
      </w:r>
    </w:p>
    <w:p>
      <w:pPr>
        <w:spacing w:before="0" w:after="80" w:lineRule="auto" w:line="276"/>
      </w:pPr>
      <w:r>
        <w:rPr>
          <w:b/>
        </w:rPr>
        <w:t xml:space="preserve">摘要（ZH）: </w:t>
      </w:r>
      <w:r>
        <w:t>浮游植物细胞在水体中分泌出多种化学物质，产生一个称为藻圈的局部微环境。尽管现在人们普遍认为藻圈介导浮游植物和细菌之间的相互作用，但单个浮游植物细胞周围的化学梯度从未被明确测量过，并且它们的形状通常被认为是由理想扩散设定的。在这里，我们使用拉曼显微光谱法获得了不同物种个体浮游植物细胞周围浮游植物代谢物（岩藻黄质）浓度分布的微米级测量值，其半径介于</w:t>
      </w:r>
      <w:r>
        <w:t xml:space="preserve"> </w:t>
      </w:r>
      <w:r>
        <w:t>2.5</w:t>
      </w:r>
      <w:r>
        <w:t xml:space="preserve"> </w:t>
      </w:r>
      <w:r>
        <w:t>和 60</w:t>
      </w:r>
      <w:r>
        <w:t xml:space="preserve"> </w:t>
      </w:r>
      <w:r>
        <w:t>μ</w:t>
      </w:r>
      <w:r>
        <w:t xml:space="preserve"> </w:t>
      </w:r>
      <w:r>
        <w:t>米。我们发现，随着与细胞的距离增加，岩藻黄质浓度下降的速度比理想扩散预测的要快，这表明藻圈中包含的化合物的扩散具有非理想效应。我们使用空间依赖性扩散率模型来解释这一观察结果，其中非理想性是由细胞外环境中的粘度和溶解度梯度引起的。我们的结果表明了藻圈的洋葱结构模型，其中服从理想扩散的小亲水溶质产生宽但弱的梯度，而不溶性化合物则保留在藻圈中。</w:t>
      </w:r>
    </w:p>
    <w:p>
      <w:pPr>
        <w:spacing w:before="0" w:after="200" w:lineRule="auto" w:line="276"/>
      </w:pPr>
      <w:r>
        <w:rPr>
          <w:b/>
        </w:rPr>
        <w:t xml:space="preserve">Abstract (EN): </w:t>
      </w:r>
      <w:r>
        <w:t>Phytoplankton cells exude a wide array of chemicals in the water column, generating a localized microenvironment known as the phycosphere. Although it is now well accepted that the phycosphere mediates interactions between phytoplankton and bacteria, the chemical gradients around individual phytoplankton cells have never been explicitly measured, and their shape has been classically assumed to be set by ideal diffusion. Here we used Raman microspectroscopy to obtain micrometer-scale measurements of the concentration profile of a phytoplankton metabolite (fucoxanthin) around individual phytoplankton cells of different species, having radii between</w:t>
      </w:r>
      <w:r>
        <w:t xml:space="preserve"> </w:t>
      </w:r>
      <w:r>
        <w:t>2.5</w:t>
      </w:r>
      <w:r>
        <w:t xml:space="preserve"> </w:t>
      </w:r>
      <w:r>
        <w:t>and 60</w:t>
      </w:r>
      <w:r>
        <w:t xml:space="preserve"> </w:t>
      </w:r>
      <w:r>
        <w:t>μ</w:t>
      </w:r>
      <w:r>
        <w:t xml:space="preserve"> </w:t>
      </w:r>
      <w:r>
        <w:t>m. We found that fucoxanthin concentration decreases more rapidly with distance from the cell than predicted by ideal diffusion, showing that the phycosphere includes compounds whose diffusion is characterized by nonideal effects. We explain this observation using a space-dependent diffusivity model where nonideality arises from viscosity and solubility gradients in the extracellular environment. Our results suggest an onion-structured model of the phycosphere, in which small hydrophilic solutes that obey ideal diffusion generate broad but weak gradients, whereas insoluble compounds are retained within</w:t>
      </w:r>
      <w:r>
        <w:t xml:space="preserve"> </w:t>
      </w:r>
      <w:r>
        <w:rPr>
          <w:vertAlign w:val="subscript"/>
        </w:rPr>
        <w:t>10</w:t>
      </w:r>
      <w:r>
        <w:t xml:space="preserve"> </w:t>
      </w:r>
      <w:r>
        <w:t>to</w:t>
      </w:r>
      <w:r>
        <w:t xml:space="preserve"> </w:t>
      </w:r>
      <w:r>
        <w:rPr>
          <w:vertAlign w:val="subscript"/>
        </w:rPr>
        <w:t>20</w:t>
      </w:r>
      <w:r>
        <w:t xml:space="preserve"> </w:t>
      </w:r>
      <w:r>
        <w:t>μ</w:t>
      </w:r>
      <w:r>
        <w:t xml:space="preserve"> </w:t>
      </w:r>
      <w:r>
        <w:t>from the phytoplankton cell surface and yield steep gradients of organic matter. These observations, supported by evidence that fucoxanthin can act as an effective chemoattractant for marine bacteria, show the existence of strong and highly localized chemical cues with potentially far-reaching impacts on microbial interactions in aquatic environments. These findings highlight the importance of directly measuring the microscale chemical landscape experienced by marine microbes.</w:t>
      </w:r>
    </w:p>
    <w:p>
      <w:pPr>
        <w:spacing w:before="120" w:after="120"/>
      </w:pPr>
      <w:r>
        <w:rPr>
          <w:sz w:val="18"/>
        </w:rPr>
        <w:t>——————————————————————————————————————————————————————————————————————</w:t>
      </w:r>
    </w:p>
    <w:p>
      <w:pPr>
        <w:spacing w:before="160" w:after="40" w:line="240" w:lineRule="auto"/>
      </w:pPr>
      <w:r>
        <w:rPr>
          <w:b/>
        </w:rPr>
        <w:t xml:space="preserve">[153] </w:t>
      </w:r>
      <w:hyperlink r:id="rId660">
        <w:r>
          <w:rPr>
            <w:color w:val="1155CC"/>
            <w:u w:val="single"/>
          </w:rPr>
          <w:t>印度尼西亚棕榈油行业的零毁林承诺实现了高度合规性，但没有额外性</w:t>
        </w:r>
      </w:hyperlink>
    </w:p>
    <w:p>
      <w:pPr>
        <w:spacing w:before="0" w:after="80"/>
      </w:pPr>
      <w:r>
        <w:rPr>
          <w:i/>
          <w:sz w:val="20"/>
        </w:rPr>
        <w:t>EN: Zero-deforestation commitments in Indonesia’s palm oil sector achieve high compliance but no additionality</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61">
        <w:r>
          <w:rPr>
            <w:color w:val="1155CC"/>
            <w:u w:val="single"/>
          </w:rPr>
          <w:t>10.1073/pnas.2511503123</w:t>
        </w:r>
      </w:hyperlink>
    </w:p>
    <w:p>
      <w:pPr>
        <w:spacing w:before="0" w:after="120"/>
      </w:pPr>
      <w:r>
        <w:rPr>
          <w:b/>
        </w:rPr>
        <w:t xml:space="preserve">Notes: </w:t>
      </w:r>
      <w:r>
        <w:t>abstract_source=crossref</w:t>
      </w:r>
    </w:p>
    <w:p>
      <w:pPr>
        <w:spacing w:before="0" w:after="80" w:lineRule="auto" w:line="276"/>
      </w:pPr>
      <w:r>
        <w:rPr>
          <w:b/>
        </w:rPr>
        <w:t xml:space="preserve">摘要（ZH）: </w:t>
      </w:r>
      <w:r>
        <w:t>为了应对公众压力，公司越来越多地做出自愿的可持续采购承诺。然而，通常尚不清楚此类承诺是否仅导致供应商合规的狭隘目标，还是也导致额外性的更广泛目标，即超出没有承诺的情况下所能获得的收益。一家公司影响供应商行为的能力部分取决于供应链的复杂性，但供应链联系的数据有限，阻碍了因果评估。在这里，我们评估了印度尼西亚棕榈油行业零毁林承诺（ZDC）的合规性和额外性，该行业是热带森林砍伐的主要驱动力。我们编制了一个详细的数据集，其中整合了有关企业 ZDC 实施、供应链联系以及印度尼西亚棕榈驱动的森林砍伐地图的信息。我们利用该数据集，采用双重差分计量经济学方法，评估 2018 年至 2020 年 ZDC 对油棕特许地森林砍伐的因果影响。我们发现，与拥有 ZDC 的公司相关的特许权的森林砍伐率较低（2018 年至 2020 年每年&lt;1%），因此基本上实现了合规。然而，与 ZDC 未涵盖的特许权相比，它们的森林砍伐减少幅度相似，因此没有表现出额外性。我们将没有额外性的发现归因于研究期间政策和经济条件的更广泛变化，这些变化可能减少了剩余的可利用森林，并抑制了为棕榈油而砍伐森林的市场和监管激励措施。如果这些条件在 t 发生变化</w:t>
      </w:r>
    </w:p>
    <w:p>
      <w:pPr>
        <w:spacing w:before="0" w:after="200" w:lineRule="auto" w:line="276"/>
      </w:pPr>
      <w:r>
        <w:rPr>
          <w:b/>
        </w:rPr>
        <w:t xml:space="preserve">Abstract (EN): </w:t>
      </w:r>
      <w:r>
        <w:t>In response to public pressure, companies have increasingly adopted voluntary sustainable sourcing commitments. Yet, it often remains unclear whether such commitments lead only to the narrow goal of supplier compliance, or also to the broader goal of additionality, benefits beyond what would have occurred without commitments. A company’s ability to influence its suppliers’ behavior partly depends on the complexity of supply chains, yet data on supply chain linkages are limited, inhibiting causal evaluations. Here, we evaluate the compliance and additionality of zero-deforestation commitments (ZDCs) in the Indonesian palm oil sector, a major driver of tropical deforestation. We compiled a detailed dataset that integrates information about corporate ZDC implementation, supply chain linkages, and maps of palm-driven deforestation in Indonesia. We use this dataset to evaluate the causal impact of ZDCs on deforestation in oil palm concessions from 2018 to 2020 using difference-in-differences econometric methods. We find that concessions linked to companies with ZDCs had low deforestation (&amp;lt;1% per year from 2018 to 2020) and thus largely achieved compliance. Yet they experienced similar reductions in deforestation compared to concessions not covered by ZDCs, therefore showing no additionality. We attribute our finding of no additionality to broader changes in policy and economic conditions during the study period that may have reduced the remaining accessible forest and dampened market and regulatory incentives to clear forests for palm oil. Should these conditions change in the future, continued compliance with ZDCs could yield additional reductions in deforestation.</w:t>
      </w:r>
    </w:p>
    <w:p>
      <w:pPr>
        <w:spacing w:before="120" w:after="120"/>
      </w:pPr>
      <w:r>
        <w:rPr>
          <w:sz w:val="18"/>
        </w:rPr>
        <w:t>——————————————————————————————————————————————————————————————————————</w:t>
      </w:r>
    </w:p>
    <w:p>
      <w:pPr>
        <w:spacing w:before="160" w:after="40" w:line="240" w:lineRule="auto"/>
      </w:pPr>
      <w:r>
        <w:rPr>
          <w:b/>
        </w:rPr>
        <w:t xml:space="preserve">[154] </w:t>
      </w:r>
      <w:hyperlink r:id="rId662">
        <w:r>
          <w:rPr>
            <w:color w:val="1155CC"/>
            <w:u w:val="single"/>
          </w:rPr>
          <w:t>与年龄相关的表观遗传漂移轨迹和家犬加速衰老的跨国差异</w:t>
        </w:r>
      </w:hyperlink>
    </w:p>
    <w:p>
      <w:pPr>
        <w:spacing w:before="0" w:after="80"/>
      </w:pPr>
      <w:r>
        <w:rPr>
          <w:i/>
          <w:sz w:val="20"/>
        </w:rPr>
        <w:t>EN: Age-associated epigenetic drift trajectory and cross-national disparities in accelerated aging in domestic dogs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63">
        <w:r>
          <w:rPr>
            <w:color w:val="1155CC"/>
            <w:u w:val="single"/>
          </w:rPr>
          <w:t>10.1073/pnas.2528874123</w:t>
        </w:r>
      </w:hyperlink>
    </w:p>
    <w:p>
      <w:pPr>
        <w:spacing w:before="0" w:after="120"/>
      </w:pPr>
      <w:r>
        <w:rPr>
          <w:b/>
        </w:rPr>
        <w:t xml:space="preserve">Notes: </w:t>
      </w:r>
      <w:r>
        <w:t>abstract_source=crossref</w:t>
      </w:r>
    </w:p>
    <w:p>
      <w:pPr>
        <w:spacing w:before="0" w:after="80" w:lineRule="auto" w:line="276"/>
      </w:pPr>
      <w:r>
        <w:rPr>
          <w:b/>
        </w:rPr>
        <w:t xml:space="preserve">摘要（ZH）: </w:t>
      </w:r>
      <w:r>
        <w:t>衰老伴随着个体间异质性的增加以及与年龄相关的 DNA 甲基化 (DNAm) 的系统性改变。在这里，我们使用表观遗传漂变的全局和位点特异性测量以及基于时钟的生物衰老估计来研究狗表观遗传衰老的这些互补维度。我们观察到在犬类的整个生命周期中普遍存在但基因组结构的表观遗传不稳定性。与年龄相关的表观遗传漂移的程度进一步随体型的不同而变化，这表明甲基化不稳定性的生物分层。韩国和美国之间生物钟衍生的表观遗传年龄加速 (EAA) 的跨国比较显示，韩国狗的 EAA 始终较高，并且在韩国队列中发现了与性别相关的差异。我们进一步鉴定了具有队列特异性年龄相关甲基化模式的 CpG，表明表观遗传衰老的人群水平差异超出了基于时钟的估计，扩展到了位点特异性甲基化动态。总之，这些发现强调了犬类表观遗传衰老的种群水平多样性，并支持狗作为研究与年龄相关的表观遗传变化的生物和环境决定因素的易处理模型。</w:t>
      </w:r>
    </w:p>
    <w:p>
      <w:pPr>
        <w:spacing w:before="0" w:after="200" w:lineRule="auto" w:line="276"/>
      </w:pPr>
      <w:r>
        <w:rPr>
          <w:b/>
        </w:rPr>
        <w:t xml:space="preserve">Abstract (EN): </w:t>
      </w:r>
      <w:r>
        <w:t>Aging is accompanied by both increasing interindividual heterogeneity and systematic, age-associated alterations in DNA methylation (DNAm). Here, we investigated these complementary dimensions of epigenetic aging in dogs using global and locus-specific measures of epigenetic drift alongside clock-based estimates of biological aging. We observed pervasive, yet genomically structured epigenetic instability throughout the canine lifespan. The extent of age-associated epigenetic drift further varied by body size, suggesting biological stratification of methylation instability. Cross-national comparison of clock-derived epigenetic age acceleration (EAA) between South Korea and the United States revealed consistently higher EAA in Korean dogs, with sex-associated differences detected within the Korean cohort. We further identified CpGs with cohort-specific age-associated methylation patterns, indicating that population-level differences in epigenetic aging extend beyond clock-based estimates to locus-specific methylation dynamics. Together, these findings highlight population-level diversity in canine epigenetic aging and support dogs as a tractable model for investigating biological and environmental determinants of age-related epigenetic change.</w:t>
      </w:r>
    </w:p>
    <w:p>
      <w:pPr>
        <w:spacing w:before="120" w:after="120"/>
      </w:pPr>
      <w:r>
        <w:rPr>
          <w:sz w:val="18"/>
        </w:rPr>
        <w:t>——————————————————————————————————————————————————————————————————————</w:t>
      </w:r>
    </w:p>
    <w:p>
      <w:pPr>
        <w:spacing w:before="160" w:after="40" w:line="240" w:lineRule="auto"/>
      </w:pPr>
      <w:r>
        <w:rPr>
          <w:b/>
        </w:rPr>
        <w:t xml:space="preserve">[155] </w:t>
      </w:r>
      <w:hyperlink r:id="rId664">
        <w:r>
          <w:rPr>
            <w:color w:val="1155CC"/>
            <w:u w:val="single"/>
          </w:rPr>
          <w:t>即使政府和行业反对，科学和社会共识的综合信号也能最好地动员人们采取行动应对社会挑战</w:t>
        </w:r>
      </w:hyperlink>
    </w:p>
    <w:p>
      <w:pPr>
        <w:spacing w:before="0" w:after="80"/>
      </w:pPr>
      <w:r>
        <w:rPr>
          <w:i/>
          <w:sz w:val="20"/>
        </w:rPr>
        <w:t>EN: Combined signals of scientific and social consensus best mobilize action on societal challenges even if government and industry oppose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65">
        <w:r>
          <w:rPr>
            <w:color w:val="1155CC"/>
            <w:u w:val="single"/>
          </w:rPr>
          <w:t>10.1073/pnas.2533408123</w:t>
        </w:r>
      </w:hyperlink>
    </w:p>
    <w:p>
      <w:pPr>
        <w:spacing w:before="0" w:after="120"/>
      </w:pPr>
      <w:r>
        <w:rPr>
          <w:b/>
        </w:rPr>
        <w:t xml:space="preserve">Notes: </w:t>
      </w:r>
      <w:r>
        <w:t>abstract_source=crossref</w:t>
      </w:r>
    </w:p>
    <w:p>
      <w:pPr>
        <w:spacing w:before="0" w:after="80" w:lineRule="auto" w:line="276"/>
      </w:pPr>
      <w:r>
        <w:rPr>
          <w:b/>
        </w:rPr>
        <w:t xml:space="preserve">摘要（ZH）: </w:t>
      </w:r>
      <w:r>
        <w:t>当面临现实世界的社会挑战时，人们根据来自政府、科学家、公民和私营公司等各种有影响力的利益相关者的多种且常常相互冲突的信息来决定如何采取行动。在社会多个实体发出的可能趋同或趋异的信号中，公众如何决定采取行动？即使其他团体表现得冷漠或持反对态度，哪些实体仍然具有影响力？在美国这样的环境下，这个问题变得尤为重要，因为政府、行业、科学家和公众情绪可能存在分歧。在两项涉及 40,000 多项评估的联合实验中，一项行为实验和一项数字实地研究（</w:t>
      </w:r>
      <w:r>
        <w:t xml:space="preserve"> </w:t>
      </w:r>
      <w:r>
        <w:t>氮</w:t>
      </w:r>
      <w:r>
        <w:t xml:space="preserve"> </w:t>
      </w:r>
      <w:r>
        <w:t>s 分别 = 1,515、2,005、1,604、50,668；全部预先注册），我们展示了政府机构、科学专家、行业利益相关者以及公众的社会共识在推动对环境、健康和技术领域的 10 个问题做出回应方面的相对和综合影响力。在各个领域，科学家的支持和社会共识对美国公众对社会问题的反应影响最大，包括政策支持、产品偏好、事业捐赠和社交媒体参与。当面临政府和工业界的反对时，科学家和社会共识的联合而非孤立的支持可靠地动员了跨领域的行动。这项工作表明，即使在系统性地反对解决当代社会挑战的情况下，科学</w:t>
      </w:r>
    </w:p>
    <w:p>
      <w:pPr>
        <w:spacing w:before="0" w:after="200" w:lineRule="auto" w:line="276"/>
      </w:pPr>
      <w:r>
        <w:rPr>
          <w:b/>
        </w:rPr>
        <w:t xml:space="preserve">Abstract (EN): </w:t>
      </w:r>
      <w:r>
        <w:t>When facing real-world societal challenges, people make decisions about how to act based on multiple, often conflicting messages from various influential stakeholders such as governments, scientists, fellow citizens, and private companies. How does the public decide to act amid potentially converging or diverging signals from multiple entities in society? Which entities remain influential even if other groups appear apathetic or stand in opposition? This question becomes especially important in contexts like the United States where the government, industry, scientists, and public sentiment may diverge. In two conjoint experiments spanning over 40,000 evaluations, one behavioral experiment and a digital field study (</w:t>
      </w:r>
      <w:r>
        <w:t xml:space="preserve"> </w:t>
      </w:r>
      <w:r>
        <w:t>N</w:t>
      </w:r>
      <w:r>
        <w:t xml:space="preserve"> </w:t>
      </w:r>
      <w:r>
        <w:t>s = 1,515, 2,005, 1,604, 50,668 respectively; all preregistered), we show the relative and combined influence of government bodies, scientific experts, industry stakeholders, and social consensus in the general public in driving responses to 10 issues in environmental, health, and technology domains. Across domains, support from scientists and social consensus was most influential in shaping the American public’s responses to societal problems including policy support, product preferences, donations to a cause, and social media engagement. And when facing opposition from government and industry, the combined, but not isolated, support of scientists and social consensus reliably mobilized action across domains. This work suggests that even amid rising systemic opposition to solving contemporary societal challenges, scientists and the public can come together to mobilize action.</w:t>
      </w:r>
    </w:p>
    <w:p>
      <w:pPr>
        <w:spacing w:before="120" w:after="120"/>
      </w:pPr>
      <w:r>
        <w:rPr>
          <w:sz w:val="18"/>
        </w:rPr>
        <w:t>——————————————————————————————————————————————————————————————————————</w:t>
      </w:r>
    </w:p>
    <w:p>
      <w:pPr>
        <w:spacing w:before="160" w:after="40" w:line="240" w:lineRule="auto"/>
      </w:pPr>
      <w:r>
        <w:rPr>
          <w:b/>
        </w:rPr>
        <w:t xml:space="preserve">[156] </w:t>
      </w:r>
      <w:hyperlink r:id="rId666">
        <w:r>
          <w:rPr>
            <w:color w:val="1155CC"/>
            <w:u w:val="single"/>
          </w:rPr>
          <w:t>尖孢镰刀菌诱导的 ABA 信号触发根部维管束重塑以实现植物防御</w:t>
        </w:r>
      </w:hyperlink>
    </w:p>
    <w:p>
      <w:pPr>
        <w:spacing w:before="0" w:after="80"/>
      </w:pPr>
      <w:r>
        <w:rPr>
          <w:i/>
          <w:sz w:val="20"/>
        </w:rPr>
        <w:t>EN: Fusarium oxysporum–induced ABA signaling triggers root vascular remodeling for plant defense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67">
        <w:r>
          <w:rPr>
            <w:color w:val="1155CC"/>
            <w:u w:val="single"/>
          </w:rPr>
          <w:t>10.1073/pnas.2615226123</w:t>
        </w:r>
      </w:hyperlink>
    </w:p>
    <w:p>
      <w:pPr>
        <w:spacing w:before="0" w:after="120"/>
      </w:pPr>
      <w:r>
        <w:rPr>
          <w:b/>
        </w:rPr>
        <w:t xml:space="preserve">Notes: </w:t>
      </w:r>
      <w:r>
        <w:t>abstract_source=crossref</w:t>
      </w:r>
    </w:p>
    <w:p>
      <w:pPr>
        <w:spacing w:before="0" w:after="80" w:lineRule="auto" w:line="276"/>
      </w:pPr>
      <w:r>
        <w:rPr>
          <w:b/>
        </w:rPr>
        <w:t xml:space="preserve">摘要（ZH）: </w:t>
      </w:r>
      <w:r>
        <w:t>根维管束病原体如</w:t>
      </w:r>
      <w:r>
        <w:t xml:space="preserve"> </w:t>
      </w:r>
      <w:r>
        <w:t>尖孢镰刀菌</w:t>
      </w:r>
      <w:r>
        <w:t xml:space="preserve"> </w:t>
      </w:r>
      <w:r>
        <w:t>(Fo) 通过在木质部定植而严重影响农业，从而扰乱寄主植物内水、养分和信号分子的运输。然而，它们在木质部入侵之前对根生长和维管发育的影响以及潜在的分子机制仍然知之甚少。在这里，我们发现 Fo 会触发一种快速、系统性的脱落酸 (ABA)，这种脱落酸似乎会诱导拟南芥中发生在血管定植之前的发育重编程。这种反应与根生长抑制、根顶端分生组织的混乱以及木质部结构的改变有关。高分辨率成像显示，与 Fo 的初始接触会提高根部 ABA 水平，这与关键发育途径的调节平行，包括 MIR165/PHB 和 VND7，它们调节血管模式并介导过早的木质部分化和重塑。韧皮部发育也会受到影响，可能是通过破坏 CLE45-BAM3 信号传导而受到影响。内胚层 ABA 信号传导 ELTPp 受损的突变体::</w:t>
      </w:r>
      <w:r>
        <w:t xml:space="preserve"> </w:t>
      </w:r>
      <w:r>
        <w:t>阿比1-1</w:t>
      </w:r>
      <w:r>
        <w:t xml:space="preserve"> </w:t>
      </w:r>
      <w:r>
        <w:t>和次生壁的形成，</w:t>
      </w:r>
      <w:r>
        <w:t xml:space="preserve"> </w:t>
      </w:r>
      <w:r>
        <w:t>塞萨4,</w:t>
      </w:r>
      <w:r>
        <w:t xml:space="preserve"> </w:t>
      </w:r>
      <w:r>
        <w:t>显示了 ABA 水平的组成性升高、木质部缺陷和对 Fo 的抵抗力增强，表明 ABA 诱导的血管重塑有助于限制感染的结构屏障的形成。此外，Fo 感染会诱导中柱中的同型半乳糖醛酸去甲基化，这是一种与细胞壁硬化相关的修饰</w:t>
      </w:r>
    </w:p>
    <w:p>
      <w:pPr>
        <w:spacing w:before="0" w:after="200" w:lineRule="auto" w:line="276"/>
      </w:pPr>
      <w:r>
        <w:rPr>
          <w:b/>
        </w:rPr>
        <w:t xml:space="preserve">Abstract (EN): </w:t>
      </w:r>
      <w:r>
        <w:t>Root vascular pathogens like</w:t>
      </w:r>
      <w:r>
        <w:t xml:space="preserve"> </w:t>
      </w:r>
      <w:r>
        <w:t>Fusarium oxysporum</w:t>
      </w:r>
      <w:r>
        <w:t xml:space="preserve"> </w:t>
      </w:r>
      <w:r>
        <w:t>(Fo) severely impact agriculture by colonizing the xylem, thereby disrupting the transport of water, nutrients, and signaling molecules within host plants. However, their effects on root growth and vascular development before xylem invasion, and the underlying molecular mechanisms, remain poorly understood. Here, we show that Fo triggers a rapid, systemic, abscisic acid (ABA) that seems to induce a developmental reprogramming in Arabidopsis that occurs prior to vascular colonization. This response is associated with root growth inhibition, disorganization of the root apical meristem, and alterations in xylem architecture. High-resolution imaging reveals that initial contact with Fo elevates root ABA levels, which parallels the modulation of key developmental pathways, including MIR165/PHB and VND7, which regulate vascular patterning and mediate premature xylem differentiation and remodeling. Phloem development is also affected, likely through disruption of CLE45–BAM3 signaling. Mutants impaired in endodermal ABA signaling, ELTPp::</w:t>
      </w:r>
      <w:r>
        <w:t xml:space="preserve"> </w:t>
      </w:r>
      <w:r>
        <w:t>abi1-1</w:t>
      </w:r>
      <w:r>
        <w:t xml:space="preserve"> </w:t>
      </w:r>
      <w:r>
        <w:t>, and secondary wall formation,</w:t>
      </w:r>
      <w:r>
        <w:t xml:space="preserve"> </w:t>
      </w:r>
      <w:r>
        <w:t>cesa4,</w:t>
      </w:r>
      <w:r>
        <w:t xml:space="preserve"> </w:t>
      </w:r>
      <w:r>
        <w:t>show constitutive elevated ABA levels, xylem defects, and enhanced resistance to Fo, suggesting that ABA-induced vascular remodeling contributes to the formation of structural barriers that limit infection. Additionally, Fo infection induces homogalacturonan demethylation in the stele, a modification associated with cell wall stiffening and reduced pathogen spread, which is constitutively observed in ELTPp::</w:t>
      </w:r>
      <w:r>
        <w:t xml:space="preserve"> </w:t>
      </w:r>
      <w:r>
        <w:t>abi1-1</w:t>
      </w:r>
      <w:r>
        <w:t xml:space="preserve"> </w:t>
      </w:r>
      <w:r>
        <w:t>. Overall, our findings reveal ABA-mediated vascular plasticity, including cell wall remodeling as a developmentally encoded root defense mechanism. They highlight how transient hormonal cues reprogram root architecture to limit pathogen invasion and suggest strategies for crop protection.</w:t>
      </w:r>
    </w:p>
    <w:p>
      <w:pPr>
        <w:spacing w:before="120" w:after="120"/>
      </w:pPr>
      <w:r>
        <w:rPr>
          <w:sz w:val="18"/>
        </w:rPr>
        <w:t>——————————————————————————————————————————————————————————————————————</w:t>
      </w:r>
    </w:p>
    <w:p>
      <w:pPr>
        <w:spacing w:before="160" w:after="40" w:line="240" w:lineRule="auto"/>
      </w:pPr>
      <w:r>
        <w:rPr>
          <w:b/>
        </w:rPr>
        <w:t xml:space="preserve">[157] </w:t>
      </w:r>
      <w:hyperlink r:id="rId668">
        <w:r>
          <w:rPr>
            <w:color w:val="1155CC"/>
            <w:u w:val="single"/>
          </w:rPr>
          <w:t>通过动态探索寻找图灵岛</w:t>
        </w:r>
      </w:hyperlink>
    </w:p>
    <w:p>
      <w:pPr>
        <w:spacing w:before="0" w:after="80"/>
      </w:pPr>
      <w:r>
        <w:rPr>
          <w:i/>
          <w:sz w:val="20"/>
        </w:rPr>
        <w:t>EN: Finding Turing islands through dynamical exploration</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69">
        <w:r>
          <w:rPr>
            <w:color w:val="1155CC"/>
            <w:u w:val="single"/>
          </w:rPr>
          <w:t>10.1073/pnas.2617205123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670">
        <w:r>
          <w:rPr>
            <w:color w:val="1155CC"/>
            <w:u w:val="single"/>
          </w:rPr>
          <w:t>拥挤控制总线频率随需求的变化</w:t>
        </w:r>
      </w:hyperlink>
    </w:p>
    <w:p>
      <w:pPr>
        <w:spacing w:before="0" w:after="80"/>
      </w:pPr>
      <w:r>
        <w:rPr>
          <w:i/>
          <w:sz w:val="20"/>
        </w:rPr>
        <w:t>EN: Crowding controls the scaling of bus frequency with demand</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71">
        <w:r>
          <w:rPr>
            <w:color w:val="1155CC"/>
            <w:u w:val="single"/>
          </w:rPr>
          <w:t>10.1073/pnas.2535998123</w:t>
        </w:r>
      </w:hyperlink>
    </w:p>
    <w:p>
      <w:pPr>
        <w:spacing w:before="0" w:after="120"/>
      </w:pPr>
      <w:r>
        <w:rPr>
          <w:b/>
        </w:rPr>
        <w:t xml:space="preserve">Notes: </w:t>
      </w:r>
      <w:r>
        <w:t>abstract_source=crossref</w:t>
      </w:r>
    </w:p>
    <w:p>
      <w:pPr>
        <w:spacing w:before="0" w:after="80" w:lineRule="auto" w:line="276"/>
      </w:pPr>
      <w:r>
        <w:rPr>
          <w:b/>
        </w:rPr>
        <w:t xml:space="preserve">摘要（ZH）: </w:t>
      </w:r>
      <w:r>
        <w:t>城市必须分配有限的资源来维持流动性，而系统的最终状态存在不确定性。通过分析全球 19 个大都市区的约 3,000 条公交线路，每年乘客量超过 40 亿人次，我们发现了以下形式的稳健缩放定律</w:t>
      </w:r>
      <w:r>
        <w:t xml:space="preserve"> </w:t>
      </w:r>
      <w:r>
        <w:t>f</w:t>
      </w:r>
      <w:r>
        <w:t xml:space="preserve"> </w:t>
      </w:r>
      <w:r>
        <w:t>～</w:t>
      </w:r>
      <w:r>
        <w:t xml:space="preserve"> </w:t>
      </w:r>
      <w:r>
        <w:t>（</w:t>
      </w:r>
      <w:r>
        <w:t xml:space="preserve"> </w:t>
      </w:r>
      <w:r>
        <w:t>d</w:t>
      </w:r>
      <w:r>
        <w:t xml:space="preserve"> </w:t>
      </w:r>
      <w:r>
        <w:t>/</w:t>
      </w:r>
      <w:r>
        <w:t>t</w:t>
      </w:r>
      <w:r>
        <w:t xml:space="preserve"> </w:t>
      </w:r>
      <w:r>
        <w:t>）</w:t>
      </w:r>
      <w:r>
        <w:t xml:space="preserve"> </w:t>
      </w:r>
      <w:r>
        <w:t>α</w:t>
      </w:r>
      <w:r>
        <w:t xml:space="preserve"> </w:t>
      </w:r>
      <w:r>
        <w:t>带指数</w:t>
      </w:r>
      <w:r>
        <w:t xml:space="preserve"> </w:t>
      </w:r>
      <w:r>
        <w:t>α</w:t>
      </w:r>
      <w:r>
        <w:t xml:space="preserve"> </w:t>
      </w:r>
      <w:r>
        <w:t>ε</w:t>
      </w:r>
      <w:r>
        <w:t xml:space="preserve"> </w:t>
      </w:r>
      <w:r>
        <w:t>[</w:t>
      </w:r>
      <w:r>
        <w:rPr>
          <w:vertAlign w:val="subscript"/>
        </w:rPr>
        <w:t>1</w:t>
      </w:r>
      <w:r>
        <w:t>/</w:t>
      </w:r>
      <w:r>
        <w:rPr>
          <w:vertAlign w:val="subscript"/>
        </w:rPr>
        <w:t>2</w:t>
      </w:r>
      <w:r>
        <w:t>,</w:t>
      </w:r>
      <w:r>
        <w:t xml:space="preserve"> </w:t>
      </w:r>
      <w:r>
        <w:rPr>
          <w:vertAlign w:val="subscript"/>
        </w:rPr>
        <w:t>2</w:t>
      </w:r>
      <w:r>
        <w:t>/</w:t>
      </w:r>
      <w:r>
        <w:rPr>
          <w:vertAlign w:val="subscript"/>
        </w:rPr>
        <w:t>3</w:t>
      </w:r>
      <w:r>
        <w:t>]</w:t>
      </w:r>
      <w:r>
        <w:t xml:space="preserve"> </w:t>
      </w:r>
      <w:r>
        <w:t>，链接服务频率</w:t>
      </w:r>
      <w:r>
        <w:t xml:space="preserve"> </w:t>
      </w:r>
      <w:r>
        <w:t>f</w:t>
      </w:r>
      <w:r>
        <w:t xml:space="preserve"> </w:t>
      </w:r>
      <w:r>
        <w:t>以满足旅客需求</w:t>
      </w:r>
      <w:r>
        <w:t xml:space="preserve"> </w:t>
      </w:r>
      <w:r>
        <w:t>d</w:t>
      </w:r>
    </w:p>
    <w:p>
      <w:pPr>
        <w:spacing w:before="0" w:after="200" w:lineRule="auto" w:line="276"/>
      </w:pPr>
      <w:r>
        <w:rPr>
          <w:b/>
        </w:rPr>
        <w:t xml:space="preserve">Abstract (EN): </w:t>
      </w:r>
      <w:r>
        <w:t>Cities must allocate limited resources to maintain mobility, with uncertainties about the resulting state of the system. Analyzing roughly 3,000 bus routes with more than 4 billion yearly riders across 19 metropolitan areas worldwide, we uncover a robust scaling law of the form</w:t>
      </w:r>
      <w:r>
        <w:t xml:space="preserve"> </w:t>
      </w:r>
      <w:r>
        <w:t>f</w:t>
      </w:r>
      <w:r>
        <w:t xml:space="preserve"> </w:t>
      </w:r>
      <w:r>
        <w:t>∼</w:t>
      </w:r>
      <w:r>
        <w:t xml:space="preserve"> </w:t>
      </w:r>
      <w:r>
        <w:t>(</w:t>
      </w:r>
      <w:r>
        <w:t xml:space="preserve"> </w:t>
      </w:r>
      <w:r>
        <w:t>d</w:t>
      </w:r>
      <w:r>
        <w:t xml:space="preserve"> </w:t>
      </w:r>
      <w:r>
        <w:t>/</w:t>
      </w:r>
      <w:r>
        <w:t>t</w:t>
      </w:r>
      <w:r>
        <w:t xml:space="preserve"> </w:t>
      </w:r>
      <w:r>
        <w:t>)</w:t>
      </w:r>
      <w:r>
        <w:t xml:space="preserve"> </w:t>
      </w:r>
      <w:r>
        <w:t>α</w:t>
      </w:r>
      <w:r>
        <w:t xml:space="preserve"> </w:t>
      </w:r>
      <w:r>
        <w:t>with exponent</w:t>
      </w:r>
      <w:r>
        <w:t xml:space="preserve"> </w:t>
      </w:r>
      <w:r>
        <w:t>α</w:t>
      </w:r>
      <w:r>
        <w:t xml:space="preserve"> </w:t>
      </w:r>
      <w:r>
        <w:t>∈</w:t>
      </w:r>
      <w:r>
        <w:t xml:space="preserve"> </w:t>
      </w:r>
      <w:r>
        <w:t>[</w:t>
      </w:r>
      <w:r>
        <w:rPr>
          <w:vertAlign w:val="subscript"/>
        </w:rPr>
        <w:t>1</w:t>
      </w:r>
      <w:r>
        <w:t>/</w:t>
      </w:r>
      <w:r>
        <w:rPr>
          <w:vertAlign w:val="subscript"/>
        </w:rPr>
        <w:t>2</w:t>
      </w:r>
      <w:r>
        <w:t>,</w:t>
      </w:r>
      <w:r>
        <w:t xml:space="preserve"> </w:t>
      </w:r>
      <w:r>
        <w:rPr>
          <w:vertAlign w:val="subscript"/>
        </w:rPr>
        <w:t>2</w:t>
      </w:r>
      <w:r>
        <w:t>/</w:t>
      </w:r>
      <w:r>
        <w:rPr>
          <w:vertAlign w:val="subscript"/>
        </w:rPr>
        <w:t>3</w:t>
      </w:r>
      <w:r>
        <w:t>]</w:t>
      </w:r>
      <w:r>
        <w:t xml:space="preserve"> </w:t>
      </w:r>
      <w:r>
        <w:t>, linking the service frequency</w:t>
      </w:r>
      <w:r>
        <w:t xml:space="preserve"> </w:t>
      </w:r>
      <w:r>
        <w:t>f</w:t>
      </w:r>
      <w:r>
        <w:t xml:space="preserve"> </w:t>
      </w:r>
      <w:r>
        <w:t>to passenger demand</w:t>
      </w:r>
      <w:r>
        <w:t xml:space="preserve"> </w:t>
      </w:r>
      <w:r>
        <w:t>d</w:t>
      </w:r>
      <w:r>
        <w:t xml:space="preserve"> </w:t>
      </w:r>
      <w:r>
        <w:t>and route duration</w:t>
      </w:r>
      <w:r>
        <w:t xml:space="preserve"> </w:t>
      </w:r>
      <w:r>
        <w:t>t</w:t>
      </w:r>
      <w:r>
        <w:t xml:space="preserve"> </w:t>
      </w:r>
      <w:r>
        <w:t>. We show that this scaling emerges from a simple optimization principle: Cities implicitly minimize total passenger waiting time under a fixed operational budget when both schedule frequency and crowding are taken into account. This mechanism produces two universal regimes: a frequency-dominated regime with</w:t>
      </w:r>
      <w:r>
        <w:t xml:space="preserve"> </w:t>
      </w:r>
      <w:r>
        <w:t>α</w:t>
      </w:r>
      <w:r>
        <w:t xml:space="preserve"> </w:t>
      </w:r>
      <w:r>
        <w:t>=</w:t>
      </w:r>
      <w:r>
        <w:rPr>
          <w:vertAlign w:val="subscript"/>
        </w:rPr>
        <w:t>1</w:t>
      </w:r>
      <w:r>
        <w:t>/</w:t>
      </w:r>
      <w:r>
        <w:rPr>
          <w:vertAlign w:val="subscript"/>
        </w:rPr>
        <w:t>2</w:t>
      </w:r>
      <w:r>
        <w:t xml:space="preserve"> </w:t>
      </w:r>
      <w:r>
        <w:t>when crowding is negligible and a capacity-dominated regime with</w:t>
      </w:r>
      <w:r>
        <w:t xml:space="preserve"> </w:t>
      </w:r>
      <w:r>
        <w:t>α</w:t>
      </w:r>
      <w:r>
        <w:t xml:space="preserve"> </w:t>
      </w:r>
      <w:r>
        <w:t>=</w:t>
      </w:r>
      <w:r>
        <w:rPr>
          <w:vertAlign w:val="subscript"/>
        </w:rPr>
        <w:t>2</w:t>
      </w:r>
      <w:r>
        <w:t>/</w:t>
      </w:r>
      <w:r>
        <w:rPr>
          <w:vertAlign w:val="subscript"/>
        </w:rPr>
        <w:t>3</w:t>
      </w:r>
      <w:r>
        <w:t xml:space="preserve"> </w:t>
      </w:r>
      <w:r>
        <w:t>when most routes are overloaded. Intermediate exponents arise when only part of the network operates near capacity. Furthermore, we find that the benefits of additional investment are highly uneven across systems. For instance, our model suggests that a</w:t>
      </w:r>
      <w:r>
        <w:t xml:space="preserve"> </w:t>
      </w:r>
      <w:r>
        <w:rPr>
          <w:vertAlign w:val="subscript"/>
        </w:rPr>
        <w:t>20</w:t>
      </w:r>
      <w:r>
        <w:t>%</w:t>
      </w:r>
      <w:r>
        <w:t xml:space="preserve"> </w:t>
      </w:r>
      <w:r>
        <w:t>budget increase yields nearly a 5-min reduction in daily waiting time per passenger in Boston, compared to only about 1 min in Paris. These findings place urban transit within a broader class of constrained capacity-allocation problems, while highlighting a distinct regime in which prescribed route demands shape the allocation of limited service resources. The resulting scaling laws show how simple optimization principles can generate systematic exponents in complex transport systems, beyond the dissipation-based frameworks usually considered in physical and biological flow networks.</w:t>
      </w:r>
    </w:p>
    <w:p>
      <w:pPr>
        <w:spacing w:before="120" w:after="120"/>
      </w:pPr>
      <w:r>
        <w:rPr>
          <w:sz w:val="18"/>
        </w:rPr>
        <w:t>——————————————————————————————————————————————————————————————————————</w:t>
      </w:r>
    </w:p>
    <w:p>
      <w:pPr>
        <w:spacing w:before="160" w:after="40" w:line="240" w:lineRule="auto"/>
      </w:pPr>
      <w:r>
        <w:rPr>
          <w:b/>
        </w:rPr>
        <w:t xml:space="preserve">[159] </w:t>
      </w:r>
      <w:hyperlink r:id="rId672">
        <w:r>
          <w:rPr>
            <w:color w:val="1155CC"/>
            <w:u w:val="single"/>
          </w:rPr>
          <w:t>从蜜蜂的脸上读出味道</w:t>
        </w:r>
      </w:hyperlink>
    </w:p>
    <w:p>
      <w:pPr>
        <w:spacing w:before="0" w:after="80"/>
      </w:pPr>
      <w:r>
        <w:rPr>
          <w:i/>
          <w:sz w:val="20"/>
        </w:rPr>
        <w:t>EN: Reading taste in a bee’s face</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73">
        <w:r>
          <w:rPr>
            <w:color w:val="1155CC"/>
            <w:u w:val="single"/>
          </w:rPr>
          <w:t>10.1073/pnas.2619794123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674">
        <w:r>
          <w:rPr>
            <w:color w:val="1155CC"/>
            <w:u w:val="single"/>
          </w:rPr>
          <w:t>回复Chi等人：将BRCA1P1定义为乳腺癌的肿瘤内在免疫调节轴</w:t>
        </w:r>
      </w:hyperlink>
    </w:p>
    <w:p>
      <w:pPr>
        <w:spacing w:before="0" w:after="80"/>
      </w:pPr>
      <w:r>
        <w:rPr>
          <w:i/>
          <w:sz w:val="20"/>
        </w:rPr>
        <w:t>EN: Reply to Chi et al.: Defining BRCA1P1 as a tumor-intrinsic immunoregulatory axis in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75">
        <w:r>
          <w:rPr>
            <w:color w:val="1155CC"/>
            <w:u w:val="single"/>
          </w:rPr>
          <w:t>10.1073/pnas.2619005123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676">
        <w:r>
          <w:rPr>
            <w:color w:val="1155CC"/>
            <w:u w:val="single"/>
          </w:rPr>
          <w:t>回复孙：行为影响疫情结果</w:t>
        </w:r>
      </w:hyperlink>
    </w:p>
    <w:p>
      <w:pPr>
        <w:spacing w:before="0" w:after="80"/>
      </w:pPr>
      <w:r>
        <w:rPr>
          <w:i/>
          <w:sz w:val="20"/>
        </w:rPr>
        <w:t>EN: Reply to Sun: Behavior affects epidemic outcomes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77">
        <w:r>
          <w:rPr>
            <w:color w:val="1155CC"/>
            <w:u w:val="single"/>
          </w:rPr>
          <w:t>10.1073/pnas.2618282123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678">
        <w:r>
          <w:rPr>
            <w:color w:val="1155CC"/>
            <w:u w:val="single"/>
          </w:rPr>
          <w:t>APOBEC2 充当淋巴细胞谱系识别的执行者</w:t>
        </w:r>
      </w:hyperlink>
    </w:p>
    <w:p>
      <w:pPr>
        <w:spacing w:before="0" w:after="80"/>
      </w:pPr>
      <w:r>
        <w:rPr>
          <w:i/>
          <w:sz w:val="20"/>
        </w:rPr>
        <w:t>EN: APOBEC2 acts as an enforcer of lymphocyte lineage identity</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79">
        <w:r>
          <w:rPr>
            <w:color w:val="1155CC"/>
            <w:u w:val="single"/>
          </w:rPr>
          <w:t>10.1073/pnas.2617206123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680">
        <w:r>
          <w:rPr>
            <w:color w:val="1155CC"/>
            <w:u w:val="single"/>
          </w:rPr>
          <w:t>BRCA1P1 免疫疗法需要假基因感知转录组学</w:t>
        </w:r>
      </w:hyperlink>
    </w:p>
    <w:p>
      <w:pPr>
        <w:spacing w:before="0" w:after="80"/>
      </w:pPr>
      <w:r>
        <w:rPr>
          <w:i/>
          <w:sz w:val="20"/>
        </w:rPr>
        <w:t>EN: BRCA1P1 immunotherapy requires pseudogene-aware transcriptomics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81">
        <w:r>
          <w:rPr>
            <w:color w:val="1155CC"/>
            <w:u w:val="single"/>
          </w:rPr>
          <w:t>10.1073/pnas.2616714123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682">
        <w:r>
          <w:rPr>
            <w:color w:val="1155CC"/>
            <w:u w:val="single"/>
          </w:rPr>
          <w:t>内应力控制攀缘植物卷须的扭动动态</w:t>
        </w:r>
      </w:hyperlink>
    </w:p>
    <w:p>
      <w:pPr>
        <w:spacing w:before="0" w:after="80"/>
      </w:pPr>
      <w:r>
        <w:rPr>
          <w:i/>
          <w:sz w:val="20"/>
        </w:rPr>
        <w:t>EN: Internal stress controls tendril writhing dynamics in climbing plants</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83">
        <w:r>
          <w:rPr>
            <w:color w:val="1155CC"/>
            <w:u w:val="single"/>
          </w:rPr>
          <w:t>10.1073/pnas.2537010123</w:t>
        </w:r>
      </w:hyperlink>
    </w:p>
    <w:p>
      <w:pPr>
        <w:spacing w:before="0" w:after="120"/>
      </w:pPr>
      <w:r>
        <w:rPr>
          <w:b/>
        </w:rPr>
        <w:t xml:space="preserve">Notes: </w:t>
      </w:r>
      <w:r>
        <w:t>abstract_source=crossref</w:t>
      </w:r>
    </w:p>
    <w:p>
      <w:pPr>
        <w:spacing w:before="0" w:after="80" w:lineRule="auto" w:line="276"/>
      </w:pPr>
      <w:r>
        <w:rPr>
          <w:b/>
        </w:rPr>
        <w:t xml:space="preserve">摘要（ZH）: </w:t>
      </w:r>
      <w:r>
        <w:t>我们提出了黄瓜植物卷须在轴向牵引力作用下的扭动动力学的实验结果。在低力下，卷须的曲率随时间呈指数饱和到极限值。在高于临界阈值的力下，卷须无法卷曲，但会产生内在的易于卷曲的应力，对应于内在的残余曲率，如果释放负载，则可见。生长场评估表明曲率是由差异生长引起的。为了理解这些实验，我们开发了一种具有双带几何形状的自向形态弹性生长模型，其中一个带经历机械敏感生长。在没有外部载荷的情况下，曲率的产生仅受内部应力的限制。为了将实际曲率与有限外力联系起来，卷须被近似为基尔霍夫杆。所得模型再现了两种观察到的状态：低于临界轴向力，卷须线圈；高于该力，卷须保持笔直，但仍表现出固有曲率。</w:t>
      </w:r>
    </w:p>
    <w:p>
      <w:pPr>
        <w:spacing w:before="0" w:after="200" w:lineRule="auto" w:line="276"/>
      </w:pPr>
      <w:r>
        <w:rPr>
          <w:b/>
        </w:rPr>
        <w:t xml:space="preserve">Abstract (EN): </w:t>
      </w:r>
      <w:r>
        <w:t>We present experimental results on the writhing dynamics of cucumber plant tendrils subjected to an axial traction force. At low forces, the tendrils’ curvature saturates exponentially in time at a limiting value. At forces higher than the critical threshold, the tendril fails to coil but develops an intrinsic coiling-prone stress, corresponding to an intrinsic residual curvature, visible if the load is released. Growth-field assessments indicate that curvature arises from differential growth. To understand these experiments we develop an autotropic morphoelastic growth model with a bi-strip geometry, in which one strip undergoes mechanosensitive growth. In the absence of an external load, curvature generation is solely limited by internal stresses. To link the actual curvature to a finite external force, the tendril is approximated as a Kirchhoff rod. The resulting model reproduces the two observed regimes: below the critical axial force, the tendril coils, and above this force, the tendril remains straight but still exhibits intrinsic curvature.</w:t>
      </w:r>
    </w:p>
    <w:p>
      <w:pPr>
        <w:spacing w:before="120" w:after="120"/>
      </w:pPr>
      <w:r>
        <w:rPr>
          <w:sz w:val="18"/>
        </w:rPr>
        <w:t>——————————————————————————————————————————————————————————————————————</w:t>
      </w:r>
    </w:p>
    <w:p>
      <w:pPr>
        <w:spacing w:before="160" w:after="40" w:line="240" w:lineRule="auto"/>
      </w:pPr>
      <w:r>
        <w:rPr>
          <w:b/>
        </w:rPr>
        <w:t xml:space="preserve">[165] </w:t>
      </w:r>
      <w:hyperlink r:id="rId684">
        <w:r>
          <w:rPr>
            <w:color w:val="1155CC"/>
            <w:u w:val="single"/>
          </w:rPr>
          <w:t>蛋白激酶 C α 中的假激酶转换突变通过通路重新布线驱动脊索样神经胶质瘤</w:t>
        </w:r>
      </w:hyperlink>
    </w:p>
    <w:p>
      <w:pPr>
        <w:spacing w:before="0" w:after="80"/>
      </w:pPr>
      <w:r>
        <w:rPr>
          <w:i/>
          <w:sz w:val="20"/>
        </w:rPr>
        <w:t>EN: Pseudokinase-converting mutation in protein kinase C alpha drives chordoid glioma by pathway rewiring</w:t>
      </w:r>
    </w:p>
    <w:p>
      <w:pPr>
        <w:spacing w:before="0" w:after="120"/>
      </w:pPr>
      <w:r>
        <w:rPr>
          <w:b/>
        </w:rPr>
        <w:t xml:space="preserve">Source: </w:t>
      </w:r>
      <w:r>
        <w:t>Proceedings of the National Academy of Sciences: Keyword search for query</w:t>
      </w:r>
      <w:r>
        <w:t xml:space="preserve">    </w:t>
      </w:r>
      <w:r>
        <w:rPr>
          <w:b/>
        </w:rPr>
        <w:t xml:space="preserve">Pub date: </w:t>
      </w:r>
      <w:r>
        <w:t>2026-07-13 07:00:00+00:00</w:t>
      </w:r>
      <w:r>
        <w:t xml:space="preserve">    </w:t>
      </w:r>
      <w:r>
        <w:rPr>
          <w:b/>
        </w:rPr>
        <w:t xml:space="preserve">DOI: </w:t>
      </w:r>
      <w:hyperlink r:id="rId685">
        <w:r>
          <w:rPr>
            <w:color w:val="1155CC"/>
            <w:u w:val="single"/>
          </w:rPr>
          <w:t>10.1073/pnas.2524934123</w:t>
        </w:r>
      </w:hyperlink>
    </w:p>
    <w:p>
      <w:pPr>
        <w:spacing w:before="0" w:after="120"/>
      </w:pPr>
      <w:r>
        <w:rPr>
          <w:b/>
        </w:rPr>
        <w:t xml:space="preserve">Notes: </w:t>
      </w:r>
      <w:r>
        <w:t>abstract_source=crossref</w:t>
      </w:r>
    </w:p>
    <w:p>
      <w:pPr>
        <w:spacing w:before="0" w:after="80" w:lineRule="auto" w:line="276"/>
      </w:pPr>
      <w:r>
        <w:rPr>
          <w:b/>
        </w:rPr>
        <w:t xml:space="preserve">摘要（ZH）: </w:t>
      </w:r>
      <w:r>
        <w:t>脊索样神经胶质瘤 (ChG) 是一种罕见的低级别脑肿瘤，其特征是蛋白激酶 C α (PKCα) 激酶结构域中出现新的复发性点突变 D463H。该突变始终是 Asp 到 His 的取代，这表明除了与其他癌症相关 PKCα 突变相关的催化失活之外，还具有独特的功能。在这里，我们证明这种突变将 PKCα 转化为假激酶，消除催化活性，此外还赋予新的支架功能。体外和细胞内的活性测定表明 PKCα</w:t>
      </w:r>
      <w:r>
        <w:t xml:space="preserve"> </w:t>
      </w:r>
      <w:r>
        <w:t>D463H</w:t>
      </w:r>
      <w:r>
        <w:t xml:space="preserve"> </w:t>
      </w:r>
      <w:r>
        <w:t>催化失活并作为显性失活抑制内源 PKC 活性。分子动力学模拟预测，His 而非 Asn 的突变不仅会破坏活性位点的稳定性，还会稳定激酶 C 叶中的底物结合螺旋，从而可能促进异常相互作用。来自过表达 PKCα 的细胞的磷酸化蛋白质组学、邻近标记和免疫共沉淀质谱数据支持了这一点</w:t>
      </w:r>
      <w:r>
        <w:t xml:space="preserve"> </w:t>
      </w:r>
      <w:r>
        <w:t>D463H</w:t>
      </w:r>
      <w:r>
        <w:t xml:space="preserve"> </w:t>
      </w:r>
      <w:r>
        <w:t>与 WT 酶相比，确定了底物磷酸化的改变以及与细胞-细胞连接中涉及的多种蛋白质的结合。最后，单核 RNAseq 证实 ChG 源自特殊的单细胞。我们的数据表明，这种疾病定义的完全渗透突变将 PKCα 转化为具有新颖支架功能的假激酶，该功能独特地重新连接细胞相互作用组以损害细胞连接功能。</w:t>
      </w:r>
    </w:p>
    <w:p>
      <w:pPr>
        <w:spacing w:before="0" w:after="200" w:lineRule="auto" w:line="276"/>
      </w:pPr>
      <w:r>
        <w:rPr>
          <w:b/>
        </w:rPr>
        <w:t xml:space="preserve">Abstract (EN): </w:t>
      </w:r>
      <w:r>
        <w:t>Chordoid glioma (ChG) is a rare, low-grade brain tumor characterized by a novel recurrent point mutation, D463H, in the kinase domain of protein kinase C alpha (PKCα). The mutation is invariably an Asp to His substitution, suggesting a unique function beyond catalytic inactivation associated with other cancer-associated PKCα mutations. Here, we show that this mutation converts PKCα into a pseudokinase, abolishing catalytic activity, and, additionally, confers novel scaffolding functions. Activity assays in vitro and in cellulo revealed that PKCα</w:t>
      </w:r>
      <w:r>
        <w:t xml:space="preserve"> </w:t>
      </w:r>
      <w:r>
        <w:t>D463H</w:t>
      </w:r>
      <w:r>
        <w:t xml:space="preserve"> </w:t>
      </w:r>
      <w:r>
        <w:t>is catalytically inactive and functions as a dominant-negative to suppress endogenous PKC activity. Molecular dynamics simulations predicted that mutation to His, but not Asn, not only destabilizes the active site, but stabilizes the substrate-binding helices in the kinase C-lobe to potentially promote aberrant interactions. Supporting this, phosphoproteomic, proximity labeling, and coimmunoprecipitation mass spectrometry data from cells overexpressing PKCα</w:t>
      </w:r>
      <w:r>
        <w:t xml:space="preserve"> </w:t>
      </w:r>
      <w:r>
        <w:t>D463H</w:t>
      </w:r>
      <w:r>
        <w:t xml:space="preserve"> </w:t>
      </w:r>
      <w:r>
        <w:t>identified both altered phosphorylation of substrates and binding to multiple proteins involved in cell–cell junctions compared to WT enzyme. Last, single nuclei RNAseq established that ChG derives from specialized tanycytes. Our data reveal that this disease-defining, fully penetrant mutation converts PKCα into a pseudokinase with novel scaffold functions that uniquely rewire the cellular interactome to impair cell junction function.</w:t>
      </w:r>
    </w:p>
    <w:p>
      <w:pPr>
        <w:spacing w:before="120" w:after="120"/>
      </w:pPr>
      <w:r>
        <w:rPr>
          <w:sz w:val="18"/>
        </w:rPr>
        <w:t>——————————————————————————————————————————————————————————————————————</w:t>
      </w:r>
    </w:p>
    <w:p>
      <w:pPr>
        <w:spacing w:before="160" w:after="40" w:line="240" w:lineRule="auto"/>
      </w:pPr>
      <w:r>
        <w:rPr>
          <w:b/>
        </w:rPr>
        <w:t xml:space="preserve">[166] </w:t>
      </w:r>
      <w:hyperlink r:id="rId686">
        <w:r>
          <w:rPr>
            <w:color w:val="1155CC"/>
            <w:u w:val="single"/>
          </w:rPr>
          <w:t>Pushy 随机游走：可变形介质中传输的最小模型</w:t>
        </w:r>
      </w:hyperlink>
    </w:p>
    <w:p>
      <w:pPr>
        <w:spacing w:before="0" w:after="80"/>
      </w:pPr>
      <w:r>
        <w:rPr>
          <w:i/>
          <w:sz w:val="20"/>
        </w:rPr>
        <w:t>EN: Pushy Random Walk: A Minimal Model for Transport in Deformable Media</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87">
        <w:r>
          <w:rPr>
            <w:color w:val="1155CC"/>
            <w:u w:val="single"/>
          </w:rPr>
          <w:t>10.1103/7hjs-rx8d</w:t>
        </w:r>
      </w:hyperlink>
    </w:p>
    <w:p>
      <w:pPr>
        <w:spacing w:before="0" w:after="120"/>
      </w:pPr>
      <w:r>
        <w:rPr>
          <w:b/>
        </w:rPr>
        <w:t xml:space="preserve">Notes: </w:t>
      </w:r>
      <w:r>
        <w:t>abstract_source=rss_description</w:t>
      </w:r>
    </w:p>
    <w:p>
      <w:pPr>
        <w:spacing w:before="0" w:after="80" w:lineRule="auto" w:line="276"/>
      </w:pPr>
      <w:r>
        <w:rPr>
          <w:b/>
        </w:rPr>
        <w:t xml:space="preserve">摘要（ZH）: </w:t>
      </w:r>
      <w:r>
        <w:t>作者：Ofek Lauber Bonomo、Itamar Shitrit、Shlomi Reuveni 和 Sidney Redner 在推动式随机游走的最小模型中，移动示踪剂可以取代障碍物，从而在 1D 和 2D 中产生新的扩散行为。莱特牧师。 137, 037101] 2026 年 7 月 13 日星期一发布</w:t>
      </w:r>
    </w:p>
    <w:p>
      <w:pPr>
        <w:spacing w:before="0" w:after="200" w:lineRule="auto" w:line="276"/>
      </w:pPr>
      <w:r>
        <w:rPr>
          <w:b/>
        </w:rPr>
        <w:t xml:space="preserve">Abstract (EN): </w:t>
      </w:r>
      <w:r>
        <w:t>Author(s): Ofek Lauber Bonomo, Itamar Shitrit, Shlomi Reuveni, and Sidney RednerIn a minimal model of a pushy random walk, a moving tracer can displace obstacles, giving rise to new diffusive behaviors in both 1D and 2D.[Phys. Rev. Lett. 137, 037101] Published Mon Jul 13, 2026</w:t>
      </w:r>
    </w:p>
    <w:p>
      <w:pPr>
        <w:spacing w:before="120" w:after="120"/>
      </w:pPr>
      <w:r>
        <w:rPr>
          <w:sz w:val="18"/>
        </w:rPr>
        <w:t>——————————————————————————————————————————————————————————————————————</w:t>
      </w:r>
    </w:p>
    <w:p>
      <w:pPr>
        <w:spacing w:before="160" w:after="40" w:line="240" w:lineRule="auto"/>
      </w:pPr>
      <w:r>
        <w:rPr>
          <w:b/>
        </w:rPr>
        <w:t xml:space="preserve">[167] </w:t>
      </w:r>
      <w:hyperlink r:id="rId688">
        <w:r>
          <w:rPr>
            <w:color w:val="1155CC"/>
            <w:u w:val="single"/>
          </w:rPr>
          <w:t>爬行及超越：中子自旋回波实验验证了合作动力学广义朗之万方程理论的基本预测</w:t>
        </w:r>
      </w:hyperlink>
    </w:p>
    <w:p>
      <w:pPr>
        <w:spacing w:before="0" w:after="80"/>
      </w:pPr>
      <w:r>
        <w:rPr>
          <w:i/>
          <w:sz w:val="20"/>
        </w:rPr>
        <w:t>EN: Reptation and Beyond: Neutron Spin Echo Experiments Verify the Fundamental Predictions of the Cooperative-Dynamics Generalized Langevin Equation Theory</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89">
        <w:r>
          <w:rPr>
            <w:color w:val="1155CC"/>
            <w:u w:val="single"/>
          </w:rPr>
          <w:t>10.1103/9n96-whkp</w:t>
        </w:r>
      </w:hyperlink>
    </w:p>
    <w:p>
      <w:pPr>
        <w:spacing w:before="0" w:after="120"/>
      </w:pPr>
      <w:r>
        <w:rPr>
          <w:b/>
        </w:rPr>
        <w:t xml:space="preserve">Notes: </w:t>
      </w:r>
      <w:r>
        <w:t>abstract_source=rss_description</w:t>
      </w:r>
    </w:p>
    <w:p>
      <w:pPr>
        <w:spacing w:before="0" w:after="80" w:lineRule="auto" w:line="276"/>
      </w:pPr>
      <w:r>
        <w:rPr>
          <w:b/>
        </w:rPr>
        <w:t xml:space="preserve">摘要（ZH）: </w:t>
      </w:r>
      <w:r>
        <w:t>作者：Margarita Kruteva、Jürgen Allgaier、Marina Guenza、Rustem Valiullin、Ingo Hoffmann 和 Dieter Richter 我们使用中子自旋回波光谱和脉冲场梯度核磁共振研究了非纠缠和弱纠缠聚异戊二烯 (PI) 熔体的动力学，并将光谱与高度纠缠 PI 熔体的光谱进行了比较。除了在长期研究中观察到的布朗扩散之外……[Phys.莱特牧师。 137, 038101] 2026 年 7 月 13 日星期一发布</w:t>
      </w:r>
    </w:p>
    <w:p>
      <w:pPr>
        <w:spacing w:before="0" w:after="200" w:lineRule="auto" w:line="276"/>
      </w:pPr>
      <w:r>
        <w:rPr>
          <w:b/>
        </w:rPr>
        <w:t xml:space="preserve">Abstract (EN): </w:t>
      </w:r>
      <w:r>
        <w:t>Author(s): Margarita Kruteva, Jürgen Allgaier, Marina Guenza, Rustem Valiullin, Ingo Hoffmann, and Dieter RichterWe have investigated the dynamics of nonentangled and weakly entangled polyisoprene (PI) melts using neutron spin echo spectroscopy and pulsed field gradient NMR and compared the spectra with those from a highly entangled PI melt. Except for Brownian diffusion, which was observed in the long-time re…[Phys. Rev. Lett. 137, 038101] Published Mon Jul 13, 2026</w:t>
      </w:r>
    </w:p>
    <w:p>
      <w:pPr>
        <w:spacing w:before="120" w:after="120"/>
      </w:pPr>
      <w:r>
        <w:rPr>
          <w:sz w:val="18"/>
        </w:rPr>
        <w:t>——————————————————————————————————————————————————————————————————————</w:t>
      </w:r>
    </w:p>
    <w:p>
      <w:pPr>
        <w:spacing w:before="160" w:after="40" w:line="240" w:lineRule="auto"/>
      </w:pPr>
      <w:r>
        <w:rPr>
          <w:b/>
        </w:rPr>
        <w:t xml:space="preserve">[168] </w:t>
      </w:r>
      <w:hyperlink r:id="rId690">
        <w:r>
          <w:rPr>
            <w:color w:val="1155CC"/>
            <w:u w:val="single"/>
          </w:rPr>
          <w:t>无序手性活性材料中的奇怪弹性</w:t>
        </w:r>
      </w:hyperlink>
    </w:p>
    <w:p>
      <w:pPr>
        <w:spacing w:before="0" w:after="80"/>
      </w:pPr>
      <w:r>
        <w:rPr>
          <w:i/>
          <w:sz w:val="20"/>
        </w:rPr>
        <w:t>EN: Odd Elasticity in Disordered Chiral Active Materials</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91">
        <w:r>
          <w:rPr>
            <w:color w:val="1155CC"/>
            <w:u w:val="single"/>
          </w:rPr>
          <w:t>10.1103/rj2s-tfnc</w:t>
        </w:r>
      </w:hyperlink>
    </w:p>
    <w:p>
      <w:pPr>
        <w:spacing w:before="0" w:after="120"/>
      </w:pPr>
      <w:r>
        <w:rPr>
          <w:b/>
        </w:rPr>
        <w:t xml:space="preserve">Notes: </w:t>
      </w:r>
      <w:r>
        <w:t>abstract_source=rss_description</w:t>
      </w:r>
    </w:p>
    <w:p>
      <w:pPr>
        <w:spacing w:before="0" w:after="80" w:lineRule="auto" w:line="276"/>
      </w:pPr>
      <w:r>
        <w:rPr>
          <w:b/>
        </w:rPr>
        <w:t xml:space="preserve">摘要（ZH）: </w:t>
      </w:r>
      <w:r>
        <w:t>作者：Cheng-Tai Lee、Tom C. Lubensky 和 ​​Tomer Markovich 手性活性固体的新理论框架，允许由于主动扭矩而发生局部内旋转，显示了与生物和合成系统相关的结构无序材料中如何出现奇怪的弹性。莱特牧师。 137, 038301] 2026 年 7 月 13 日星期一发布</w:t>
      </w:r>
    </w:p>
    <w:p>
      <w:pPr>
        <w:spacing w:before="0" w:after="200" w:lineRule="auto" w:line="276"/>
      </w:pPr>
      <w:r>
        <w:rPr>
          <w:b/>
        </w:rPr>
        <w:t xml:space="preserve">Abstract (EN): </w:t>
      </w:r>
      <w:r>
        <w:t>Author(s): Cheng-Tai Lee, Tom C. Lubensky, and Tomer MarkovichA new theoretical framework for a chiral active solid allowing local internal rotations due to active torques shows how odd elasticity emerges in structurally-disordered materials relevant to biological and synthetic systems.[Phys. Rev. Lett. 137, 038301] Published Mon Jul 13, 2026</w:t>
      </w:r>
    </w:p>
    <w:p>
      <w:pPr>
        <w:spacing w:before="120" w:after="120"/>
      </w:pPr>
      <w:r>
        <w:rPr>
          <w:sz w:val="18"/>
        </w:rPr>
        <w:t>——————————————————————————————————————————————————————————————————————</w:t>
      </w:r>
    </w:p>
    <w:p>
      <w:pPr>
        <w:spacing w:before="160" w:after="40" w:line="240" w:lineRule="auto"/>
      </w:pPr>
      <w:r>
        <w:rPr>
          <w:b/>
        </w:rPr>
        <w:t xml:space="preserve">[169] </w:t>
      </w:r>
      <w:hyperlink r:id="rId692">
        <w:r>
          <w:rPr>
            <w:color w:val="1155CC"/>
            <w:u w:val="single"/>
          </w:rPr>
          <w:t>三聚体钌酸中的隐藏密度波不稳定性 ${\mathrm{Ba}}_{4}{\mathrm{Ru}}_{3}{\mathrm{O}}_{10}$</w:t>
        </w:r>
      </w:hyperlink>
    </w:p>
    <w:p>
      <w:pPr>
        <w:spacing w:before="0" w:after="80"/>
      </w:pPr>
      <w:r>
        <w:rPr>
          <w:i/>
          <w:sz w:val="20"/>
        </w:rPr>
        <w:t>EN: Hidden Density-Wave Instability in the Trimer Ruthenate ${\mathrm{Ba}}_{4}{\mathrm{Ru}}_{3}{\mathrm{O}}_{10}$</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93">
        <w:r>
          <w:rPr>
            <w:color w:val="1155CC"/>
            <w:u w:val="single"/>
          </w:rPr>
          <w:t>10.1103/ntfh-mk9d</w:t>
        </w:r>
      </w:hyperlink>
    </w:p>
    <w:p>
      <w:pPr>
        <w:spacing w:before="0" w:after="120"/>
      </w:pPr>
      <w:r>
        <w:rPr>
          <w:b/>
        </w:rPr>
        <w:t xml:space="preserve">Notes: </w:t>
      </w:r>
      <w:r>
        <w:t>abstract_source=rss_description</w:t>
      </w:r>
    </w:p>
    <w:p>
      <w:pPr>
        <w:spacing w:before="0" w:after="80" w:lineRule="auto" w:line="276"/>
      </w:pPr>
      <w:r>
        <w:rPr>
          <w:b/>
        </w:rPr>
        <w:t xml:space="preserve">摘要（ZH）: </w:t>
      </w:r>
      <w:r>
        <w:t>作者：曹刚、赵恒迪、艾德丽安·邦德、特里斯坦·曹、加布里埃尔·谢贝尔、阿拉贝拉·奎恩、倪一飞、张宇、Logan Wall、Rahul Nandkishore、Pedro Schlottmann、Stephan Rosenkranz 和 Feng Ye 结构、热力学和输运的同步特征揭示了以前被视为纯磁性的反铁磁氧化物中的强钉扎密度波绝缘体。[物理。莱特牧师。 137, 036502] 2026 年 7 月 13 日星期一发布</w:t>
      </w:r>
    </w:p>
    <w:p>
      <w:pPr>
        <w:spacing w:before="0" w:after="200" w:lineRule="auto" w:line="276"/>
      </w:pPr>
      <w:r>
        <w:rPr>
          <w:b/>
        </w:rPr>
        <w:t xml:space="preserve">Abstract (EN): </w:t>
      </w:r>
      <w:r>
        <w:t>Author(s): Gang Cao, Hengdi Zhao, Adrienne Bond, Tristan R. Cao, Gabriel Schebel, Arabella Quane, Yifei Ni, Yu Zhang, Logan Wall, Rahul Nandkishore, Pedro Schlottmann, Stephan Rosenkranz, and Feng YeSimultaneous signatures in structure, thermodynamics, and transport reveal a strongly pinned density-wave in an antiferromagnetic oxide previously regarded as a purely magnetic insulator.[Phys. Rev. Lett. 137, 036502] Published Mon Jul 13, 2026</w:t>
      </w:r>
    </w:p>
    <w:p>
      <w:pPr>
        <w:spacing w:before="120" w:after="120"/>
      </w:pPr>
      <w:r>
        <w:rPr>
          <w:sz w:val="18"/>
        </w:rPr>
        <w:t>——————————————————————————————————————————————————————————————————————</w:t>
      </w:r>
    </w:p>
    <w:p>
      <w:pPr>
        <w:spacing w:before="160" w:after="40" w:line="240" w:lineRule="auto"/>
      </w:pPr>
      <w:r>
        <w:rPr>
          <w:b/>
        </w:rPr>
        <w:t xml:space="preserve">[170] </w:t>
      </w:r>
      <w:hyperlink r:id="rId694">
        <w:r>
          <w:rPr>
            <w:color w:val="1155CC"/>
            <w:u w:val="single"/>
          </w:rPr>
          <w:t>将热场双态中的魔法动力学与光谱形状因子联系起来</w:t>
        </w:r>
      </w:hyperlink>
    </w:p>
    <w:p>
      <w:pPr>
        <w:spacing w:before="0" w:after="80"/>
      </w:pPr>
      <w:r>
        <w:rPr>
          <w:i/>
          <w:sz w:val="20"/>
        </w:rPr>
        <w:t>EN: Connecting Magic Dynamics in Thermofield Double States to Spectral Form Factors</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95">
        <w:r>
          <w:rPr>
            <w:color w:val="1155CC"/>
            <w:u w:val="single"/>
          </w:rPr>
          <w:t>10.1103/p4s9-9smn</w:t>
        </w:r>
      </w:hyperlink>
    </w:p>
    <w:p>
      <w:pPr>
        <w:spacing w:before="0" w:after="120"/>
      </w:pPr>
      <w:r>
        <w:rPr>
          <w:b/>
        </w:rPr>
        <w:t xml:space="preserve">Notes: </w:t>
      </w:r>
      <w:r>
        <w:t>abstract_source=rss_description</w:t>
      </w:r>
    </w:p>
    <w:p>
      <w:pPr>
        <w:spacing w:before="0" w:after="80" w:lineRule="auto" w:line="276"/>
      </w:pPr>
      <w:r>
        <w:rPr>
          <w:b/>
        </w:rPr>
        <w:t xml:space="preserve">摘要（ZH）: </w:t>
      </w:r>
      <w:r>
        <w:t>作者：孙宁和张鹏飞在酉演化下，以简单态初始化的混沌量子系统迅速发展出高度复杂性，排除了任何有效的经典描述。稳定器形式主义中经典模拟的硬度，通常称为魔法资源，可以通过稳定器来量化......[物理。莱特牧师。 137, 030401] 2026 年 7 月 13 日星期一发布</w:t>
      </w:r>
    </w:p>
    <w:p>
      <w:pPr>
        <w:spacing w:before="0" w:after="200" w:lineRule="auto" w:line="276"/>
      </w:pPr>
      <w:r>
        <w:rPr>
          <w:b/>
        </w:rPr>
        <w:t xml:space="preserve">Abstract (EN): </w:t>
      </w:r>
      <w:r>
        <w:t>Author(s): Ning Sun and Pengfei ZhangUnder unitary evolution, chaotic quantum systems initialized in simple states rapidly develop high complexity, precluding any efficient classical description. The hardness of classical simulation within the stabilizer formalism, commonly referred to as magic resources, can be quantified by the stabi…[Phys. Rev. Lett. 137, 030401] Published Mon Jul 13, 2026</w:t>
      </w:r>
    </w:p>
    <w:p>
      <w:pPr>
        <w:spacing w:before="120" w:after="120"/>
      </w:pPr>
      <w:r>
        <w:rPr>
          <w:sz w:val="18"/>
        </w:rPr>
        <w:t>——————————————————————————————————————————————————————————————————————</w:t>
      </w:r>
    </w:p>
    <w:p>
      <w:pPr>
        <w:spacing w:before="160" w:after="40" w:line="240" w:lineRule="auto"/>
      </w:pPr>
      <w:r>
        <w:rPr>
          <w:b/>
        </w:rPr>
        <w:t xml:space="preserve">[171] </w:t>
      </w:r>
      <w:hyperlink r:id="rId696">
        <w:r>
          <w:rPr>
            <w:color w:val="1155CC"/>
            <w:u w:val="single"/>
          </w:rPr>
          <w:t>TRIUMF 超冷先进中子源的初步结果</w:t>
        </w:r>
      </w:hyperlink>
    </w:p>
    <w:p>
      <w:pPr>
        <w:spacing w:before="0" w:after="80"/>
      </w:pPr>
      <w:r>
        <w:rPr>
          <w:i/>
          <w:sz w:val="20"/>
        </w:rPr>
        <w:t>EN: Initial results of the TRIUMF ultracold advanced neutron source</w:t>
      </w:r>
    </w:p>
    <w:p>
      <w:pPr>
        <w:spacing w:before="0" w:after="120"/>
      </w:pPr>
      <w:r>
        <w:rPr>
          <w:b/>
        </w:rPr>
        <w:t xml:space="preserve">Source: </w:t>
      </w:r>
      <w:r>
        <w:t>Recent Articles in Phys. Rev. C</w:t>
      </w:r>
      <w:r>
        <w:t xml:space="preserve">    </w:t>
      </w:r>
      <w:r>
        <w:rPr>
          <w:b/>
        </w:rPr>
        <w:t xml:space="preserve">Pub date: </w:t>
      </w:r>
      <w:r>
        <w:t>2026-07-13 10:00:00+00:00</w:t>
      </w:r>
      <w:r>
        <w:t xml:space="preserve">    </w:t>
      </w:r>
      <w:r>
        <w:rPr>
          <w:b/>
        </w:rPr>
        <w:t xml:space="preserve">DOI: </w:t>
      </w:r>
      <w:hyperlink r:id="rId697">
        <w:r>
          <w:rPr>
            <w:color w:val="1155CC"/>
            <w:u w:val="single"/>
          </w:rPr>
          <w:t>10.1103/g41l-jmdx</w:t>
        </w:r>
      </w:hyperlink>
    </w:p>
    <w:p>
      <w:pPr>
        <w:spacing w:before="0" w:after="120"/>
      </w:pPr>
      <w:r>
        <w:rPr>
          <w:b/>
        </w:rPr>
        <w:t xml:space="preserve">Notes: </w:t>
      </w:r>
      <w:r>
        <w:t>abstract_source=rss_description</w:t>
      </w:r>
    </w:p>
    <w:p>
      <w:pPr>
        <w:spacing w:before="0" w:after="80" w:lineRule="auto" w:line="276"/>
      </w:pPr>
      <w:r>
        <w:rPr>
          <w:b/>
        </w:rPr>
        <w:t xml:space="preserve">摘要（ZH）: </w:t>
      </w:r>
      <w:r>
        <w:t>作者：B. Algohi 等人。 （TUCAN 合作）我们报告了 TRIUMF 的新型散裂驱动超流体 $^{4}\mathrm{He}$ (He-II) 源产生超冷中子的第一个结果，该源正在准备对中子电偶极矩 (nEDM) 进行新的精确测量。总共 $(9.3±0.8)×{10}^{5}$ 超冷中子 (UCN…[Phys. Rev. C 114, L012501] 于 2026 年 7 月 13 日星期一发布</w:t>
      </w:r>
    </w:p>
    <w:p>
      <w:pPr>
        <w:spacing w:before="0" w:after="200" w:lineRule="auto" w:line="276"/>
      </w:pPr>
      <w:r>
        <w:rPr>
          <w:b/>
        </w:rPr>
        <w:t xml:space="preserve">Abstract (EN): </w:t>
      </w:r>
      <w:r>
        <w:t>Author(s): B. Algohi et al. (TUCAN Collaboration)We report the first results on ultracold neutron production from a new spallation-driven superfluid $^{4}\mathrm{He}$ (He-II) source at TRIUMF, which is being prepared for a new, precise measurement of the neutron electric dipole moment (nEDM). A total of $(9.3±0.8)×{10}^{5}$ ultracold neutrons (UCN…[Phys. Rev. C 114, L012501] Published Mon Jul 13, 2026</w:t>
      </w:r>
    </w:p>
    <w:p>
      <w:pPr>
        <w:spacing w:before="120" w:after="120"/>
      </w:pPr>
      <w:r>
        <w:rPr>
          <w:sz w:val="18"/>
        </w:rPr>
        <w:t>——————————————————————————————————————————————————————————————————————</w:t>
      </w:r>
    </w:p>
    <w:p>
      <w:pPr>
        <w:spacing w:before="160" w:after="40" w:line="240" w:lineRule="auto"/>
      </w:pPr>
      <w:r>
        <w:rPr>
          <w:b/>
        </w:rPr>
        <w:t xml:space="preserve">[172] </w:t>
      </w:r>
      <w:hyperlink r:id="rId698">
        <w:r>
          <w:rPr>
            <w:color w:val="1155CC"/>
            <w:u w:val="single"/>
          </w:rPr>
          <w:t>受激磁频率梳</w:t>
        </w:r>
      </w:hyperlink>
    </w:p>
    <w:p>
      <w:pPr>
        <w:spacing w:before="0" w:after="80"/>
      </w:pPr>
      <w:r>
        <w:rPr>
          <w:i/>
          <w:sz w:val="20"/>
        </w:rPr>
        <w:t>EN: Stimulated Magnonic Frequency Combs</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699">
        <w:r>
          <w:rPr>
            <w:color w:val="1155CC"/>
            <w:u w:val="single"/>
          </w:rPr>
          <w:t>10.1103/9d2s-4gf7</w:t>
        </w:r>
      </w:hyperlink>
    </w:p>
    <w:p>
      <w:pPr>
        <w:spacing w:before="0" w:after="120"/>
      </w:pPr>
      <w:r>
        <w:rPr>
          <w:b/>
        </w:rPr>
        <w:t xml:space="preserve">Notes: </w:t>
      </w:r>
      <w:r>
        <w:t>abstract_source=rss_description</w:t>
      </w:r>
    </w:p>
    <w:p>
      <w:pPr>
        <w:spacing w:before="0" w:after="80" w:lineRule="auto" w:line="276"/>
      </w:pPr>
      <w:r>
        <w:rPr>
          <w:b/>
        </w:rPr>
        <w:t xml:space="preserve">摘要（ZH）: </w:t>
      </w:r>
      <w:r>
        <w:t>作者：郭雪宇、龚天赐、兰桂斌、郭梦英、韩秀峰、余国强、严鹏、王琪磁子频率梳以一系列离散频率线为特征，已成为磁振子自旋电子学的一个有前景的前沿领域，在先进信息处理和传感技术中具有潜在的应用前景。尽管三磁振子散射过程被广泛认为是......[物理。莱特牧师。 137, 036701] 2026 年 7 月 13 日星期一发布</w:t>
      </w:r>
    </w:p>
    <w:p>
      <w:pPr>
        <w:spacing w:before="0" w:after="200" w:lineRule="auto" w:line="276"/>
      </w:pPr>
      <w:r>
        <w:rPr>
          <w:b/>
        </w:rPr>
        <w:t xml:space="preserve">Abstract (EN): </w:t>
      </w:r>
      <w:r>
        <w:t>Author(s): Xueyu Guo, Tianci Gong, Guibin Lan, Mengying Guo, Xiufeng Han, Guoqiang Yu, Peng Yan, and Qi WangMagnonic frequency combs, characterized by a series of discrete frequency lines, have emerged as a promising frontier in magnon spintronics, with potential applications in advanced information processing and sensing technologies. Although the three-magnon scattering process is widely recognized as a…[Phys. Rev. Lett. 137, 036701] Published Mon Jul 13, 2026</w:t>
      </w:r>
    </w:p>
    <w:p>
      <w:pPr>
        <w:spacing w:before="120" w:after="120"/>
      </w:pPr>
      <w:r>
        <w:rPr>
          <w:sz w:val="18"/>
        </w:rPr>
        <w:t>——————————————————————————————————————————————————————————————————————</w:t>
      </w:r>
    </w:p>
    <w:p>
      <w:pPr>
        <w:spacing w:before="160" w:after="40" w:line="240" w:lineRule="auto"/>
      </w:pPr>
      <w:r>
        <w:rPr>
          <w:b/>
        </w:rPr>
        <w:t xml:space="preserve">[173] </w:t>
      </w:r>
      <w:hyperlink r:id="rId700">
        <w:r>
          <w:rPr>
            <w:color w:val="1155CC"/>
            <w:u w:val="single"/>
          </w:rPr>
          <w:t>计量优势的体积定律保护</w:t>
        </w:r>
      </w:hyperlink>
    </w:p>
    <w:p>
      <w:pPr>
        <w:spacing w:before="0" w:after="80"/>
      </w:pPr>
      <w:r>
        <w:rPr>
          <w:i/>
          <w:sz w:val="20"/>
        </w:rPr>
        <w:t>EN: Volume-Law Protection of Metrological Advantage</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701">
        <w:r>
          <w:rPr>
            <w:color w:val="1155CC"/>
            <w:u w:val="single"/>
          </w:rPr>
          <w:t>10.1103/3gg8-wgdr</w:t>
        </w:r>
      </w:hyperlink>
    </w:p>
    <w:p>
      <w:pPr>
        <w:spacing w:before="0" w:after="120"/>
      </w:pPr>
      <w:r>
        <w:rPr>
          <w:b/>
        </w:rPr>
        <w:t xml:space="preserve">Notes: </w:t>
      </w:r>
      <w:r>
        <w:t>abstract_source=rss_description</w:t>
      </w:r>
    </w:p>
    <w:p>
      <w:pPr>
        <w:spacing w:before="0" w:after="80" w:lineRule="auto" w:line="276"/>
      </w:pPr>
      <w:r>
        <w:rPr>
          <w:b/>
        </w:rPr>
        <w:t xml:space="preserve">摘要（ZH）: </w:t>
      </w:r>
      <w:r>
        <w:t>作者：Piotr Wysocki、Jan Chwedeńczuk 和 Marcin Płodzień 尽管纠缠可以将计量精度提高到超出标准量子极限，但这种优势通常会随着粒子损失而消失。我们证明，加扰通过将有关编码参数的信息分散到多体相关性中来保证精度。对于哈尔随机扰乱......[物理。莱特牧师。 137, 030801] 2026 年 7 月 13 日星期一发布</w:t>
      </w:r>
    </w:p>
    <w:p>
      <w:pPr>
        <w:spacing w:before="0" w:after="200" w:lineRule="auto" w:line="276"/>
      </w:pPr>
      <w:r>
        <w:rPr>
          <w:b/>
        </w:rPr>
        <w:t xml:space="preserve">Abstract (EN): </w:t>
      </w:r>
      <w:r>
        <w:t>Author(s): Piotr Wysocki, Jan Chwedeńczuk, and Marcin PłodzieńAlthough entanglement can boost metrological precision beyond the standard quantum limit, the advantage often disappears with particle loss. We demonstrate that scrambling safeguards precision by dispersing information about the encoded parameter into many-body correlations. For Haar-random scrambli…[Phys. Rev. Lett. 137, 030801] Published Mon Jul 13, 2026</w:t>
      </w:r>
    </w:p>
    <w:p>
      <w:pPr>
        <w:spacing w:before="120" w:after="120"/>
      </w:pPr>
      <w:r>
        <w:rPr>
          <w:sz w:val="18"/>
        </w:rPr>
        <w:t>——————————————————————————————————————————————————————————————————————</w:t>
      </w:r>
    </w:p>
    <w:p>
      <w:pPr>
        <w:spacing w:before="160" w:after="40" w:line="240" w:lineRule="auto"/>
      </w:pPr>
      <w:r>
        <w:rPr>
          <w:b/>
        </w:rPr>
        <w:t xml:space="preserve">[174] </w:t>
      </w:r>
      <w:hyperlink r:id="rId702">
        <w:r>
          <w:rPr>
            <w:color w:val="1155CC"/>
            <w:u w:val="single"/>
          </w:rPr>
          <w:t>安全边缘：背靠背极限中的电荷-电荷相关性</w:t>
        </w:r>
      </w:hyperlink>
    </w:p>
    <w:p>
      <w:pPr>
        <w:spacing w:before="0" w:after="80"/>
      </w:pPr>
      <w:r>
        <w:rPr>
          <w:i/>
          <w:sz w:val="20"/>
        </w:rPr>
        <w:t>EN: Edge of Safety: Charge-Charge Correlation in the Back-to-Back Limit</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703">
        <w:r>
          <w:rPr>
            <w:color w:val="1155CC"/>
            <w:u w:val="single"/>
          </w:rPr>
          <w:t>10.1103/3pqk-qr64</w:t>
        </w:r>
      </w:hyperlink>
    </w:p>
    <w:p>
      <w:pPr>
        <w:spacing w:before="0" w:after="120"/>
      </w:pPr>
      <w:r>
        <w:rPr>
          <w:b/>
        </w:rPr>
        <w:t xml:space="preserve">Notes: </w:t>
      </w:r>
      <w:r>
        <w:t>abstract_source=rss_description</w:t>
      </w:r>
    </w:p>
    <w:p>
      <w:pPr>
        <w:spacing w:before="0" w:after="80" w:lineRule="auto" w:line="276"/>
      </w:pPr>
      <w:r>
        <w:rPr>
          <w:b/>
        </w:rPr>
        <w:t xml:space="preserve">摘要（ZH）: </w:t>
      </w:r>
      <w:r>
        <w:t>作者：Pier Francesco Monni、Gherardo Vita、Zhen Xu 和 Hua Xing Zhu 我们研究了电子-正电子湮灭中的电荷相关性 (QQC)，作为量子色动力学中电荷动力学的探针。虽然通常与领先顺序不同，但我们表明 QQC 在背靠背限制下是红外和共线安全的，我们将这种特性称为领先-…[物理。莱特牧师。 137, 031901] 2026 年 7 月 13 日星期一发布</w:t>
      </w:r>
    </w:p>
    <w:p>
      <w:pPr>
        <w:spacing w:before="0" w:after="200" w:lineRule="auto" w:line="276"/>
      </w:pPr>
      <w:r>
        <w:rPr>
          <w:b/>
        </w:rPr>
        <w:t xml:space="preserve">Abstract (EN): </w:t>
      </w:r>
      <w:r>
        <w:t>Author(s): Pier Francesco Monni, Gherardo Vita, Zhen Xu, and Hua Xing ZhuWe investigate the charge-charge correlation (QQC) in electron-positron annihilation as a probe of charge dynamics in quantum chromodynamics. While generally divergent beyond leading order, we show that the QQC is infrared and collinear safe in the back-to-back limit, a property that we dub leading-…[Phys. Rev. Lett. 137, 031901] Published Mon Jul 13, 2026</w:t>
      </w:r>
    </w:p>
    <w:p>
      <w:pPr>
        <w:spacing w:before="120" w:after="120"/>
      </w:pPr>
      <w:r>
        <w:rPr>
          <w:sz w:val="18"/>
        </w:rPr>
        <w:t>——————————————————————————————————————————————————————————————————————</w:t>
      </w:r>
    </w:p>
    <w:p>
      <w:pPr>
        <w:spacing w:before="160" w:after="40" w:line="240" w:lineRule="auto"/>
      </w:pPr>
      <w:r>
        <w:rPr>
          <w:b/>
        </w:rPr>
        <w:t xml:space="preserve">[175] </w:t>
      </w:r>
      <w:hyperlink r:id="rId704">
        <w:r>
          <w:rPr>
            <w:color w:val="1155CC"/>
            <w:u w:val="single"/>
          </w:rPr>
          <w:t>${ν}_{tot}=4/3$ 分数拓扑绝缘体边的对称定位</w:t>
        </w:r>
      </w:hyperlink>
    </w:p>
    <w:p>
      <w:pPr>
        <w:spacing w:before="0" w:after="80"/>
      </w:pPr>
      <w:r>
        <w:rPr>
          <w:i/>
          <w:sz w:val="20"/>
        </w:rPr>
        <w:t>EN: Symmetric Localization of ${ν}_{tot}=4/3$ Fractional Topological Insulator Edges</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705">
        <w:r>
          <w:rPr>
            <w:color w:val="1155CC"/>
            <w:u w:val="single"/>
          </w:rPr>
          <w:t>10.1103/gcpg-wf17</w:t>
        </w:r>
      </w:hyperlink>
    </w:p>
    <w:p>
      <w:pPr>
        <w:spacing w:before="0" w:after="120"/>
      </w:pPr>
      <w:r>
        <w:rPr>
          <w:b/>
        </w:rPr>
        <w:t xml:space="preserve">Notes: </w:t>
      </w:r>
      <w:r>
        <w:t>abstract_source=rss_description</w:t>
      </w:r>
    </w:p>
    <w:p>
      <w:pPr>
        <w:spacing w:before="0" w:after="80" w:lineRule="auto" w:line="276"/>
      </w:pPr>
      <w:r>
        <w:rPr>
          <w:b/>
        </w:rPr>
        <w:t xml:space="preserve">摘要（ZH）: </w:t>
      </w:r>
      <w:r>
        <w:t>作者：Yang-Zhi Chou 和 Sankar Das Sarma 受最近扭曲 ${\mathrm{MoTe}}_{2}$ 实验的启发 [Wang et al., Magnetic Signatures of a Putative Fractional Topological insulator in twins ${\mathrm{MoTe}}_{2}$, arXiv:2601.18508]，我们开发了一种无序相互作用边缘理论${ν}_{\mathr…[物理。莱特牧师。 137, 036501] 2026 年 7 月 13 日星期一发布</w:t>
      </w:r>
    </w:p>
    <w:p>
      <w:pPr>
        <w:spacing w:before="0" w:after="200" w:lineRule="auto" w:line="276"/>
      </w:pPr>
      <w:r>
        <w:rPr>
          <w:b/>
        </w:rPr>
        <w:t xml:space="preserve">Abstract (EN): </w:t>
      </w:r>
      <w:r>
        <w:t>Author(s): Yang-Zhi Chou and Sankar Das SarmaMotivated by the recent twisted ${\mathrm{MoTe}}_{2}$ experiment [Wang et al., Magnetic Signatures of a Putative Fractional Topological insulator in twisted ${\mathrm{MoTe}}_{2}$, arXiv:2601.18508], we develop a disordered interacting edge theory of a fractional topological insulator at ${ν}_{\mathr…[Phys. Rev. Lett. 137, 036501] Published Mon Jul 13, 2026</w:t>
      </w:r>
    </w:p>
    <w:p>
      <w:pPr>
        <w:spacing w:before="120" w:after="120"/>
      </w:pPr>
      <w:r>
        <w:rPr>
          <w:sz w:val="18"/>
        </w:rPr>
        <w:t>——————————————————————————————————————————————————————————————————————</w:t>
      </w:r>
    </w:p>
    <w:p>
      <w:pPr>
        <w:spacing w:before="160" w:after="40" w:line="240" w:lineRule="auto"/>
      </w:pPr>
      <w:r>
        <w:rPr>
          <w:b/>
        </w:rPr>
        <w:t xml:space="preserve">[176] </w:t>
      </w:r>
      <w:hyperlink r:id="rId706">
        <w:r>
          <w:rPr>
            <w:color w:val="1155CC"/>
            <w:u w:val="single"/>
          </w:rPr>
          <w:t>量子动力熵的普朗克束缚</w:t>
        </w:r>
      </w:hyperlink>
    </w:p>
    <w:p>
      <w:pPr>
        <w:spacing w:before="0" w:after="80"/>
      </w:pPr>
      <w:r>
        <w:rPr>
          <w:i/>
          <w:sz w:val="20"/>
        </w:rPr>
        <w:t>EN: Planckian Bound on Quantum Dynamical Entropy</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707">
        <w:r>
          <w:rPr>
            <w:color w:val="1155CC"/>
            <w:u w:val="single"/>
          </w:rPr>
          <w:t>10.1103/wd91-v58h</w:t>
        </w:r>
      </w:hyperlink>
    </w:p>
    <w:p>
      <w:pPr>
        <w:spacing w:before="0" w:after="120"/>
      </w:pPr>
      <w:r>
        <w:rPr>
          <w:b/>
        </w:rPr>
        <w:t xml:space="preserve">Notes: </w:t>
      </w:r>
      <w:r>
        <w:t>abstract_source=rss_description</w:t>
      </w:r>
    </w:p>
    <w:p>
      <w:pPr>
        <w:spacing w:before="0" w:after="80" w:lineRule="auto" w:line="276"/>
      </w:pPr>
      <w:r>
        <w:rPr>
          <w:b/>
        </w:rPr>
        <w:t xml:space="preserve">摘要（ZH）: </w:t>
      </w:r>
      <w:r>
        <w:t>作者：曹翔宇我们介绍了量子系统的 Connes-Narnhofer-Thirring 量子动力学熵的简化版本。它量化了通过连续监视可观察值而获得的有关初始条件的信息量。通过监测热量可以获得非零熵增长率……[物理。莱特牧师。 137, 030402] 2026 年 7 月 13 日星期一发布</w:t>
      </w:r>
    </w:p>
    <w:p>
      <w:pPr>
        <w:spacing w:before="0" w:after="200" w:lineRule="auto" w:line="276"/>
      </w:pPr>
      <w:r>
        <w:rPr>
          <w:b/>
        </w:rPr>
        <w:t xml:space="preserve">Abstract (EN): </w:t>
      </w:r>
      <w:r>
        <w:t>Author(s): Xiangyu CaoWe introduce a simplified version of Connes-Narnhofer-Thirring’s quantum dynamical entropy for quantum systems. It quantifies the amount of information gained about the initial condition from continuously monitoring an observable. A nonzero entropy growth rate can be obtained by monitoring the therm…[Phys. Rev. Lett. 137, 030402] Published Mon Jul 13, 2026</w:t>
      </w:r>
    </w:p>
    <w:p>
      <w:pPr>
        <w:spacing w:before="120" w:after="120"/>
      </w:pPr>
      <w:r>
        <w:rPr>
          <w:sz w:val="18"/>
        </w:rPr>
        <w:t>——————————————————————————————————————————————————————————————————————</w:t>
      </w:r>
    </w:p>
    <w:p>
      <w:pPr>
        <w:spacing w:before="160" w:after="40" w:line="240" w:lineRule="auto"/>
      </w:pPr>
      <w:r>
        <w:rPr>
          <w:b/>
        </w:rPr>
        <w:t xml:space="preserve">[177] </w:t>
      </w:r>
      <w:hyperlink r:id="rId708">
        <w:r>
          <w:rPr>
            <w:color w:val="1155CC"/>
            <w:u w:val="single"/>
          </w:rPr>
          <w:t>对违反宇称的电子核散射的电弱辐射校正</w:t>
        </w:r>
      </w:hyperlink>
    </w:p>
    <w:p>
      <w:pPr>
        <w:spacing w:before="0" w:after="80"/>
      </w:pPr>
      <w:r>
        <w:rPr>
          <w:i/>
          <w:sz w:val="20"/>
        </w:rPr>
        <w:t>EN: Electroweak radiative corrections to parity-violating electron-nucleus scattering</w:t>
      </w:r>
    </w:p>
    <w:p>
      <w:pPr>
        <w:spacing w:before="0" w:after="120"/>
      </w:pPr>
      <w:r>
        <w:rPr>
          <w:b/>
        </w:rPr>
        <w:t xml:space="preserve">Source: </w:t>
      </w:r>
      <w:r>
        <w:t>Recent Articles in Phys. Rev. C</w:t>
      </w:r>
      <w:r>
        <w:t xml:space="preserve">    </w:t>
      </w:r>
      <w:r>
        <w:rPr>
          <w:b/>
        </w:rPr>
        <w:t xml:space="preserve">Pub date: </w:t>
      </w:r>
      <w:r>
        <w:t>2026-07-13 10:00:00+00:00</w:t>
      </w:r>
      <w:r>
        <w:t xml:space="preserve">    </w:t>
      </w:r>
      <w:r>
        <w:rPr>
          <w:b/>
        </w:rPr>
        <w:t xml:space="preserve">DOI: </w:t>
      </w:r>
      <w:hyperlink r:id="rId709">
        <w:r>
          <w:rPr>
            <w:color w:val="1155CC"/>
            <w:u w:val="single"/>
          </w:rPr>
          <w:t>10.1103/dyj9-k827</w:t>
        </w:r>
      </w:hyperlink>
    </w:p>
    <w:p>
      <w:pPr>
        <w:spacing w:before="0" w:after="120"/>
      </w:pPr>
      <w:r>
        <w:rPr>
          <w:b/>
        </w:rPr>
        <w:t xml:space="preserve">Notes: </w:t>
      </w:r>
      <w:r>
        <w:t>abstract_source=rss_description</w:t>
      </w:r>
    </w:p>
    <w:p>
      <w:pPr>
        <w:spacing w:before="0" w:after="80" w:lineRule="auto" w:line="276"/>
      </w:pPr>
      <w:r>
        <w:rPr>
          <w:b/>
        </w:rPr>
        <w:t xml:space="preserve">摘要（ZH）: </w:t>
      </w:r>
      <w:r>
        <w:t>作者：Brendan T. Reed 和 C. J. Horowitz 违反宇称的电子散射提供了一种很大程度上独立于模型的测量原子核中子密度的方法，这对原子核和中子星的结构具有重要意义。在本文中，我们计算了对宇称破坏不对称性 ${A}_{\mathrm{pv}}$…[Phys. Rev. C 114, 014312] 2026 年 7 月 13 日星期一发布</w:t>
      </w:r>
    </w:p>
    <w:p>
      <w:pPr>
        <w:spacing w:before="0" w:after="200" w:lineRule="auto" w:line="276"/>
      </w:pPr>
      <w:r>
        <w:rPr>
          <w:b/>
        </w:rPr>
        <w:t xml:space="preserve">Abstract (EN): </w:t>
      </w:r>
      <w:r>
        <w:t>Author(s): Brendan T. Reed and C. J. HorowitzParity-violating electron scattering provides a largely model-independent way of measuring neutron densities in nuclei that has important implications for the structure of nuclei and neutron stars. In this paper we calculate radiative corrections to the parity-violating asymmetry ${A}_{\mathrm{pv}}$…[Phys. Rev. C 114, 014312] Published Mon Jul 13, 2026</w:t>
      </w:r>
    </w:p>
    <w:p>
      <w:pPr>
        <w:spacing w:before="120" w:after="120"/>
      </w:pPr>
      <w:r>
        <w:rPr>
          <w:sz w:val="18"/>
        </w:rPr>
        <w:t>——————————————————————————————————————————————————————————————————————</w:t>
      </w:r>
    </w:p>
    <w:p>
      <w:pPr>
        <w:spacing w:before="160" w:after="40" w:line="240" w:lineRule="auto"/>
      </w:pPr>
      <w:r>
        <w:rPr>
          <w:b/>
        </w:rPr>
        <w:t xml:space="preserve">[178] </w:t>
      </w:r>
      <w:hyperlink r:id="rId710">
        <w:r>
          <w:rPr>
            <w:color w:val="1155CC"/>
            <w:u w:val="single"/>
          </w:rPr>
          <w:t>从头开始多体计算中新的局部位置空间二核子势的手性三核子力</w:t>
        </w:r>
      </w:hyperlink>
    </w:p>
    <w:p>
      <w:pPr>
        <w:spacing w:before="0" w:after="80"/>
      </w:pPr>
      <w:r>
        <w:rPr>
          <w:i/>
          <w:sz w:val="20"/>
        </w:rPr>
        <w:t>EN: Chiral three-nucleon forces for the new local position-space two-nucleon potential in ab initio many-body calculations</w:t>
      </w:r>
    </w:p>
    <w:p>
      <w:pPr>
        <w:spacing w:before="0" w:after="120"/>
      </w:pPr>
      <w:r>
        <w:rPr>
          <w:b/>
        </w:rPr>
        <w:t xml:space="preserve">Source: </w:t>
      </w:r>
      <w:r>
        <w:t>Recent Articles in Phys. Rev. C</w:t>
      </w:r>
      <w:r>
        <w:t xml:space="preserve">    </w:t>
      </w:r>
      <w:r>
        <w:rPr>
          <w:b/>
        </w:rPr>
        <w:t xml:space="preserve">Pub date: </w:t>
      </w:r>
      <w:r>
        <w:t>2026-07-13 10:00:00+00:00</w:t>
      </w:r>
      <w:r>
        <w:t xml:space="preserve">    </w:t>
      </w:r>
      <w:r>
        <w:rPr>
          <w:b/>
        </w:rPr>
        <w:t xml:space="preserve">DOI: </w:t>
      </w:r>
      <w:hyperlink r:id="rId711">
        <w:r>
          <w:rPr>
            <w:color w:val="1155CC"/>
            <w:u w:val="single"/>
          </w:rPr>
          <w:t>10.1103/gjmd-fyjy</w:t>
        </w:r>
      </w:hyperlink>
    </w:p>
    <w:p>
      <w:pPr>
        <w:spacing w:before="0" w:after="120"/>
      </w:pPr>
      <w:r>
        <w:rPr>
          <w:b/>
        </w:rPr>
        <w:t xml:space="preserve">Notes: </w:t>
      </w:r>
      <w:r>
        <w:t>abstract_source=rss_description</w:t>
      </w:r>
    </w:p>
    <w:p>
      <w:pPr>
        <w:spacing w:before="0" w:after="80" w:lineRule="auto" w:line="276"/>
      </w:pPr>
      <w:r>
        <w:rPr>
          <w:b/>
        </w:rPr>
        <w:t xml:space="preserve">摘要（ZH）: </w:t>
      </w:r>
      <w:r>
        <w:t>作者：R. Z. Hu、J. G. Li、S. Q. Fan 和 F. R. Xu 三核子力 (3NF) 在理解有限核结构和无限核物质的饱和性质方面发挥着重要作用。更具体地说，为了获得对核系统更准确的描述，每个二核力（2NF）都需要 3NF。 3NF 衍生...[物理。 Rev. C 114, 014313] 2026 年 7 月 13 日星期一发布</w:t>
      </w:r>
    </w:p>
    <w:p>
      <w:pPr>
        <w:spacing w:before="0" w:after="200" w:lineRule="auto" w:line="276"/>
      </w:pPr>
      <w:r>
        <w:rPr>
          <w:b/>
        </w:rPr>
        <w:t xml:space="preserve">Abstract (EN): </w:t>
      </w:r>
      <w:r>
        <w:t>Author(s): R. Z. Hu, J. G. Li, S. Q. Fan, and F. R. XuThree-nucleon force (3NF) plays an important role in understanding the structure of finite nuclei and the saturation properties of infinite nuclear matter. More specifically, 3NF should be necessary for each two-nucleon force (2NF) to obtain more accurate description of nuclear systems. 3NF derived …[Phys. Rev. C 114, 014313] Published Mon Jul 13, 2026</w:t>
      </w:r>
    </w:p>
    <w:p>
      <w:pPr>
        <w:spacing w:before="120" w:after="120"/>
      </w:pPr>
      <w:r>
        <w:rPr>
          <w:sz w:val="18"/>
        </w:rPr>
        <w:t>——————————————————————————————————————————————————————————————————————</w:t>
      </w:r>
    </w:p>
    <w:p>
      <w:pPr>
        <w:spacing w:before="160" w:after="40" w:line="240" w:lineRule="auto"/>
      </w:pPr>
      <w:r>
        <w:rPr>
          <w:b/>
        </w:rPr>
        <w:t xml:space="preserve">[179] </w:t>
      </w:r>
      <w:hyperlink r:id="rId712">
        <w:r>
          <w:rPr>
            <w:color w:val="1155CC"/>
            <w:u w:val="single"/>
          </w:rPr>
          <w:t>从 $α$ 衰减到集群衰减：迁移学习的一个极端案例</w:t>
        </w:r>
      </w:hyperlink>
    </w:p>
    <w:p>
      <w:pPr>
        <w:spacing w:before="0" w:after="80"/>
      </w:pPr>
      <w:r>
        <w:rPr>
          <w:i/>
          <w:sz w:val="20"/>
        </w:rPr>
        <w:t>EN: From $α$ decay to cluster decay: An extreme case of transfer learning</w:t>
      </w:r>
    </w:p>
    <w:p>
      <w:pPr>
        <w:spacing w:before="0" w:after="120"/>
      </w:pPr>
      <w:r>
        <w:rPr>
          <w:b/>
        </w:rPr>
        <w:t xml:space="preserve">Source: </w:t>
      </w:r>
      <w:r>
        <w:t>Recent Articles in Phys. Rev. C</w:t>
      </w:r>
      <w:r>
        <w:t xml:space="preserve">    </w:t>
      </w:r>
      <w:r>
        <w:rPr>
          <w:b/>
        </w:rPr>
        <w:t xml:space="preserve">Pub date: </w:t>
      </w:r>
      <w:r>
        <w:t>2026-07-13 10:00:00+00:00</w:t>
      </w:r>
      <w:r>
        <w:t xml:space="preserve">    </w:t>
      </w:r>
      <w:r>
        <w:rPr>
          <w:b/>
        </w:rPr>
        <w:t xml:space="preserve">DOI: </w:t>
      </w:r>
      <w:hyperlink r:id="rId713">
        <w:r>
          <w:rPr>
            <w:color w:val="1155CC"/>
            <w:u w:val="single"/>
          </w:rPr>
          <w:t>10.1103/r796-y5tc</w:t>
        </w:r>
      </w:hyperlink>
    </w:p>
    <w:p>
      <w:pPr>
        <w:spacing w:before="0" w:after="120"/>
      </w:pPr>
      <w:r>
        <w:rPr>
          <w:b/>
        </w:rPr>
        <w:t xml:space="preserve">Notes: </w:t>
      </w:r>
      <w:r>
        <w:t>abstract_source=rss_description</w:t>
      </w:r>
    </w:p>
    <w:p>
      <w:pPr>
        <w:spacing w:before="0" w:after="80" w:lineRule="auto" w:line="276"/>
      </w:pPr>
      <w:r>
        <w:rPr>
          <w:b/>
        </w:rPr>
        <w:t xml:space="preserve">摘要（ZH）: </w:t>
      </w:r>
      <w:r>
        <w:t>作者：Yinu Zhang、Zhiyi Li、Kele Li、Jiaxuanzhong 和 Cenxi Yuan 当训练数据有限时，数据驱动模型特别容易受到随机初始化导致的优化相关波动以及训练数据不足导致的采样引起的偏差的影响。我们通过迁移学习 (TL) 解决这两个挑战：深度神经网络 (DNN) 首先是预......[物理。 Rev. C 114, 014314] 2026 年 7 月 13 日星期一发布</w:t>
      </w:r>
    </w:p>
    <w:p>
      <w:pPr>
        <w:spacing w:before="0" w:after="200" w:lineRule="auto" w:line="276"/>
      </w:pPr>
      <w:r>
        <w:rPr>
          <w:b/>
        </w:rPr>
        <w:t xml:space="preserve">Abstract (EN): </w:t>
      </w:r>
      <w:r>
        <w:t>Author(s): Yinu Zhang, Zhiyi Li, Kele Li, Jiaxuan Zhong, and Cenxi YuanWhen training data are limited, data-driven models are especially vulnerable to optimization-related fluctuations from random initialization and to sampling-induced bias from insufficient training data. We address both challenges with transfer learning (TL): deep neural networks (DNNs) are first pre…[Phys. Rev. C 114, 014314] Published Mon Jul 13, 2026</w:t>
      </w:r>
    </w:p>
    <w:p>
      <w:pPr>
        <w:spacing w:before="120" w:after="120"/>
      </w:pPr>
      <w:r>
        <w:rPr>
          <w:sz w:val="18"/>
        </w:rPr>
        <w:t>——————————————————————————————————————————————————————————————————————</w:t>
      </w:r>
    </w:p>
    <w:p>
      <w:pPr>
        <w:spacing w:before="160" w:after="40" w:line="240" w:lineRule="auto"/>
      </w:pPr>
      <w:r>
        <w:rPr>
          <w:b/>
        </w:rPr>
        <w:t xml:space="preserve">[180] </w:t>
      </w:r>
      <w:hyperlink r:id="rId714">
        <w:r>
          <w:rPr>
            <w:color w:val="1155CC"/>
            <w:u w:val="single"/>
          </w:rPr>
          <w:t>带 Lipkin-Nogami 校正的变形相对论 Hartree-Bogoliubov 理论中的变形晕核 $^{42}\mathrm{Mg}$</w:t>
        </w:r>
      </w:hyperlink>
    </w:p>
    <w:p>
      <w:pPr>
        <w:spacing w:before="0" w:after="80"/>
      </w:pPr>
      <w:r>
        <w:rPr>
          <w:i/>
          <w:sz w:val="20"/>
        </w:rPr>
        <w:t>EN: Deformed halo nucleus $^{42}\mathrm{Mg}$ in deformed relativistic Hartree-Bogoliubov theory in continuum with Lipkin-Nogami correction</w:t>
      </w:r>
    </w:p>
    <w:p>
      <w:pPr>
        <w:spacing w:before="0" w:after="120"/>
      </w:pPr>
      <w:r>
        <w:rPr>
          <w:b/>
        </w:rPr>
        <w:t xml:space="preserve">Source: </w:t>
      </w:r>
      <w:r>
        <w:t>Recent Articles in Phys. Rev. C</w:t>
      </w:r>
      <w:r>
        <w:t xml:space="preserve">    </w:t>
      </w:r>
      <w:r>
        <w:rPr>
          <w:b/>
        </w:rPr>
        <w:t xml:space="preserve">Pub date: </w:t>
      </w:r>
      <w:r>
        <w:t>2026-07-13 10:00:00+00:00</w:t>
      </w:r>
      <w:r>
        <w:t xml:space="preserve">    </w:t>
      </w:r>
      <w:r>
        <w:rPr>
          <w:b/>
        </w:rPr>
        <w:t xml:space="preserve">DOI: </w:t>
      </w:r>
      <w:hyperlink r:id="rId715">
        <w:r>
          <w:rPr>
            <w:color w:val="1155CC"/>
            <w:u w:val="single"/>
          </w:rPr>
          <w:t>10.1103/p36h-kpgb</w:t>
        </w:r>
      </w:hyperlink>
    </w:p>
    <w:p>
      <w:pPr>
        <w:spacing w:before="0" w:after="120"/>
      </w:pPr>
      <w:r>
        <w:rPr>
          <w:b/>
        </w:rPr>
        <w:t xml:space="preserve">Notes: </w:t>
      </w:r>
      <w:r>
        <w:t>abstract_source=rss_description</w:t>
      </w:r>
    </w:p>
    <w:p>
      <w:pPr>
        <w:spacing w:before="0" w:after="80" w:lineRule="auto" w:line="276"/>
      </w:pPr>
      <w:r>
        <w:rPr>
          <w:b/>
        </w:rPr>
        <w:t xml:space="preserve">摘要（ZH）: </w:t>
      </w:r>
      <w:r>
        <w:t>作者：C. Zhou、P.Guo、X.F.Jiang、S.Q.Zhang将 Lipkin-Nogami (LN) 方法与连续介质中变形相对论 Hartree-Bogoliubov 理论相结合，研究了 LN 校正对变形晕核 $^{42}\mathrm{Mg}$ 的影响。经过LN修正，发现$^{42}\mathrm{Mg}$的晕结构仍然存在，…[Phys. Rev. C 114, 014315] 2026 年 7 月 13 日星期一发布</w:t>
      </w:r>
    </w:p>
    <w:p>
      <w:pPr>
        <w:spacing w:before="0" w:after="200" w:lineRule="auto" w:line="276"/>
      </w:pPr>
      <w:r>
        <w:rPr>
          <w:b/>
        </w:rPr>
        <w:t xml:space="preserve">Abstract (EN): </w:t>
      </w:r>
      <w:r>
        <w:t>Author(s): C. Zhou, P. Guo, X. F. Jiang, and S. Q. ZhangCombining the Lipkin-Nogami (LN) method with the deformed relativistic Hartree-Bogoliubov theory in continuum, the impact of the LN correction on the deformed halo nucleus $^{42}\mathrm{Mg}$ is investigated. With the LN correction, it is found that the halo structure of $^{42}\mathrm{Mg}$ persists, …[Phys. Rev. C 114, 014315] Published Mon Jul 13, 2026</w:t>
      </w:r>
    </w:p>
    <w:p>
      <w:pPr>
        <w:spacing w:before="120" w:after="120"/>
      </w:pPr>
      <w:r>
        <w:rPr>
          <w:sz w:val="18"/>
        </w:rPr>
        <w:t>——————————————————————————————————————————————————————————————————————</w:t>
      </w:r>
    </w:p>
    <w:p>
      <w:pPr>
        <w:spacing w:before="160" w:after="40" w:line="240" w:lineRule="auto"/>
      </w:pPr>
      <w:r>
        <w:rPr>
          <w:b/>
        </w:rPr>
        <w:t xml:space="preserve">[181] </w:t>
      </w:r>
      <w:hyperlink r:id="rId716">
        <w:r>
          <w:rPr>
            <w:color w:val="1155CC"/>
            <w:u w:val="single"/>
          </w:rPr>
          <w:t>${\mathrm{BiFeO}}_{3}$ 中的交变磁力特征</w:t>
        </w:r>
      </w:hyperlink>
    </w:p>
    <w:p>
      <w:pPr>
        <w:spacing w:before="0" w:after="80"/>
      </w:pPr>
      <w:r>
        <w:rPr>
          <w:i/>
          <w:sz w:val="20"/>
        </w:rPr>
        <w:t>EN: Signatures of Altermagnetism in ${\mathrm{BiFeO}}_{3}$</w:t>
      </w:r>
    </w:p>
    <w:p>
      <w:pPr>
        <w:spacing w:before="0" w:after="120"/>
      </w:pPr>
      <w:r>
        <w:rPr>
          <w:b/>
        </w:rPr>
        <w:t xml:space="preserve">Source: </w:t>
      </w:r>
      <w:r>
        <w:t>Recent Articles in Phys. Rev. Lett.</w:t>
      </w:r>
      <w:r>
        <w:t xml:space="preserve">    </w:t>
      </w:r>
      <w:r>
        <w:rPr>
          <w:b/>
        </w:rPr>
        <w:t xml:space="preserve">Pub date: </w:t>
      </w:r>
      <w:r>
        <w:t>2026-07-13 10:00:00+00:00</w:t>
      </w:r>
      <w:r>
        <w:t xml:space="preserve">    </w:t>
      </w:r>
      <w:r>
        <w:rPr>
          <w:b/>
        </w:rPr>
        <w:t xml:space="preserve">DOI: </w:t>
      </w:r>
      <w:hyperlink r:id="rId717">
        <w:r>
          <w:rPr>
            <w:color w:val="1155CC"/>
            <w:u w:val="single"/>
          </w:rPr>
          <w:t>10.1103/1wyj-nrgk</w:t>
        </w:r>
      </w:hyperlink>
    </w:p>
    <w:p>
      <w:pPr>
        <w:spacing w:before="0" w:after="120"/>
      </w:pPr>
      <w:r>
        <w:rPr>
          <w:b/>
        </w:rPr>
        <w:t xml:space="preserve">Notes: </w:t>
      </w:r>
      <w:r>
        <w:t>abstract_source=rss_description</w:t>
      </w:r>
    </w:p>
    <w:p>
      <w:pPr>
        <w:spacing w:before="0" w:after="80" w:lineRule="auto" w:line="276"/>
      </w:pPr>
      <w:r>
        <w:rPr>
          <w:b/>
        </w:rPr>
        <w:t xml:space="preserve">摘要（ZH）: </w:t>
      </w:r>
      <w:r>
        <w:t>作者：Sajid Husain、Maya Ramesh、Qian Song、Sergei Prokhorenko、Shashank Kumar Ojha、Surya Narayan Panda、Xinyan Li、Yousra Nahas、Yogesh Kumar、Pushpendra Gupta、Tenzin Chang、Alan Ji-in Jung、Rogério de Sousa、James G. Analytis、Lane W. Martin、Zhi Yao、Yimo Han、Sang-Wook Cheong、Laurent Bellaiche、Manuel Bibes、Darrell G. Schlom 和 Ramamoorthy RameshMagnons 提供了一种实现基于自旋的信息传输的超快传输和无损读出的途径。在这里，我们报告了限制在反铁磁体 ${\mathrm{LaFeO}}_{3}$ 超薄层之间的 ${\mathrm{BiFeO}}_{3}$ 层中的磁子输运及其出现的各向异性。因为……[物理。莱特牧师。 137, 036702] 2026 年 7 月 13 日星期一发布</w:t>
      </w:r>
    </w:p>
    <w:p>
      <w:pPr>
        <w:spacing w:before="0" w:after="200" w:lineRule="auto" w:line="276"/>
      </w:pPr>
      <w:r>
        <w:rPr>
          <w:b/>
        </w:rPr>
        <w:t xml:space="preserve">Abstract (EN): </w:t>
      </w:r>
      <w:r>
        <w:t>Author(s): Sajid Husain, Maya Ramesh, Qian Song, Sergei Prokhorenko, Shashank Kumar Ojha, Surya Narayan Panda, Xinyan Li, Yousra Nahas, Yogesh Kumar, Pushpendra Gupta, Tenzin Chang, Alan Ji-in Jung, Rogério de Sousa, James G. Analytis, Lane W. Martin, Zhi Yao, Yimo Han, Sang-Wook Cheong, Laurent Bellaiche, Manuel Bibes, Darrell G. Schlom, and Ramamoorthy RameshMagnons provide a route to ultrafast transport and nondestructive readout of spin-based information transfer. Here, we report magnon transport and its emergent anisotropic nature in ${\mathrm{BiFeO}}_{3}$ layers confined between ultrathin layers of the antiferromagnet ${\mathrm{LaFeO}}_{3}$. Because…[Phys. Rev. Lett. 137, 036702] Published Mon Jul 13, 2026</w:t>
      </w:r>
    </w:p>
    <w:p>
      <w:pPr>
        <w:spacing w:before="120" w:after="120"/>
      </w:pPr>
      <w:r>
        <w:rPr>
          <w:sz w:val="18"/>
        </w:rPr>
        <w:t>——————————————————————————————————————————————————————————————————————</w:t>
      </w:r>
    </w:p>
    <w:p>
      <w:pPr>
        <w:spacing w:before="160" w:after="40" w:line="240" w:lineRule="auto"/>
      </w:pPr>
      <w:r>
        <w:rPr>
          <w:b/>
        </w:rPr>
        <w:t xml:space="preserve">[182] </w:t>
      </w:r>
      <w:hyperlink r:id="rId718">
        <w:r>
          <w:rPr>
            <w:color w:val="1155CC"/>
            <w:u w:val="single"/>
          </w:rPr>
          <w:t>块状铁电体中的拓扑压电性</w:t>
        </w:r>
      </w:hyperlink>
    </w:p>
    <w:p>
      <w:pPr>
        <w:spacing w:before="0" w:after="80"/>
      </w:pPr>
      <w:r>
        <w:rPr>
          <w:i/>
          <w:sz w:val="20"/>
        </w:rPr>
        <w:t>EN: Topological piezoelectricity in bulk ferroelectrics</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19">
        <w:r>
          <w:rPr>
            <w:color w:val="1155CC"/>
            <w:u w:val="single"/>
          </w:rPr>
          <w:t>10.1038/s41563-026-02677-5</w:t>
        </w:r>
      </w:hyperlink>
    </w:p>
    <w:p>
      <w:pPr>
        <w:spacing w:before="0" w:after="120"/>
      </w:pPr>
      <w:r>
        <w:rPr>
          <w:b/>
        </w:rPr>
        <w:t xml:space="preserve">Notes: </w:t>
      </w:r>
      <w:r>
        <w:t>abstract_source=nature_html</w:t>
      </w:r>
    </w:p>
    <w:p>
      <w:pPr>
        <w:spacing w:before="0" w:after="80" w:lineRule="auto" w:line="276"/>
      </w:pPr>
      <w:r>
        <w:rPr>
          <w:b/>
        </w:rPr>
        <w:t xml:space="preserve">摘要（ZH）: </w:t>
      </w:r>
      <w:r>
        <w:t>铁电拓扑涡旋域因其拓扑保护特性和在下一代电子学中的潜力而引起了人们的兴趣。尽管广泛的研究集中在低维纳米结构上，但涡旋域在体铁电体中的作用仍然知之甚少。在这里，我们识别了块状 Pb(Mg1/3Nb2/3)O3-PbTiO3 晶体中的拓扑涡流结构，并证明了它们在增强压电响应、建立涡流结构和宏观性能之间的机械联系方面的直接作用。我们开发了一种简单且可扩展的方法，即机械辅助电极化，来设计涡旋域密度，将涡旋核心密度从传统极化样品中的 0.01 μm−2 增加到 21 μm−2。这种受控域工程显着改善了压电响应，这主要归因于涡核周围的局部应变。这项研究增进了我们对块状铁电体拓扑结构的理解，并为设计用于设备应用的高性能铁电体开辟了一条实用途径。</w:t>
      </w:r>
    </w:p>
    <w:p>
      <w:pPr>
        <w:spacing w:before="0" w:after="200" w:lineRule="auto" w:line="276"/>
      </w:pPr>
      <w:r>
        <w:rPr>
          <w:b/>
        </w:rPr>
        <w:t xml:space="preserve">Abstract (EN): </w:t>
      </w:r>
      <w:r>
        <w:t>Ferroelectric topological vortex domains have attracted interest for their topologically protected properties and potential in next-generation electronics. Although extensive research has focused on low-dimensional nanostructures, the role of vortex domains in bulk ferroelectrics remains poorly understood. Here we identify topological vortex structures in bulk Pb(Mg1/3Nb2/3)O3–PbTiO3 crystals and demonstrate their direct role in enhancing the piezoelectric response, establishing a mechanistic link between vortex structures and macroscopic performance. We develop a straightforward and scalable method, mechanically assisted electrical poling, to engineer vortex domain density, which increases the vortex core density from 0.01 μm−2 in conventionally poled samples to 21 μm−2. This controlled domain engineering leads to a remarkable improvement in the piezoelectric response, primarily attributed to localized strain surrounding the vortex cores. This study advances our understanding of topological structures in bulk ferroelectrics, and opens up a practical pathway to engineer high-performance ferroelectrics for device applications.</w:t>
      </w:r>
    </w:p>
    <w:p>
      <w:pPr>
        <w:spacing w:before="120" w:after="120"/>
      </w:pPr>
      <w:r>
        <w:rPr>
          <w:sz w:val="18"/>
        </w:rPr>
        <w:t>——————————————————————————————————————————————————————————————————————</w:t>
      </w:r>
    </w:p>
    <w:p>
      <w:pPr>
        <w:spacing w:before="160" w:after="40" w:line="240" w:lineRule="auto"/>
      </w:pPr>
      <w:r>
        <w:rPr>
          <w:b/>
        </w:rPr>
        <w:t xml:space="preserve">[183] </w:t>
      </w:r>
      <w:hyperlink r:id="rId720">
        <w:r>
          <w:rPr>
            <w:color w:val="1155CC"/>
            <w:u w:val="single"/>
          </w:rPr>
          <w:t>两个平行的磷经济</w:t>
        </w:r>
      </w:hyperlink>
    </w:p>
    <w:p>
      <w:pPr>
        <w:spacing w:before="0" w:after="80"/>
      </w:pPr>
      <w:r>
        <w:rPr>
          <w:i/>
          <w:sz w:val="20"/>
        </w:rPr>
        <w:t>EN: Two parallel phosphorus economies</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21">
        <w:r>
          <w:rPr>
            <w:color w:val="1155CC"/>
            <w:u w:val="single"/>
          </w:rPr>
          <w:t>10.1038/s41563-026-02687-3</w:t>
        </w:r>
      </w:hyperlink>
    </w:p>
    <w:p>
      <w:pPr>
        <w:spacing w:before="0" w:after="120"/>
      </w:pPr>
      <w:r>
        <w:rPr>
          <w:b/>
        </w:rPr>
        <w:t xml:space="preserve">Notes: </w:t>
      </w:r>
      <w:r>
        <w:t>abstract_source=nature_html</w:t>
      </w:r>
    </w:p>
    <w:p>
      <w:pPr>
        <w:spacing w:before="0" w:after="80" w:lineRule="auto" w:line="276"/>
      </w:pPr>
      <w:r>
        <w:rPr>
          <w:b/>
        </w:rPr>
        <w:t xml:space="preserve">摘要（ZH）: </w:t>
      </w:r>
      <w:r>
        <w:t>保罗·韦斯特霍夫和雅各布·琼斯讨论了磷的独特化学性质如何实现农业肥料以外的技术，从电池到半导体和量子材料。</w:t>
      </w:r>
    </w:p>
    <w:p>
      <w:pPr>
        <w:spacing w:before="0" w:after="200" w:lineRule="auto" w:line="276"/>
      </w:pPr>
      <w:r>
        <w:rPr>
          <w:b/>
        </w:rPr>
        <w:t xml:space="preserve">Abstract (EN): </w:t>
      </w:r>
      <w:r>
        <w:t>Paul Westerhoff and Jacob Jones discuss how the unique chemistry of phosphorus enables technologies beyond agricultural fertilizers, ranging from batteries to semiconductors and quantum materials.</w:t>
      </w:r>
    </w:p>
    <w:p>
      <w:pPr>
        <w:spacing w:before="120" w:after="120"/>
      </w:pPr>
      <w:r>
        <w:rPr>
          <w:sz w:val="18"/>
        </w:rPr>
        <w:t>——————————————————————————————————————————————————————————————————————</w:t>
      </w:r>
    </w:p>
    <w:p>
      <w:pPr>
        <w:spacing w:before="160" w:after="40" w:line="240" w:lineRule="auto"/>
      </w:pPr>
      <w:r>
        <w:rPr>
          <w:b/>
        </w:rPr>
        <w:t xml:space="preserve">[184] </w:t>
      </w:r>
      <w:hyperlink r:id="rId722">
        <w:r>
          <w:rPr>
            <w:color w:val="1155CC"/>
            <w:u w:val="single"/>
          </w:rPr>
          <w:t>我对老鼠的研究给我带来了压力。我怎样才能变得更有韧性？</w:t>
        </w:r>
      </w:hyperlink>
    </w:p>
    <w:p>
      <w:pPr>
        <w:spacing w:before="0" w:after="80"/>
      </w:pPr>
      <w:r>
        <w:rPr>
          <w:i/>
          <w:sz w:val="20"/>
        </w:rPr>
        <w:t>EN: My research on mice is causing me stress. How can I become more resilient?</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23">
        <w:r>
          <w:rPr>
            <w:color w:val="1155CC"/>
            <w:u w:val="single"/>
          </w:rPr>
          <w:t>10.1038/d41586-026-01128-0</w:t>
        </w:r>
      </w:hyperlink>
    </w:p>
    <w:p>
      <w:pPr>
        <w:spacing w:before="0" w:after="120"/>
      </w:pPr>
      <w:r>
        <w:rPr>
          <w:b/>
        </w:rPr>
        <w:t xml:space="preserve">Notes: </w:t>
      </w:r>
      <w:r>
        <w:t>abstract_source=nature_html</w:t>
      </w:r>
    </w:p>
    <w:p>
      <w:pPr>
        <w:spacing w:before="0" w:after="80" w:lineRule="auto" w:line="276"/>
      </w:pPr>
      <w:r>
        <w:rPr>
          <w:b/>
        </w:rPr>
        <w:t xml:space="preserve">摘要（ZH）: </w:t>
      </w:r>
      <w:r>
        <w:t>博士生热爱研究，但不喜欢动物实验的现实。他们的选择是什么？博士生热爱研究，但不喜欢动物实验的现实。他们的选择是什么？</w:t>
      </w:r>
    </w:p>
    <w:p>
      <w:pPr>
        <w:spacing w:before="0" w:after="200" w:lineRule="auto" w:line="276"/>
      </w:pPr>
      <w:r>
        <w:rPr>
          <w:b/>
        </w:rPr>
        <w:t xml:space="preserve">Abstract (EN): </w:t>
      </w:r>
      <w:r>
        <w:t>A PhD student loves research, but not the realities of experimenting on animals. What are their options? A PhD student loves research, but not the realities of experimenting on animals. What are their options?</w:t>
      </w:r>
    </w:p>
    <w:p>
      <w:pPr>
        <w:spacing w:before="120" w:after="120"/>
      </w:pPr>
      <w:r>
        <w:rPr>
          <w:sz w:val="18"/>
        </w:rPr>
        <w:t>——————————————————————————————————————————————————————————————————————</w:t>
      </w:r>
    </w:p>
    <w:p>
      <w:pPr>
        <w:spacing w:before="160" w:after="40" w:line="240" w:lineRule="auto"/>
      </w:pPr>
      <w:r>
        <w:rPr>
          <w:b/>
        </w:rPr>
        <w:t xml:space="preserve">[185] </w:t>
      </w:r>
      <w:hyperlink r:id="rId724">
        <w:r>
          <w:rPr>
            <w:color w:val="1155CC"/>
            <w:u w:val="single"/>
          </w:rPr>
          <w:t>DNA 粉碎 CRISPR 酶瞄准癌细胞</w:t>
        </w:r>
      </w:hyperlink>
    </w:p>
    <w:p>
      <w:pPr>
        <w:spacing w:before="0" w:after="80"/>
      </w:pPr>
      <w:r>
        <w:rPr>
          <w:i/>
          <w:sz w:val="20"/>
        </w:rPr>
        <w:t>EN: DNA-shredding CRISPR enzyme takes aim at cancer cells</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25">
        <w:r>
          <w:rPr>
            <w:color w:val="1155CC"/>
            <w:u w:val="single"/>
          </w:rPr>
          <w:t>10.1038/d41586-026-02122-2</w:t>
        </w:r>
      </w:hyperlink>
    </w:p>
    <w:p>
      <w:pPr>
        <w:spacing w:before="0" w:after="120"/>
      </w:pPr>
      <w:r>
        <w:rPr>
          <w:b/>
        </w:rPr>
        <w:t xml:space="preserve">Notes: </w:t>
      </w:r>
      <w:r>
        <w:t>abstract_source=nature_html</w:t>
      </w:r>
    </w:p>
    <w:p>
      <w:pPr>
        <w:spacing w:before="0" w:after="80" w:lineRule="auto" w:line="276"/>
      </w:pPr>
      <w:r>
        <w:rPr>
          <w:b/>
        </w:rPr>
        <w:t xml:space="preserve">摘要（ZH）: </w:t>
      </w:r>
      <w:r>
        <w:t>细菌自毁机制已被重新用作一种潜在的疗法，选择性地消除患病细胞——包括小鼠癌症模型中的肿瘤细胞。细菌自毁机制已被重新用作一种潜在的疗法，选择性地消除患病细胞——包括小鼠癌症模型中的肿瘤细胞。</w:t>
      </w:r>
    </w:p>
    <w:p>
      <w:pPr>
        <w:spacing w:before="0" w:after="200" w:lineRule="auto" w:line="276"/>
      </w:pPr>
      <w:r>
        <w:rPr>
          <w:b/>
        </w:rPr>
        <w:t xml:space="preserve">Abstract (EN): </w:t>
      </w:r>
      <w:r>
        <w:t>A bacterial self-destruct mechanism has been repurposed as a potential therapy, selectively eliminating diseased cells — including tumour cells in mouse models of cancer. A bacterial self-destruct mechanism has been repurposed as a potential therapy, selectively eliminating diseased cells — including tumour cells in mouse models of cancer.</w:t>
      </w:r>
    </w:p>
    <w:p>
      <w:pPr>
        <w:spacing w:before="120" w:after="120"/>
      </w:pPr>
      <w:r>
        <w:rPr>
          <w:sz w:val="18"/>
        </w:rPr>
        <w:t>——————————————————————————————————————————————————————————————————————</w:t>
      </w:r>
    </w:p>
    <w:p>
      <w:pPr>
        <w:spacing w:before="160" w:after="40" w:line="240" w:lineRule="auto"/>
      </w:pPr>
      <w:r>
        <w:rPr>
          <w:b/>
        </w:rPr>
        <w:t xml:space="preserve">[186] </w:t>
      </w:r>
      <w:hyperlink r:id="rId726">
        <w:r>
          <w:rPr>
            <w:color w:val="1155CC"/>
            <w:u w:val="single"/>
          </w:rPr>
          <w:t>非洲对埃博拉疫情的反应展示了如何塑造全球健康</w:t>
        </w:r>
      </w:hyperlink>
    </w:p>
    <w:p>
      <w:pPr>
        <w:spacing w:before="0" w:after="80"/>
      </w:pPr>
      <w:r>
        <w:rPr>
          <w:i/>
          <w:sz w:val="20"/>
        </w:rPr>
        <w:t>EN: Africa’s response to this Ebola outbreak shows how to shape global health</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27">
        <w:r>
          <w:rPr>
            <w:color w:val="1155CC"/>
            <w:u w:val="single"/>
          </w:rPr>
          <w:t>10.1038/d41586-026-02148-6</w:t>
        </w:r>
      </w:hyperlink>
    </w:p>
    <w:p>
      <w:pPr>
        <w:spacing w:before="0" w:after="120"/>
      </w:pPr>
      <w:r>
        <w:rPr>
          <w:b/>
        </w:rPr>
        <w:t xml:space="preserve">Notes: </w:t>
      </w:r>
      <w:r>
        <w:t>abstract_source=nature_html</w:t>
      </w:r>
    </w:p>
    <w:p>
      <w:pPr>
        <w:spacing w:before="0" w:after="80" w:lineRule="auto" w:line="276"/>
      </w:pPr>
      <w:r>
        <w:rPr>
          <w:b/>
        </w:rPr>
        <w:t xml:space="preserve">摘要（ZH）: </w:t>
      </w:r>
      <w:r>
        <w:t>其他国家必须学习非洲大陆的榜样，通过共同努力而非关闭边境来应对疾病暴发。其他国家必须学习非洲大陆的榜样，通过共同努力而非关闭边境来应对疾病暴发。</w:t>
      </w:r>
    </w:p>
    <w:p>
      <w:pPr>
        <w:spacing w:before="0" w:after="200" w:lineRule="auto" w:line="276"/>
      </w:pPr>
      <w:r>
        <w:rPr>
          <w:b/>
        </w:rPr>
        <w:t xml:space="preserve">Abstract (EN): </w:t>
      </w:r>
      <w:r>
        <w:t>Countries elsewhere must learn from the continent’s example and combat disease outbreaks by working together, not by closing borders. Countries elsewhere must learn from the continent’s example and combat disease outbreaks by working together, not by closing borders.</w:t>
      </w:r>
    </w:p>
    <w:p>
      <w:pPr>
        <w:spacing w:before="120" w:after="120"/>
      </w:pPr>
      <w:r>
        <w:rPr>
          <w:sz w:val="18"/>
        </w:rPr>
        <w:t>——————————————————————————————————————————————————————————————————————</w:t>
      </w:r>
    </w:p>
    <w:p>
      <w:pPr>
        <w:spacing w:before="160" w:after="40" w:line="240" w:lineRule="auto"/>
      </w:pPr>
      <w:r>
        <w:rPr>
          <w:b/>
        </w:rPr>
        <w:t xml:space="preserve">[187] </w:t>
      </w:r>
      <w:hyperlink r:id="rId728">
        <w:r>
          <w:rPr>
            <w:color w:val="1155CC"/>
            <w:u w:val="single"/>
          </w:rPr>
          <w:t>获得博士学位后寻求行业职位？确保你的简历反映了这一点</w:t>
        </w:r>
      </w:hyperlink>
    </w:p>
    <w:p>
      <w:pPr>
        <w:spacing w:before="0" w:after="80"/>
      </w:pPr>
      <w:r>
        <w:rPr>
          <w:i/>
          <w:sz w:val="20"/>
        </w:rPr>
        <w:t>EN: Seeking an industry role after your PhD? Make sure your CV reflects that</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29">
        <w:r>
          <w:rPr>
            <w:color w:val="1155CC"/>
            <w:u w:val="single"/>
          </w:rPr>
          <w:t>10.1038/d41586-026-01855-4</w:t>
        </w:r>
      </w:hyperlink>
    </w:p>
    <w:p>
      <w:pPr>
        <w:spacing w:before="0" w:after="120"/>
      </w:pPr>
      <w:r>
        <w:rPr>
          <w:b/>
        </w:rPr>
        <w:t xml:space="preserve">Notes: </w:t>
      </w:r>
      <w:r>
        <w:t>abstract_source=nature_html</w:t>
      </w:r>
    </w:p>
    <w:p>
      <w:pPr>
        <w:spacing w:before="0" w:after="80" w:lineRule="auto" w:line="276"/>
      </w:pPr>
      <w:r>
        <w:rPr>
          <w:b/>
        </w:rPr>
        <w:t xml:space="preserve">摘要（ZH）: </w:t>
      </w:r>
      <w:r>
        <w:t>博士学位可以打开许多扇门。根据您规划的职业道路量身定制的简历可以帮助您释放这些潜力。博士学位可以打开许多扇门。根据您规划的职业道路量身定制的简历可以帮助您释放这些潜力。</w:t>
      </w:r>
    </w:p>
    <w:p>
      <w:pPr>
        <w:spacing w:before="0" w:after="200" w:lineRule="auto" w:line="276"/>
      </w:pPr>
      <w:r>
        <w:rPr>
          <w:b/>
        </w:rPr>
        <w:t xml:space="preserve">Abstract (EN): </w:t>
      </w:r>
      <w:r>
        <w:t>A doctorate can open many doors. A CV tailored to your planned career path can help to unlock them. A doctorate can open many doors. A CV tailored to your planned career path can help to unlock them.</w:t>
      </w:r>
    </w:p>
    <w:p>
      <w:pPr>
        <w:spacing w:before="120" w:after="120"/>
      </w:pPr>
      <w:r>
        <w:rPr>
          <w:sz w:val="18"/>
        </w:rPr>
        <w:t>——————————————————————————————————————————————————————————————————————</w:t>
      </w:r>
    </w:p>
    <w:p>
      <w:pPr>
        <w:spacing w:before="160" w:after="40" w:line="240" w:lineRule="auto"/>
      </w:pPr>
      <w:r>
        <w:rPr>
          <w:b/>
        </w:rPr>
        <w:t xml:space="preserve">[188] </w:t>
      </w:r>
      <w:hyperlink r:id="rId730">
        <w:r>
          <w:rPr>
            <w:color w:val="1155CC"/>
            <w:u w:val="single"/>
          </w:rPr>
          <w:t>“黑暗彗星”以其神秘的运动而揭开面纱</w:t>
        </w:r>
      </w:hyperlink>
    </w:p>
    <w:p>
      <w:pPr>
        <w:spacing w:before="0" w:after="80"/>
      </w:pPr>
      <w:r>
        <w:rPr>
          <w:i/>
          <w:sz w:val="20"/>
        </w:rPr>
        <w:t>EN: ‘Dark comet’ unmasked by its mysterious motions</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31">
        <w:r>
          <w:rPr>
            <w:color w:val="1155CC"/>
            <w:u w:val="single"/>
          </w:rPr>
          <w:t>10.1038/d41586-026-02192-2</w:t>
        </w:r>
      </w:hyperlink>
    </w:p>
    <w:p>
      <w:pPr>
        <w:spacing w:before="0" w:after="120"/>
      </w:pPr>
      <w:r>
        <w:rPr>
          <w:b/>
        </w:rPr>
        <w:t xml:space="preserve">Notes: </w:t>
      </w:r>
      <w:r>
        <w:t>abstract_source=nature_html</w:t>
      </w:r>
    </w:p>
    <w:p>
      <w:pPr>
        <w:spacing w:before="0" w:after="80" w:lineRule="auto" w:line="276"/>
      </w:pPr>
      <w:r>
        <w:rPr>
          <w:b/>
        </w:rPr>
        <w:t xml:space="preserve">摘要（ZH）: </w:t>
      </w:r>
      <w:r>
        <w:t>一个被认为是普通太空岩石的天体原来有一条类似彗星的尾巴。一个被认为是普通太空岩石的天体原来有一条类似彗星的尾巴。</w:t>
      </w:r>
    </w:p>
    <w:p>
      <w:pPr>
        <w:spacing w:before="0" w:after="200" w:lineRule="auto" w:line="276"/>
      </w:pPr>
      <w:r>
        <w:rPr>
          <w:b/>
        </w:rPr>
        <w:t xml:space="preserve">Abstract (EN): </w:t>
      </w:r>
      <w:r>
        <w:t>A celestial body thought to be an ordinary space rock turns out to have a comet-like tail. A celestial body thought to be an ordinary space rock turns out to have a comet-like tail.</w:t>
      </w:r>
    </w:p>
    <w:p>
      <w:pPr>
        <w:spacing w:before="120" w:after="120"/>
      </w:pPr>
      <w:r>
        <w:rPr>
          <w:sz w:val="18"/>
        </w:rPr>
        <w:t>——————————————————————————————————————————————————————————————————————</w:t>
      </w:r>
    </w:p>
    <w:p>
      <w:pPr>
        <w:spacing w:before="160" w:after="40" w:line="240" w:lineRule="auto"/>
      </w:pPr>
      <w:r>
        <w:rPr>
          <w:b/>
        </w:rPr>
        <w:t xml:space="preserve">[189] </w:t>
      </w:r>
      <w:hyperlink r:id="rId732">
        <w:r>
          <w:rPr>
            <w:color w:val="1155CC"/>
            <w:u w:val="single"/>
          </w:rPr>
          <w:t>日历是怎么来的</w:t>
        </w:r>
      </w:hyperlink>
    </w:p>
    <w:p>
      <w:pPr>
        <w:spacing w:before="0" w:after="80"/>
      </w:pPr>
      <w:r>
        <w:rPr>
          <w:i/>
          <w:sz w:val="20"/>
        </w:rPr>
        <w:t>EN: How the calendar came to be</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33">
        <w:r>
          <w:rPr>
            <w:color w:val="1155CC"/>
            <w:u w:val="single"/>
          </w:rPr>
          <w:t>10.1038/d41586-026-02102-6</w:t>
        </w:r>
      </w:hyperlink>
    </w:p>
    <w:p>
      <w:pPr>
        <w:spacing w:before="0" w:after="120"/>
      </w:pPr>
      <w:r>
        <w:rPr>
          <w:b/>
        </w:rPr>
        <w:t xml:space="preserve">Notes: </w:t>
      </w:r>
      <w:r>
        <w:t>abstract_source=nature_html</w:t>
      </w:r>
    </w:p>
    <w:p>
      <w:pPr>
        <w:spacing w:before="0" w:after="80" w:lineRule="auto" w:line="276"/>
      </w:pPr>
      <w:r>
        <w:rPr>
          <w:b/>
        </w:rPr>
        <w:t xml:space="preserve">摘要（ZH）: </w:t>
      </w:r>
      <w:r>
        <w:t>本周《自然》档案馆精选了计时技术的发展以及一本让免疫细胞重新流行起来的书。大自然过去的片段。</w:t>
      </w:r>
    </w:p>
    <w:p>
      <w:pPr>
        <w:spacing w:before="0" w:after="200" w:lineRule="auto" w:line="276"/>
      </w:pPr>
      <w:r>
        <w:rPr>
          <w:b/>
        </w:rPr>
        <w:t xml:space="preserve">Abstract (EN): </w:t>
      </w:r>
      <w:r>
        <w:t>The development of time-keeping, and a book that brings an immune cell back in vogue, in this week’s pick from the Nature archive. Snippets from Nature’s past.</w:t>
      </w:r>
    </w:p>
    <w:p>
      <w:pPr>
        <w:spacing w:before="120" w:after="120"/>
      </w:pPr>
      <w:r>
        <w:rPr>
          <w:sz w:val="18"/>
        </w:rPr>
        <w:t>——————————————————————————————————————————————————————————————————————</w:t>
      </w:r>
    </w:p>
    <w:p>
      <w:pPr>
        <w:spacing w:before="160" w:after="40" w:line="240" w:lineRule="auto"/>
      </w:pPr>
      <w:r>
        <w:rPr>
          <w:b/>
        </w:rPr>
        <w:t xml:space="preserve">[190] </w:t>
      </w:r>
      <w:hyperlink r:id="rId734">
        <w:r>
          <w:rPr>
            <w:color w:val="1155CC"/>
            <w:u w:val="single"/>
          </w:rPr>
          <w:t>生物分子缩合的最初微秒一瞥</w:t>
        </w:r>
      </w:hyperlink>
    </w:p>
    <w:p>
      <w:pPr>
        <w:spacing w:before="0" w:after="80"/>
      </w:pPr>
      <w:r>
        <w:rPr>
          <w:i/>
          <w:sz w:val="20"/>
        </w:rPr>
        <w:t>EN: A Glimpse into the Initial Microsecond of Biomolecular Condensation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35">
        <w:r>
          <w:rPr>
            <w:color w:val="1155CC"/>
            <w:u w:val="single"/>
          </w:rPr>
          <w:t>10.1021/jacs.6c04891</w:t>
        </w:r>
      </w:hyperlink>
    </w:p>
    <w:p>
      <w:pPr>
        <w:spacing w:before="0" w:after="120"/>
      </w:pPr>
      <w:r>
        <w:rPr>
          <w:b/>
        </w:rPr>
        <w:t xml:space="preserve">Notes: </w:t>
      </w:r>
      <w:r>
        <w:t>abstract_source=pubmed</w:t>
      </w:r>
    </w:p>
    <w:p>
      <w:pPr>
        <w:spacing w:before="0" w:after="80" w:lineRule="auto" w:line="276"/>
      </w:pPr>
      <w:r>
        <w:rPr>
          <w:b/>
        </w:rPr>
        <w:t xml:space="preserve">摘要（ZH）: </w:t>
      </w:r>
      <w:r>
        <w:t>生物分子缩合是细胞维持正常生理活动的关键过程。然而，相变过程仍然很神秘，特别是在凝结的初始时刻。在这里，我们通过跳温红外光谱和分子动力学模拟研究了肽缩合的第一微秒。这些技术克服了传统方法有限的时空分辨率，使我们能够捕获相变初始时刻的分子事件和动力学信息。结果表明，本质上无序的蛋白质的结构转变和早期组装发生在超快的时间尺度上。出乎意料的是，与疏水性相比，主链氢键成为被忽视的关键介体，用于稳定疏水性多肽超快缩合的局部结构。通过锁定局部结构，氢键有助于形成更稳定的相互作用界面。这些发现表明，氢键可以使疏水性无序蛋白质能够响应环境刺激而采用预组织构象，并作为介导复杂细胞环境中组装动力学的关键因素。</w:t>
      </w:r>
    </w:p>
    <w:p>
      <w:pPr>
        <w:spacing w:before="0" w:after="200" w:lineRule="auto" w:line="276"/>
      </w:pPr>
      <w:r>
        <w:rPr>
          <w:b/>
        </w:rPr>
        <w:t xml:space="preserve">Abstract (EN): </w:t>
      </w:r>
      <w:r>
        <w:t>Biomolecular condensation is a key process for cells to maintain their normal physiological activities. However, the process of phase transition remains mysterious, especially for the initial moments of condensation. Herein, we investigated the first microsecond of peptide condensation through temperature jump infrared spectroscopy and molecular dynamics simulations. These techniques overcome the limited spatiotemporal resolution of traditional approaches, allowing us to capture the molecular events and kinetic information on the initial moment for phase transition. The results reveal that structural transitions and early assembly of intrinsically disordered proteins occur on ultrafast time scales. Unexpectedly, backbone hydrogen bonding emerges as the overlooked key mediator to stabilize the local structure for the ultrafast condensation of hydrophobic polypeptides compared to hydrophobicity. By locking local structures, hydrogen bonds help to form more stable interaction interfaces. These findings indicate that hydrogen bonding could enable hydrophobic disordered proteins to adopt preorganized conformations in response to environmental stimuli and serve as a key factor in mediating the assembly kinetics in complex cellular environments.</w:t>
      </w:r>
    </w:p>
    <w:p>
      <w:pPr>
        <w:spacing w:before="120" w:after="120"/>
      </w:pPr>
      <w:r>
        <w:rPr>
          <w:sz w:val="18"/>
        </w:rPr>
        <w:t>——————————————————————————————————————————————————————————————————————</w:t>
      </w:r>
    </w:p>
    <w:p>
      <w:pPr>
        <w:spacing w:before="160" w:after="40" w:line="240" w:lineRule="auto"/>
      </w:pPr>
      <w:r>
        <w:rPr>
          <w:b/>
        </w:rPr>
        <w:t xml:space="preserve">[191] </w:t>
      </w:r>
      <w:hyperlink r:id="rId736">
        <w:r>
          <w:rPr>
            <w:color w:val="1155CC"/>
            <w:u w:val="single"/>
          </w:rPr>
          <w:t>人工智能模型：一国的恐惧成为每个人的约束</w:t>
        </w:r>
      </w:hyperlink>
    </w:p>
    <w:p>
      <w:pPr>
        <w:spacing w:before="0" w:after="80"/>
      </w:pPr>
      <w:r>
        <w:rPr>
          <w:i/>
          <w:sz w:val="20"/>
        </w:rPr>
        <w:t>EN: AI models: one country’s fears become everyone’s constraint</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37">
        <w:r>
          <w:rPr>
            <w:color w:val="1155CC"/>
            <w:u w:val="single"/>
          </w:rPr>
          <w:t>10.1038/d41586-026-02187-z</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[192] </w:t>
      </w:r>
      <w:hyperlink r:id="rId738">
        <w:r>
          <w:rPr>
            <w:color w:val="1155CC"/>
            <w:u w:val="single"/>
          </w:rPr>
          <w:t>增强型奥运会和兴奋剂正常化：公共卫生问题</w:t>
        </w:r>
      </w:hyperlink>
    </w:p>
    <w:p>
      <w:pPr>
        <w:spacing w:before="0" w:after="80"/>
      </w:pPr>
      <w:r>
        <w:rPr>
          <w:i/>
          <w:sz w:val="20"/>
        </w:rPr>
        <w:t>EN: The Enhanced Games and the normalization of doping: a public health concern</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39">
        <w:r>
          <w:rPr>
            <w:color w:val="1155CC"/>
            <w:u w:val="single"/>
          </w:rPr>
          <w:t>10.1038/d41586-026-02189-x</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[193] </w:t>
      </w:r>
      <w:hyperlink r:id="rId740">
        <w:r>
          <w:rPr>
            <w:color w:val="1155CC"/>
            <w:u w:val="single"/>
          </w:rPr>
          <w:t>学术界应认识到社区伙伴关系具有社会影响力</w:t>
        </w:r>
      </w:hyperlink>
    </w:p>
    <w:p>
      <w:pPr>
        <w:spacing w:before="0" w:after="80"/>
      </w:pPr>
      <w:r>
        <w:rPr>
          <w:i/>
          <w:sz w:val="20"/>
        </w:rPr>
        <w:t>EN: Academia should recognize community partnerships as having societal impact</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41">
        <w:r>
          <w:rPr>
            <w:color w:val="1155CC"/>
            <w:u w:val="single"/>
          </w:rPr>
          <w:t>10.1038/d41586-026-02190-4</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[194] </w:t>
      </w:r>
      <w:hyperlink r:id="rId742">
        <w:r>
          <w:rPr>
            <w:color w:val="1155CC"/>
            <w:u w:val="single"/>
          </w:rPr>
          <w:t>澳大利亚禽流感 H5N1：保护澳大利亚物种免受禽流感病毒侵害</w:t>
        </w:r>
      </w:hyperlink>
    </w:p>
    <w:p>
      <w:pPr>
        <w:spacing w:before="0" w:after="80"/>
      </w:pPr>
      <w:r>
        <w:rPr>
          <w:i/>
          <w:sz w:val="20"/>
        </w:rPr>
        <w:t>EN: Bird flu H5N1 in Australia: protect Australian species from bird flu virus</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43">
        <w:r>
          <w:rPr>
            <w:color w:val="1155CC"/>
            <w:u w:val="single"/>
          </w:rPr>
          <w:t>10.1038/d41586-026-02188-y</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[195] </w:t>
      </w:r>
      <w:hyperlink r:id="rId744">
        <w:r>
          <w:rPr>
            <w:color w:val="1155CC"/>
            <w:u w:val="single"/>
          </w:rPr>
          <w:t>液态金属和硅结合</w:t>
        </w:r>
      </w:hyperlink>
    </w:p>
    <w:p>
      <w:pPr>
        <w:spacing w:before="0" w:after="80"/>
      </w:pPr>
      <w:r>
        <w:rPr>
          <w:i/>
          <w:sz w:val="20"/>
        </w:rPr>
        <w:t>EN: Liquid metal and silicon unite</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45">
        <w:r>
          <w:rPr>
            <w:color w:val="1155CC"/>
            <w:u w:val="single"/>
          </w:rPr>
          <w:t>10.1038/s41563-026-02653-z</w:t>
        </w:r>
      </w:hyperlink>
    </w:p>
    <w:p>
      <w:pPr>
        <w:spacing w:before="0" w:after="120"/>
      </w:pPr>
      <w:r>
        <w:rPr>
          <w:b/>
        </w:rPr>
        <w:t xml:space="preserve">Notes: </w:t>
      </w:r>
      <w:r>
        <w:t>abstract_source=nature_html</w:t>
      </w:r>
    </w:p>
    <w:p>
      <w:pPr>
        <w:spacing w:before="0" w:after="80" w:lineRule="auto" w:line="276"/>
      </w:pPr>
      <w:r>
        <w:rPr>
          <w:b/>
        </w:rPr>
        <w:t xml:space="preserve">摘要（ZH）: </w:t>
      </w:r>
      <w:r>
        <w:t>通过使用钛阻挡层来实现液态金属与硅纳米膜的界面，以防止镓从共晶镓铟液态金属中浸出，从而通过基于液态金属的电路阵列实现视觉采集和深度传感。</w:t>
      </w:r>
    </w:p>
    <w:p>
      <w:pPr>
        <w:spacing w:before="0" w:after="200" w:lineRule="auto" w:line="276"/>
      </w:pPr>
      <w:r>
        <w:rPr>
          <w:b/>
        </w:rPr>
        <w:t xml:space="preserve">Abstract (EN): </w:t>
      </w:r>
      <w:r>
        <w:t>Interfacing liquid metal with silicon nanomembranes is realized by using a titanium barrier to prevent gallium from leaching out of the eutectic gallium indium liquid metal, achieving visual acquisition and depth sensing with a liquid-metal-based circuit array.</w:t>
      </w:r>
    </w:p>
    <w:p>
      <w:pPr>
        <w:spacing w:before="120" w:after="120"/>
      </w:pPr>
      <w:r>
        <w:rPr>
          <w:sz w:val="18"/>
        </w:rPr>
        <w:t>——————————————————————————————————————————————————————————————————————</w:t>
      </w:r>
    </w:p>
    <w:p>
      <w:pPr>
        <w:spacing w:before="160" w:after="40" w:line="240" w:lineRule="auto"/>
      </w:pPr>
      <w:r>
        <w:rPr>
          <w:b/>
        </w:rPr>
        <w:t xml:space="preserve">[196] </w:t>
      </w:r>
      <w:hyperlink r:id="rId746">
        <w:r>
          <w:rPr>
            <w:color w:val="1155CC"/>
            <w:u w:val="single"/>
          </w:rPr>
          <w:t>监控基于自然的解决方案是合规、共同创造和实践改进的关键</w:t>
        </w:r>
      </w:hyperlink>
    </w:p>
    <w:p>
      <w:pPr>
        <w:spacing w:before="0" w:after="80"/>
      </w:pPr>
      <w:r>
        <w:rPr>
          <w:i/>
          <w:sz w:val="20"/>
        </w:rPr>
        <w:t>EN: Monitoring nature-based solutions is key for compliance, co-creation and practice improvement</w:t>
      </w:r>
    </w:p>
    <w:p>
      <w:pPr>
        <w:spacing w:before="0" w:after="120"/>
      </w:pPr>
      <w:r>
        <w:rPr>
          <w:b/>
        </w:rPr>
        <w:t xml:space="preserve">Source: </w:t>
      </w:r>
      <w:r>
        <w:t>Nature Sustainability</w:t>
      </w:r>
      <w:r>
        <w:t xml:space="preserve">    </w:t>
      </w:r>
      <w:r>
        <w:rPr>
          <w:b/>
        </w:rPr>
        <w:t xml:space="preserve">Pub date: </w:t>
      </w:r>
      <w:r>
        <w:t>2026-07-14 00:00:00+00:00</w:t>
      </w:r>
      <w:r>
        <w:t xml:space="preserve">    </w:t>
      </w:r>
      <w:r>
        <w:rPr>
          <w:b/>
        </w:rPr>
        <w:t xml:space="preserve">DOI: </w:t>
      </w:r>
      <w:hyperlink r:id="rId747">
        <w:r>
          <w:rPr>
            <w:color w:val="1155CC"/>
            <w:u w:val="single"/>
          </w:rPr>
          <w:t>10.1038/s41893-026-01885-w</w:t>
        </w:r>
      </w:hyperlink>
    </w:p>
    <w:p>
      <w:pPr>
        <w:spacing w:before="0" w:after="120"/>
      </w:pPr>
      <w:r>
        <w:rPr>
          <w:b/>
        </w:rPr>
        <w:t xml:space="preserve">Notes: </w:t>
      </w:r>
      <w:r>
        <w:t>abstract_source=nature_html</w:t>
      </w:r>
    </w:p>
    <w:p>
      <w:pPr>
        <w:spacing w:before="0" w:after="80" w:lineRule="auto" w:line="276"/>
      </w:pPr>
      <w:r>
        <w:rPr>
          <w:b/>
        </w:rPr>
        <w:t xml:space="preserve">摘要（ZH）: </w:t>
      </w:r>
      <w:r>
        <w:t>在社会、政治和环境危机相互关联的时代，针对气候变化和生物多样性丧失采取行动的国际承诺正在经受考验。履行这些承诺要求我们采取监测和评估做法，弥合国际雄心与城市当地行动之间的差距。为了维护当前的进步和支持城市自然，我们认为至关重要的是，将监测和评估重新构建为一个集体学习过程，承认人们的日常知识并利用社区参与来应对不断变化的条件。</w:t>
      </w:r>
    </w:p>
    <w:p>
      <w:pPr>
        <w:spacing w:before="0" w:after="200" w:lineRule="auto" w:line="276"/>
      </w:pPr>
      <w:r>
        <w:rPr>
          <w:b/>
        </w:rPr>
        <w:t xml:space="preserve">Abstract (EN): </w:t>
      </w:r>
      <w:r>
        <w:t>In a time of interconnected social, political and environmental crises, international commitments to act on climate change and biodiversity loss are being put to the test. Upholding these commitments requires us to adopt monitoring and evaluation practices that bridge the gap between international ambitions and local action in cities. For safeguarding current progress and supporting urban nature, we argue that it is critical to reframe monitoring and evaluation as a collective learning process that recognizes people’s everyday knowledge and leverages community involvement to respond to changing conditions.</w:t>
      </w:r>
    </w:p>
    <w:p>
      <w:pPr>
        <w:spacing w:before="120" w:after="120"/>
      </w:pPr>
      <w:r>
        <w:rPr>
          <w:sz w:val="18"/>
        </w:rPr>
        <w:t>——————————————————————————————————————————————————————————————————————</w:t>
      </w:r>
    </w:p>
    <w:p>
      <w:pPr>
        <w:spacing w:before="160" w:after="40" w:line="240" w:lineRule="auto"/>
      </w:pPr>
      <w:r>
        <w:rPr>
          <w:b/>
        </w:rPr>
        <w:t xml:space="preserve">[197] </w:t>
      </w:r>
      <w:hyperlink r:id="rId748">
        <w:r>
          <w:rPr>
            <w:color w:val="1155CC"/>
            <w:u w:val="single"/>
          </w:rPr>
          <w:t>光的线性动量写入磁序</w:t>
        </w:r>
      </w:hyperlink>
    </w:p>
    <w:p>
      <w:pPr>
        <w:spacing w:before="0" w:after="80"/>
      </w:pPr>
      <w:r>
        <w:rPr>
          <w:i/>
          <w:sz w:val="20"/>
        </w:rPr>
        <w:t>EN: Linear momentum of light writes magnetic order</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49">
        <w:r>
          <w:rPr>
            <w:color w:val="1155CC"/>
            <w:u w:val="single"/>
          </w:rPr>
          <w:t>10.1038/s41563-026-02641-3</w:t>
        </w:r>
      </w:hyperlink>
    </w:p>
    <w:p>
      <w:pPr>
        <w:spacing w:before="0" w:after="120"/>
      </w:pPr>
      <w:r>
        <w:rPr>
          <w:b/>
        </w:rPr>
        <w:t xml:space="preserve">Notes: </w:t>
      </w:r>
      <w:r>
        <w:t>abstract_source=nature_html</w:t>
      </w:r>
    </w:p>
    <w:p>
      <w:pPr>
        <w:spacing w:before="0" w:after="80" w:lineRule="auto" w:line="276"/>
      </w:pPr>
      <w:r>
        <w:rPr>
          <w:b/>
        </w:rPr>
        <w:t xml:space="preserve">摘要（ZH）: </w:t>
      </w:r>
      <w:r>
        <w:t>光子线性动量可以作为确定性写入反铁磁域的有效场，为隐藏磁序的光学控制提供强大的途径。</w:t>
      </w:r>
    </w:p>
    <w:p>
      <w:pPr>
        <w:spacing w:before="0" w:after="200" w:lineRule="auto" w:line="276"/>
      </w:pPr>
      <w:r>
        <w:rPr>
          <w:b/>
        </w:rPr>
        <w:t xml:space="preserve">Abstract (EN): </w:t>
      </w:r>
      <w:r>
        <w:t>Photon linear momentum can act as an effective field to deterministically write antiferromagnetic domains, offering a powerful route to optical control of hidden magnetic order.</w:t>
      </w:r>
    </w:p>
    <w:p>
      <w:pPr>
        <w:spacing w:before="120" w:after="120"/>
      </w:pPr>
      <w:r>
        <w:rPr>
          <w:sz w:val="18"/>
        </w:rPr>
        <w:t>——————————————————————————————————————————————————————————————————————</w:t>
      </w:r>
    </w:p>
    <w:p>
      <w:pPr>
        <w:spacing w:before="160" w:after="40" w:line="240" w:lineRule="auto"/>
      </w:pPr>
      <w:r>
        <w:rPr>
          <w:b/>
        </w:rPr>
        <w:t xml:space="preserve">[198] </w:t>
      </w:r>
      <w:hyperlink r:id="rId750">
        <w:r>
          <w:rPr>
            <w:color w:val="1155CC"/>
            <w:u w:val="single"/>
          </w:rPr>
          <w:t>具有不同命运的RNA分子通过重叠的途径进行加工</w:t>
        </w:r>
      </w:hyperlink>
    </w:p>
    <w:p>
      <w:pPr>
        <w:spacing w:before="0" w:after="80"/>
      </w:pPr>
      <w:r>
        <w:rPr>
          <w:i/>
          <w:sz w:val="20"/>
        </w:rPr>
        <w:t>EN: RNA molecules with different destinies are processed through overlapping pathways</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51">
        <w:r>
          <w:rPr>
            <w:color w:val="1155CC"/>
            <w:u w:val="single"/>
          </w:rPr>
          <w:t>10.1038/d41586-026-02041-2</w:t>
        </w:r>
      </w:hyperlink>
    </w:p>
    <w:p>
      <w:pPr>
        <w:spacing w:before="0" w:after="120"/>
      </w:pPr>
      <w:r>
        <w:rPr>
          <w:b/>
        </w:rPr>
        <w:t xml:space="preserve">Notes: </w:t>
      </w:r>
      <w:r>
        <w:t>abstract_source=nature_html</w:t>
      </w:r>
    </w:p>
    <w:p>
      <w:pPr>
        <w:spacing w:before="0" w:after="80" w:lineRule="auto" w:line="276"/>
      </w:pPr>
      <w:r>
        <w:rPr>
          <w:b/>
        </w:rPr>
        <w:t xml:space="preserve">摘要（ZH）: </w:t>
      </w:r>
      <w:r>
        <w:t>帮助信使 RNA 离开细胞核的蛋白质复合物与促进破坏短的、不需要的转录物的蛋白质复合物非常相似。帮助信使 RNA 离开细胞核的蛋白质复合物与促进破坏短的、不需要的转录物的蛋白质复合物非常相似。</w:t>
      </w:r>
    </w:p>
    <w:p>
      <w:pPr>
        <w:spacing w:before="0" w:after="200" w:lineRule="auto" w:line="276"/>
      </w:pPr>
      <w:r>
        <w:rPr>
          <w:b/>
        </w:rPr>
        <w:t xml:space="preserve">Abstract (EN): </w:t>
      </w:r>
      <w:r>
        <w:t>The protein complex that helps messenger RNA to leave the nucleus is remarkably similar to the one that facilitates the destruction of short, unwanted transcripts. The protein complex that helps messenger RNA to leave the nucleus is remarkably similar to the one that facilitates the destruction of short, unwanted transcripts.</w:t>
      </w:r>
    </w:p>
    <w:p>
      <w:pPr>
        <w:spacing w:before="120" w:after="120"/>
      </w:pPr>
      <w:r>
        <w:rPr>
          <w:sz w:val="18"/>
        </w:rPr>
        <w:t>——————————————————————————————————————————————————————————————————————</w:t>
      </w:r>
    </w:p>
    <w:p>
      <w:pPr>
        <w:spacing w:before="160" w:after="40" w:line="240" w:lineRule="auto"/>
      </w:pPr>
      <w:r>
        <w:rPr>
          <w:b/>
        </w:rPr>
        <w:t xml:space="preserve">[199] </w:t>
      </w:r>
      <w:hyperlink r:id="rId752">
        <w:r>
          <w:rPr>
            <w:color w:val="1155CC"/>
            <w:u w:val="single"/>
          </w:rPr>
          <w:t>玛雅墙上发现的数学公式堪比古代大师的见解</w:t>
        </w:r>
      </w:hyperlink>
    </w:p>
    <w:p>
      <w:pPr>
        <w:spacing w:before="0" w:after="80"/>
      </w:pPr>
      <w:r>
        <w:rPr>
          <w:i/>
          <w:sz w:val="20"/>
        </w:rPr>
        <w:t>EN: Mathematics formula found on Maya wall rivals insights of ancient masters</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53">
        <w:r>
          <w:rPr>
            <w:color w:val="1155CC"/>
            <w:u w:val="single"/>
          </w:rPr>
          <w:t>10.1038/d41586-026-02170-8</w:t>
        </w:r>
      </w:hyperlink>
    </w:p>
    <w:p>
      <w:pPr>
        <w:spacing w:before="0" w:after="120"/>
      </w:pPr>
      <w:r>
        <w:rPr>
          <w:b/>
        </w:rPr>
        <w:t xml:space="preserve">Notes: </w:t>
      </w:r>
      <w:r>
        <w:t>abstract_source=nature_html</w:t>
      </w:r>
    </w:p>
    <w:p>
      <w:pPr>
        <w:spacing w:before="0" w:after="80" w:lineRule="auto" w:line="276"/>
      </w:pPr>
      <w:r>
        <w:rPr>
          <w:b/>
        </w:rPr>
        <w:t xml:space="preserve">摘要（ZH）: </w:t>
      </w:r>
      <w:r>
        <w:t>来自危地马拉玛雅遗址的数学文本确认了一位名叫萨克·塔恩·瓦克斯的天文学家的身份。来自危地马拉玛雅遗址的数学文本确认了一位名叫萨克·塔恩·瓦克斯的天文学家的身份。</w:t>
      </w:r>
    </w:p>
    <w:p>
      <w:pPr>
        <w:spacing w:before="0" w:after="200" w:lineRule="auto" w:line="276"/>
      </w:pPr>
      <w:r>
        <w:rPr>
          <w:b/>
        </w:rPr>
        <w:t xml:space="preserve">Abstract (EN): </w:t>
      </w:r>
      <w:r>
        <w:t>Mathematical texts from a Maya site in Guatemala identify an astronomer called Sak Tahn Waax. Mathematical texts from a Maya site in Guatemala identify an astronomer called Sak Tahn Waax.</w:t>
      </w:r>
    </w:p>
    <w:p>
      <w:pPr>
        <w:spacing w:before="120" w:after="120"/>
      </w:pPr>
      <w:r>
        <w:rPr>
          <w:sz w:val="18"/>
        </w:rPr>
        <w:t>——————————————————————————————————————————————————————————————————————</w:t>
      </w:r>
    </w:p>
    <w:p>
      <w:pPr>
        <w:spacing w:before="160" w:after="40" w:line="240" w:lineRule="auto"/>
      </w:pPr>
      <w:r>
        <w:rPr>
          <w:b/>
        </w:rPr>
        <w:t xml:space="preserve">[200] </w:t>
      </w:r>
      <w:hyperlink r:id="rId754">
        <w:r>
          <w:rPr>
            <w:color w:val="1155CC"/>
            <w:u w:val="single"/>
          </w:rPr>
          <w:t>这个神秘消失的器官能否成为长寿的关键？</w:t>
        </w:r>
      </w:hyperlink>
    </w:p>
    <w:p>
      <w:pPr>
        <w:spacing w:before="0" w:after="80"/>
      </w:pPr>
      <w:r>
        <w:rPr>
          <w:i/>
          <w:sz w:val="20"/>
        </w:rPr>
        <w:t>EN: Could this mysterious disappearing organ hold the key to longevity?</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55">
        <w:r>
          <w:rPr>
            <w:color w:val="1155CC"/>
            <w:u w:val="single"/>
          </w:rPr>
          <w:t>10.1038/d41586-026-02149-5</w:t>
        </w:r>
      </w:hyperlink>
    </w:p>
    <w:p>
      <w:pPr>
        <w:spacing w:before="0" w:after="120"/>
      </w:pPr>
      <w:r>
        <w:rPr>
          <w:b/>
        </w:rPr>
        <w:t xml:space="preserve">Notes: </w:t>
      </w:r>
      <w:r>
        <w:t>abstract_source=nature_html</w:t>
      </w:r>
    </w:p>
    <w:p>
      <w:pPr>
        <w:spacing w:before="0" w:after="80" w:lineRule="auto" w:line="276"/>
      </w:pPr>
      <w:r>
        <w:rPr>
          <w:b/>
        </w:rPr>
        <w:t xml:space="preserve">摘要（ZH）: </w:t>
      </w:r>
      <w:r>
        <w:t>研究人员正在竞相再生胸腺（一种短暂的免疫器官），希望它能延缓衰老。研究人员正在竞相再生胸腺（一种短暂的免疫器官），希望它能延缓衰老。</w:t>
      </w:r>
    </w:p>
    <w:p>
      <w:pPr>
        <w:spacing w:before="0" w:after="200" w:lineRule="auto" w:line="276"/>
      </w:pPr>
      <w:r>
        <w:rPr>
          <w:b/>
        </w:rPr>
        <w:t xml:space="preserve">Abstract (EN): </w:t>
      </w:r>
      <w:r>
        <w:t>Researchers are racing to regrow the thymus, an ephemeral immune organ, in the hope that it will slow ageing. Researchers are racing to regrow the thymus, an ephemeral immune organ, in the hope that it will slow ageing.</w:t>
      </w:r>
    </w:p>
    <w:p>
      <w:pPr>
        <w:spacing w:before="120" w:after="120"/>
      </w:pPr>
      <w:r>
        <w:rPr>
          <w:sz w:val="18"/>
        </w:rPr>
        <w:t>——————————————————————————————————————————————————————————————————————</w:t>
      </w:r>
    </w:p>
    <w:p>
      <w:pPr>
        <w:spacing w:before="160" w:after="40" w:line="240" w:lineRule="auto"/>
      </w:pPr>
      <w:r>
        <w:rPr>
          <w:b/>
        </w:rPr>
        <w:t xml:space="preserve">[201] </w:t>
      </w:r>
      <w:hyperlink r:id="rId756">
        <w:r>
          <w:rPr>
            <w:color w:val="1155CC"/>
            <w:u w:val="single"/>
          </w:rPr>
          <w:t>探索深海的竞赛：改变研究的四项技术</w:t>
        </w:r>
      </w:hyperlink>
    </w:p>
    <w:p>
      <w:pPr>
        <w:spacing w:before="0" w:after="80"/>
      </w:pPr>
      <w:r>
        <w:rPr>
          <w:i/>
          <w:sz w:val="20"/>
        </w:rPr>
        <w:t>EN: The race to explore the deep ocean: four technologies transforming research</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57">
        <w:r>
          <w:rPr>
            <w:color w:val="1155CC"/>
            <w:u w:val="single"/>
          </w:rPr>
          <w:t>10.1038/d41586-026-01988-6</w:t>
        </w:r>
      </w:hyperlink>
    </w:p>
    <w:p>
      <w:pPr>
        <w:spacing w:before="0" w:after="120"/>
      </w:pPr>
      <w:r>
        <w:rPr>
          <w:b/>
        </w:rPr>
        <w:t xml:space="preserve">Notes: </w:t>
      </w:r>
      <w:r>
        <w:t>abstract_source=nature_html</w:t>
      </w:r>
    </w:p>
    <w:p>
      <w:pPr>
        <w:spacing w:before="0" w:after="80" w:lineRule="auto" w:line="276"/>
      </w:pPr>
      <w:r>
        <w:rPr>
          <w:b/>
        </w:rPr>
        <w:t xml:space="preserve">摘要（ZH）: </w:t>
      </w:r>
      <w:r>
        <w:t>深海钻探船、海底传感器和改造后的互联网电缆正在帮助科学家研究地球上最后一个未绘制地图的区域。深海钻探船、海底传感器和改造后的互联网电缆正在帮助科学家研究地球上最后一个未绘制地图的区域。</w:t>
      </w:r>
    </w:p>
    <w:p>
      <w:pPr>
        <w:spacing w:before="0" w:after="200" w:lineRule="auto" w:line="276"/>
      </w:pPr>
      <w:r>
        <w:rPr>
          <w:b/>
        </w:rPr>
        <w:t xml:space="preserve">Abstract (EN): </w:t>
      </w:r>
      <w:r>
        <w:t>Deep-sea drilling ships, sea-floor sensors and repurposed Internet cables are helping scientists to study the last unmapped area on Earth. Deep-sea drilling ships, sea-floor sensors and repurposed Internet cables are helping scientists to study the last unmapped area on Earth.</w:t>
      </w:r>
    </w:p>
    <w:p>
      <w:pPr>
        <w:spacing w:before="120" w:after="120"/>
      </w:pPr>
      <w:r>
        <w:rPr>
          <w:sz w:val="18"/>
        </w:rPr>
        <w:t>——————————————————————————————————————————————————————————————————————</w:t>
      </w:r>
    </w:p>
    <w:p>
      <w:pPr>
        <w:spacing w:before="160" w:after="40" w:line="240" w:lineRule="auto"/>
      </w:pPr>
      <w:r>
        <w:rPr>
          <w:b/>
        </w:rPr>
        <w:t xml:space="preserve">[202] </w:t>
      </w:r>
      <w:hyperlink r:id="rId758">
        <w:r>
          <w:rPr>
            <w:color w:val="1155CC"/>
            <w:u w:val="single"/>
          </w:rPr>
          <w:t>3D 电子显微镜揭示了纳米密闭空气-水界面存在强电场的证据</w:t>
        </w:r>
      </w:hyperlink>
    </w:p>
    <w:p>
      <w:pPr>
        <w:spacing w:before="0" w:after="80"/>
      </w:pPr>
      <w:r>
        <w:rPr>
          <w:i/>
          <w:sz w:val="20"/>
        </w:rPr>
        <w:t>EN: 3D Electron Microscopy Reveals Evidence for Strong Electric Fields at Nanoconfined Air–Water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59">
        <w:r>
          <w:rPr>
            <w:color w:val="1155CC"/>
            <w:u w:val="single"/>
          </w:rPr>
          <w:t>10.1021/jacs.6c08580</w:t>
        </w:r>
      </w:hyperlink>
    </w:p>
    <w:p>
      <w:pPr>
        <w:spacing w:before="0" w:after="120"/>
      </w:pPr>
      <w:r>
        <w:rPr>
          <w:b/>
        </w:rPr>
        <w:t xml:space="preserve">Notes: </w:t>
      </w:r>
      <w:r>
        <w:t>abstract_source=pubmed</w:t>
      </w:r>
    </w:p>
    <w:p>
      <w:pPr>
        <w:spacing w:before="0" w:after="80" w:lineRule="auto" w:line="276"/>
      </w:pPr>
      <w:r>
        <w:rPr>
          <w:b/>
        </w:rPr>
        <w:t xml:space="preserve">摘要（ZH）: </w:t>
      </w:r>
      <w:r>
        <w:t>空气-水界面处的强电场被广泛用来解释加速的界面化学，但在无蒸发条件下直接、无探针的证据仍然具有挑战性。在这里，我们将水溶液和空气限制在直径约 50 nm 的多壁碳纳米管内，以稳定三维透射电子显微镜的纳米级空气-水界面。重建的多相结构揭示了 ~10 nm 的气域通过跨越分子到纳米厚度的超薄水膜与纳米管壁分开。曲率分析得出拉普拉斯和分离压力分布，表明排斥压力为 ∼10 MPa，可防止薄膜塌陷。这种排斥与每纳米几伏的界面电场一致，主要与定向水偶极子相关，并可能通过双电层增强。与推断的场强一致，氯金酸 (HAuCl4) 还原成金纳米粒子仅发生在界面的 ∼2 nm 内。这些结果通过对强非 Derjaguin-Landau-Verwey-Overbeek 排斥压力和局部界面 Au 还原的综合观测，为空气-水界面上强烈的、空间受限的电场提供了证据，并确立了它们在化学、环境和能源相关系统的纳米级界面化学中的基本作用。</w:t>
      </w:r>
    </w:p>
    <w:p>
      <w:pPr>
        <w:spacing w:before="0" w:after="200" w:lineRule="auto" w:line="276"/>
      </w:pPr>
      <w:r>
        <w:rPr>
          <w:b/>
        </w:rPr>
        <w:t xml:space="preserve">Abstract (EN): </w:t>
      </w:r>
      <w:r>
        <w:t>Strong electric fields at air-water interfaces are widely invoked to explain accelerated interfacial chemistry, yet direct, probe-free evidence under evaporation-free conditions has remained challenging. Here, we confine aqueous solutions and air within ∼50 nm-diameter multiwalled carbon nanotubes to stabilize nanoscale air-water interfaces for three-dimensional transmission electron microscopy. Reconstructed multiphase structures reveal ∼10 nm gas domains separated from the nanotube walls by ultrathin water films spanning molecular to nanometer thicknesses. Curvature analysis yields Laplace and disjoining pressure distributions indicating a repulsive pressure of ∼10 MPa that prevents film collapse. This repulsion is consistent with an interfacial electric field on the order of several volts per nanometer, primarily associated with oriented water dipoles and potentially enhanced by the electric double layer. Consistent with this inferred field strength, the reduction of chloroauric acid (HAuCl4) to gold nanoparticles occurs exclusively within ∼2 nm of the interface. These results provide evidence for intense, spatially confined electric fields at air-water interfaces through the combined observations of strong non-Derjaguin-Landau-Verwey-Overbeek repulsive pressures and localized interfacial Au reduction and establish their fundamental role in nanoscale interfacial chemistry across chemical, environmental, and energy-relevant systems.</w:t>
      </w:r>
    </w:p>
    <w:p>
      <w:pPr>
        <w:spacing w:before="120" w:after="120"/>
      </w:pPr>
      <w:r>
        <w:rPr>
          <w:sz w:val="18"/>
        </w:rPr>
        <w:t>——————————————————————————————————————————————————————————————————————</w:t>
      </w:r>
    </w:p>
    <w:p>
      <w:pPr>
        <w:spacing w:before="160" w:after="40" w:line="240" w:lineRule="auto"/>
      </w:pPr>
      <w:r>
        <w:rPr>
          <w:b/>
        </w:rPr>
        <w:t xml:space="preserve">[203] </w:t>
      </w:r>
      <w:hyperlink r:id="rId760">
        <w:r>
          <w:rPr>
            <w:color w:val="1155CC"/>
            <w:u w:val="single"/>
          </w:rPr>
          <w:t>阶梯电极和阶梯聚束的半经典理论</w:t>
        </w:r>
      </w:hyperlink>
    </w:p>
    <w:p>
      <w:pPr>
        <w:spacing w:before="0" w:after="80"/>
      </w:pPr>
      <w:r>
        <w:rPr>
          <w:i/>
          <w:sz w:val="20"/>
        </w:rPr>
        <w:t>EN: Semiclassical Theory of Stepped Electrodes and Step Bunching</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61">
        <w:r>
          <w:rPr>
            <w:color w:val="1155CC"/>
            <w:u w:val="single"/>
          </w:rPr>
          <w:t>10.1021/jacs.6c10687</w:t>
        </w:r>
      </w:hyperlink>
    </w:p>
    <w:p>
      <w:pPr>
        <w:spacing w:before="0" w:after="120"/>
      </w:pPr>
      <w:r>
        <w:rPr>
          <w:b/>
        </w:rPr>
        <w:t xml:space="preserve">Notes: </w:t>
      </w:r>
      <w:r>
        <w:t>abstract_source=pubmed</w:t>
      </w:r>
    </w:p>
    <w:p>
      <w:pPr>
        <w:spacing w:before="0" w:after="80" w:lineRule="auto" w:line="276"/>
      </w:pPr>
      <w:r>
        <w:rPr>
          <w:b/>
        </w:rPr>
        <w:t xml:space="preserve">摘要（ZH）: </w:t>
      </w:r>
      <w:r>
        <w:t>原子尺度的步骤显着影响电化学活性和稳定性，并在电化学条件下表现出结构不稳定性。然而，导致这些行为的微观机制在很大程度上仍不清楚。在这里，我们利用半经典密度势泛函理论研究了阶梯电极双电层的微观结构和热力学。该理论捕捉了实验中观察到的关于差分电容和零自由电荷电势 (PZFC) 以及阶梯式 Au 和 Ag 阶梯密度的趋势。与平面电极的情况不同，PZFC 偏离了阶梯电极处的最小电容电势，因此需要局部 PZFC 来描述异质表面充电条件。此外，该理论将阶跃引起的 PZFC 位移与表面张力的变化联系起来，预测阶跃聚束是在更正的电极电势下受热力学驱动的，并且对电解质成分敏感。</w:t>
      </w:r>
    </w:p>
    <w:p>
      <w:pPr>
        <w:spacing w:before="0" w:after="200" w:lineRule="auto" w:line="276"/>
      </w:pPr>
      <w:r>
        <w:rPr>
          <w:b/>
        </w:rPr>
        <w:t xml:space="preserve">Abstract (EN): </w:t>
      </w:r>
      <w:r>
        <w:t>Atomic-scale steps markedly influence electrochemical activity and stability and exhibit structural instability under electrochemical conditions. Yet the microscopic mechanisms that cause these behaviors remain largely unclear. Herein, we study the microstructure and thermodynamics of the electrical double layer at stepped electrodes, using the semiclassical density-potential functional theory. The theory captures trends observed in experiments regarding the differential capacitance and the potential of zero free charge (PZFC) with step density for stepped Au and Ag . Departing from the case of flat electrodes, the PZFC deviates from the potential of minimum capacitance at stepped electrodes, necessitating local PZFCs to describe heterogeneous surface charging conditions. Furthermore, linking step-induced PZFC shifts to changes of the surface tension, the theory predicts that step bunching is thermodynamically driven at more positive electrode potentials and sensitive to the electrolyte composition.</w:t>
      </w:r>
    </w:p>
    <w:p>
      <w:pPr>
        <w:spacing w:before="120" w:after="120"/>
      </w:pPr>
      <w:r>
        <w:rPr>
          <w:sz w:val="18"/>
        </w:rPr>
        <w:t>——————————————————————————————————————————————————————————————————————</w:t>
      </w:r>
    </w:p>
    <w:p>
      <w:pPr>
        <w:spacing w:before="160" w:after="40" w:line="240" w:lineRule="auto"/>
      </w:pPr>
      <w:r>
        <w:rPr>
          <w:b/>
        </w:rPr>
        <w:t xml:space="preserve">[204] </w:t>
      </w:r>
      <w:hyperlink r:id="rId762">
        <w:r>
          <w:rPr>
            <w:color w:val="1155CC"/>
            <w:u w:val="single"/>
          </w:rPr>
          <w:t>人力流动动态以实现具有成本效益的洪水应急资源分配</w:t>
        </w:r>
      </w:hyperlink>
    </w:p>
    <w:p>
      <w:pPr>
        <w:spacing w:before="0" w:after="80"/>
      </w:pPr>
      <w:r>
        <w:rPr>
          <w:i/>
          <w:sz w:val="20"/>
        </w:rPr>
        <w:t>EN: Human mobility dynamics for cost-effective flood emergency resource allocation</w:t>
      </w:r>
    </w:p>
    <w:p>
      <w:pPr>
        <w:spacing w:before="0" w:after="120"/>
      </w:pPr>
      <w:r>
        <w:rPr>
          <w:b/>
        </w:rPr>
        <w:t xml:space="preserve">Source: </w:t>
      </w:r>
      <w:r>
        <w:t>Nature Sustainability</w:t>
      </w:r>
      <w:r>
        <w:t xml:space="preserve">    </w:t>
      </w:r>
      <w:r>
        <w:rPr>
          <w:b/>
        </w:rPr>
        <w:t xml:space="preserve">Pub date: </w:t>
      </w:r>
      <w:r>
        <w:t>2026-07-14 00:00:00+00:00</w:t>
      </w:r>
      <w:r>
        <w:t xml:space="preserve">    </w:t>
      </w:r>
      <w:r>
        <w:rPr>
          <w:b/>
        </w:rPr>
        <w:t xml:space="preserve">DOI: </w:t>
      </w:r>
      <w:hyperlink r:id="rId763">
        <w:r>
          <w:rPr>
            <w:color w:val="1155CC"/>
            <w:u w:val="single"/>
          </w:rPr>
          <w:t>10.1038/s41893-026-01886-9</w:t>
        </w:r>
      </w:hyperlink>
    </w:p>
    <w:p>
      <w:pPr>
        <w:spacing w:before="0" w:after="120"/>
      </w:pPr>
      <w:r>
        <w:rPr>
          <w:b/>
        </w:rPr>
        <w:t xml:space="preserve">Notes: </w:t>
      </w:r>
      <w:r>
        <w:t>abstract_source=nature_html</w:t>
      </w:r>
    </w:p>
    <w:p>
      <w:pPr>
        <w:spacing w:before="0" w:after="80" w:lineRule="auto" w:line="276"/>
      </w:pPr>
      <w:r>
        <w:rPr>
          <w:b/>
        </w:rPr>
        <w:t xml:space="preserve">摘要（ZH）: </w:t>
      </w:r>
      <w:r>
        <w:t>极端洪水每年导致全世界数百万人流离失所。然而，应急资源的分配往往效率低下，因为传统策略通常忽视流动动态，从而加剧脆弱性。在这里，通过使用基于主体的建模捕获洪水引起的人类动态，我们调查了中国 21 个大城市的应急资源分配问题（官方应急避难所和军民两用公共服务设施）。我们发现，这些城市中有 43% 在 100 年一遇的洪水期间面临着明显的资源需求供应错配（每个城市 &gt;2,000 平方公里），使 1676 万居民面临可预防的风险。我们的 SSP5-8.5 预测表明，尽管中国人口不断减少，但到 2050 年，严重的不匹配仍将持续存在，而由于气候变化，预计洪水面积将扩大五倍。作为一种解决方案，战略性改造 30% 的高赤字地区可通过降低死亡率、社会协同效益、碳节约和经济连续性（每个城市节省 0.20 至 30.5 亿美元，而人均投资仅为 1.39 美元）而产生超过 28 的效益成本比。这些发现强调了洪水引起的人类行为与气候适应性城市发展中应急资源优化之间的关键联系。</w:t>
      </w:r>
    </w:p>
    <w:p>
      <w:pPr>
        <w:spacing w:before="0" w:after="200" w:lineRule="auto" w:line="276"/>
      </w:pPr>
      <w:r>
        <w:rPr>
          <w:b/>
        </w:rPr>
        <w:t xml:space="preserve">Abstract (EN): </w:t>
      </w:r>
      <w:r>
        <w:t>Extreme flooding displaces millions of people annually worldwide. However, emergency resources are often inefficiently allocated, as conventional strategies usually overlook mobility dynamics and thereby exacerbate vulnerability. Here, by capturing flood-induced human dynamics using agent-based modelling, we investigate the emergency resource allocation issue (official emergency shelters and dual-use public service facilities) across China’s 21 large cities. We find that 43% of these cities face notable resource demand‒supply mismatches (&gt;2,000 km2 per city) during 100-year floods, exposing 16.76 million residents to preventable risks. Our SSP5-8.5 projections indicate that substantial mismatch will persist by 2050 despite the declining population in China, while flooded areas are expected to expand fivefold owing to climate change. As a solution, strategically retrofitting 30% of high-deficit zones yields benefit-to-cost ratios exceeding 28 via reduced mortality, societal co-benefits, carbon savings and economic continuity (US$0.20–3.05 billion savings per city with a per capita investment of merely US$1.39). These findings underscore the critical links between flood-induced human behaviour and emergency resource optimization in climate-adaptive urban development.</w:t>
      </w:r>
    </w:p>
    <w:p>
      <w:pPr>
        <w:spacing w:before="120" w:after="120"/>
      </w:pPr>
      <w:r>
        <w:rPr>
          <w:sz w:val="18"/>
        </w:rPr>
        <w:t>——————————————————————————————————————————————————————————————————————</w:t>
      </w:r>
    </w:p>
    <w:p>
      <w:pPr>
        <w:spacing w:before="160" w:after="40" w:line="240" w:lineRule="auto"/>
      </w:pPr>
      <w:r>
        <w:rPr>
          <w:b/>
        </w:rPr>
        <w:t xml:space="preserve">[205] </w:t>
      </w:r>
      <w:hyperlink r:id="rId764">
        <w:r>
          <w:rPr>
            <w:color w:val="1155CC"/>
            <w:u w:val="single"/>
          </w:rPr>
          <w:t>一步蚀刻和剥离</w:t>
        </w:r>
      </w:hyperlink>
    </w:p>
    <w:p>
      <w:pPr>
        <w:spacing w:before="0" w:after="80"/>
      </w:pPr>
      <w:r>
        <w:rPr>
          <w:i/>
          <w:sz w:val="20"/>
        </w:rPr>
        <w:t>EN: One-step etch and peel</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65">
        <w:r>
          <w:rPr>
            <w:color w:val="1155CC"/>
            <w:u w:val="single"/>
          </w:rPr>
          <w:t>10.1038/s41563-026-02676-6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766">
        <w:r>
          <w:rPr>
            <w:color w:val="1155CC"/>
            <w:u w:val="single"/>
          </w:rPr>
          <w:t>从声音传感到神经控制</w:t>
        </w:r>
      </w:hyperlink>
    </w:p>
    <w:p>
      <w:pPr>
        <w:spacing w:before="0" w:after="80"/>
      </w:pPr>
      <w:r>
        <w:rPr>
          <w:i/>
          <w:sz w:val="20"/>
        </w:rPr>
        <w:t>EN: From sound sensing to neural control</w:t>
      </w:r>
    </w:p>
    <w:p>
      <w:pPr>
        <w:spacing w:before="0" w:after="120"/>
      </w:pPr>
      <w:r>
        <w:rPr>
          <w:b/>
        </w:rPr>
        <w:t xml:space="preserve">Source: </w:t>
      </w:r>
      <w:r>
        <w:t>Nature Materials</w:t>
      </w:r>
      <w:r>
        <w:t xml:space="preserve">    </w:t>
      </w:r>
      <w:r>
        <w:rPr>
          <w:b/>
        </w:rPr>
        <w:t xml:space="preserve">Pub date: </w:t>
      </w:r>
      <w:r>
        <w:t>2026-07-14 00:00:00+00:00</w:t>
      </w:r>
      <w:r>
        <w:t xml:space="preserve">    </w:t>
      </w:r>
      <w:r>
        <w:rPr>
          <w:b/>
        </w:rPr>
        <w:t xml:space="preserve">DOI: </w:t>
      </w:r>
      <w:hyperlink r:id="rId767">
        <w:r>
          <w:rPr>
            <w:color w:val="1155CC"/>
            <w:u w:val="single"/>
          </w:rPr>
          <w:t>10.1038/s41563-026-02657-9</w:t>
        </w:r>
      </w:hyperlink>
    </w:p>
    <w:p>
      <w:pPr>
        <w:spacing w:before="0" w:after="120"/>
      </w:pPr>
      <w:r>
        <w:rPr>
          <w:b/>
        </w:rPr>
        <w:t xml:space="preserve">Notes: </w:t>
      </w:r>
      <w:r>
        <w:t>abstract_source=nature_html</w:t>
      </w:r>
    </w:p>
    <w:p>
      <w:pPr>
        <w:spacing w:before="0" w:after="80" w:lineRule="auto" w:line="276"/>
      </w:pPr>
      <w:r>
        <w:rPr>
          <w:b/>
        </w:rPr>
        <w:t xml:space="preserve">摘要（ZH）: </w:t>
      </w:r>
      <w:r>
        <w:t>现有的听力损失治疗方法仅适用于听觉神经通路完整的患者。在这里，我们展示了一种人工神经形态接口，它与哺乳动物传入神经相结合，绕过受损的听觉通路并实现语音控制的运动行为。</w:t>
      </w:r>
    </w:p>
    <w:p>
      <w:pPr>
        <w:spacing w:before="0" w:after="200" w:lineRule="auto" w:line="276"/>
      </w:pPr>
      <w:r>
        <w:rPr>
          <w:b/>
        </w:rPr>
        <w:t xml:space="preserve">Abstract (EN): </w:t>
      </w:r>
      <w:r>
        <w:t>Existing treatments for hearing loss only apply to patients with intact auditory neural pathways. Here, we demonstrate an artificial neuromorphic interface that integrates with mammalian afferent nerves to bypass damaged auditory pathways and enable speech-controlled motor behaviours.</w:t>
      </w:r>
    </w:p>
    <w:p>
      <w:pPr>
        <w:spacing w:before="120" w:after="120"/>
      </w:pPr>
      <w:r>
        <w:rPr>
          <w:sz w:val="18"/>
        </w:rPr>
        <w:t>——————————————————————————————————————————————————————————————————————</w:t>
      </w:r>
    </w:p>
    <w:p>
      <w:pPr>
        <w:spacing w:before="160" w:after="40" w:line="240" w:lineRule="auto"/>
      </w:pPr>
      <w:r>
        <w:rPr>
          <w:b/>
        </w:rPr>
        <w:t xml:space="preserve">[207] </w:t>
      </w:r>
      <w:hyperlink r:id="rId768">
        <w:r>
          <w:rPr>
            <w:color w:val="1155CC"/>
            <w:u w:val="single"/>
          </w:rPr>
          <w:t>消费者什么时候会因可变电价而蒙受损失？</w:t>
        </w:r>
      </w:hyperlink>
    </w:p>
    <w:p>
      <w:pPr>
        <w:spacing w:before="0" w:after="80"/>
      </w:pPr>
      <w:r>
        <w:rPr>
          <w:i/>
          <w:sz w:val="20"/>
        </w:rPr>
        <w:t>EN: When do consumers lose from variable electricity pricing?</w:t>
      </w:r>
    </w:p>
    <w:p>
      <w:pPr>
        <w:spacing w:before="0" w:after="120"/>
      </w:pPr>
      <w:r>
        <w:rPr>
          <w:b/>
        </w:rPr>
        <w:t xml:space="preserve">Source: </w:t>
      </w:r>
      <w:r>
        <w:t>ScienceDirect Publication: Energy Policy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769">
        <w:r>
          <w:rPr>
            <w:color w:val="1155CC"/>
            <w:u w:val="single"/>
          </w:rPr>
          <w:t>设计用于多模态红色发光的 SrZnOS:Eu 2+ ,Dy 3+ 可逆一次电池结构</w:t>
        </w:r>
      </w:hyperlink>
    </w:p>
    <w:p>
      <w:pPr>
        <w:spacing w:before="0" w:after="80"/>
      </w:pPr>
      <w:r>
        <w:rPr>
          <w:i/>
          <w:sz w:val="20"/>
        </w:rPr>
        <w:t>EN: Engineering a Reversible Primary Battery Structure in SrZnOS:Eu 2+ ,Dy 3+ for Multi-Modal Red Luminescence</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770">
        <w:r>
          <w:rPr>
            <w:color w:val="1155CC"/>
            <w:u w:val="single"/>
          </w:rPr>
          <w:t>10.1021/acsami.6c09080</w:t>
        </w:r>
      </w:hyperlink>
    </w:p>
    <w:p>
      <w:pPr>
        <w:spacing w:before="0" w:after="120"/>
      </w:pPr>
      <w:r>
        <w:rPr>
          <w:b/>
        </w:rPr>
        <w:t xml:space="preserve">Notes: </w:t>
      </w:r>
      <w:r>
        <w:t>abstract_source=pubmed</w:t>
      </w:r>
    </w:p>
    <w:p>
      <w:pPr>
        <w:spacing w:before="0" w:after="80" w:lineRule="auto" w:line="276"/>
      </w:pPr>
      <w:r>
        <w:rPr>
          <w:b/>
        </w:rPr>
        <w:t xml:space="preserve">摘要（ZH）: </w:t>
      </w:r>
      <w:r>
        <w:t>可见光激发下Eu2+激活红色荧光粉的合理设计仍然是光子学、光电子学和白光发光二极管等各个领域的关键挑战。在此，我们通过共掺杂Eu2+和Dy3+离子构建可逆无穷小光电化学层状微单元电池结构，在SrZnOS基体中设计具有双亚稳态的高密度陷阱，以实现强红色发光。所得的 SrZnOS:Eu2+,Dy3+ 荧光粉在 468 nm 激发下在 620 nm 处表现出强烈的红色光致发光，与商用 SrAl2O4:Eu2+,Dy3+ 在紫外线照射下的发射强度相匹配。值得注意的是，这种材料表现出多模态发光，包括红色持久发光以及可调光/热/机械刺激发光。这些特性使得 SrZnOS:Eu2+,Dy3+ 在安全信息存储和先进显示领域的应用极具前景。我们的工作建立了通过光电化学电池工程操纵氧化物主体中的多模式发光的设计原则，为下一代功能材料开辟了道路。</w:t>
      </w:r>
    </w:p>
    <w:p>
      <w:pPr>
        <w:spacing w:before="0" w:after="200" w:lineRule="auto" w:line="276"/>
      </w:pPr>
      <w:r>
        <w:rPr>
          <w:b/>
        </w:rPr>
        <w:t xml:space="preserve">Abstract (EN): </w:t>
      </w:r>
      <w:r>
        <w:t>Rational design of Eu2+-activated red phosphors under visible light excitation remains a critical challenge in various fields such as photonics, optoelectronics, and white-light-emitting diodes. Herein, we engineer high density traps with a double metastable state in the SrZnOS matrix by constructing the reversible infinitesimal photoelectrochemical layered micro-unit battery structure via co-doping Eu2+ and Dy3+ ions for achieving robust red luminescence. The resulting SrZnOS:Eu2+,Dy3+ phosphor exhibits intense red photoluminescence at 620 nm under 468 nm excitation, matching the emission intensity of commercial SrAl2O4:Eu2+,Dy3+ under UV irradiation. Notably, this material exhibits multi-modal luminescence, encompassing red persistent luminescence along with tunable photo/thermo/mechano-stimulated luminescence. These properties make SrZnOS:Eu2+,Dy3+ highly promising for applications in secure information storage and advanced displays. Our work establishes a design principle for manipulating multi-mode luminescence in oxide hosts through photoelectrochemical cell engineering, opening avenues for next-generation functional materials.</w:t>
      </w:r>
    </w:p>
    <w:p>
      <w:pPr>
        <w:spacing w:before="120" w:after="120"/>
      </w:pPr>
      <w:r>
        <w:rPr>
          <w:sz w:val="18"/>
        </w:rPr>
        <w:t>——————————————————————————————————————————————————————————————————————</w:t>
      </w:r>
    </w:p>
    <w:p>
      <w:pPr>
        <w:spacing w:before="160" w:after="40" w:line="240" w:lineRule="auto"/>
      </w:pPr>
      <w:r>
        <w:rPr>
          <w:b/>
        </w:rPr>
        <w:t xml:space="preserve">[209] </w:t>
      </w:r>
      <w:hyperlink r:id="rId771">
        <w:r>
          <w:rPr>
            <w:color w:val="1155CC"/>
            <w:u w:val="single"/>
          </w:rPr>
          <w:t>每日简报：胸腺再生可以延缓衰老吗？</w:t>
        </w:r>
      </w:hyperlink>
    </w:p>
    <w:p>
      <w:pPr>
        <w:spacing w:before="0" w:after="80"/>
      </w:pPr>
      <w:r>
        <w:rPr>
          <w:i/>
          <w:sz w:val="20"/>
        </w:rPr>
        <w:t>EN: Daily briefing: Can regrowing the thymus slow down ageing?</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772">
        <w:r>
          <w:rPr>
            <w:color w:val="1155CC"/>
            <w:u w:val="single"/>
          </w:rPr>
          <w:t>10.1038/d41586-026-02222-z</w:t>
        </w:r>
      </w:hyperlink>
    </w:p>
    <w:p>
      <w:pPr>
        <w:spacing w:before="0" w:after="120"/>
      </w:pPr>
      <w:r>
        <w:rPr>
          <w:b/>
        </w:rPr>
        <w:t xml:space="preserve">Notes: </w:t>
      </w:r>
      <w:r>
        <w:t>abstract_source=nature_html</w:t>
      </w:r>
    </w:p>
    <w:p>
      <w:pPr>
        <w:spacing w:before="0" w:after="80" w:lineRule="auto" w:line="276"/>
      </w:pPr>
      <w:r>
        <w:rPr>
          <w:b/>
        </w:rPr>
        <w:t xml:space="preserve">摘要（ZH）: </w:t>
      </w:r>
      <w:r>
        <w:t>重新生长特殊免疫器官的治疗也有助于预防癌症。此外，还揭示了在恒星中发现的一种四碳糖以及一位重要的玛雅数学家的名字。重新生长特殊免疫器官的治疗也有助于预防癌症。此外，还揭示了在恒星中发现的一种四碳糖以及一位重要的玛雅数学家的名字。</w:t>
      </w:r>
    </w:p>
    <w:p>
      <w:pPr>
        <w:spacing w:before="0" w:after="200" w:lineRule="auto" w:line="276"/>
      </w:pPr>
      <w:r>
        <w:rPr>
          <w:b/>
        </w:rPr>
        <w:t xml:space="preserve">Abstract (EN): </w:t>
      </w:r>
      <w:r>
        <w:t>Treatments to regrow the peculiar immune organ could also help to prevent cancer. Plus, a four-carbon sugar found in the stars and the name of an important Maya mathematician revealed. Treatments to regrow the peculiar immune organ could also help to prevent cancer. Plus, a four-carbon sugar found in the stars and the name of an important Maya mathematician revealed.</w:t>
      </w:r>
    </w:p>
    <w:p>
      <w:pPr>
        <w:spacing w:before="120" w:after="120"/>
      </w:pPr>
      <w:r>
        <w:rPr>
          <w:sz w:val="18"/>
        </w:rPr>
        <w:t>——————————————————————————————————————————————————————————————————————</w:t>
      </w:r>
    </w:p>
    <w:p>
      <w:pPr>
        <w:spacing w:before="160" w:after="40" w:line="240" w:lineRule="auto"/>
      </w:pPr>
      <w:r>
        <w:rPr>
          <w:b/>
        </w:rPr>
        <w:t xml:space="preserve">[210] </w:t>
      </w:r>
      <w:hyperlink r:id="rId773">
        <w:r>
          <w:rPr>
            <w:color w:val="1155CC"/>
            <w:u w:val="single"/>
          </w:rPr>
          <w:t>隐藏在上地幔X-不连续面中的俯冲沉积物</w:t>
        </w:r>
      </w:hyperlink>
    </w:p>
    <w:p>
      <w:pPr>
        <w:spacing w:before="0" w:after="80"/>
      </w:pPr>
      <w:r>
        <w:rPr>
          <w:i/>
          <w:sz w:val="20"/>
        </w:rPr>
        <w:t>EN: Subducted sediments hidden in the upper-mantle X-discontinuities</w:t>
      </w:r>
    </w:p>
    <w:p>
      <w:pPr>
        <w:spacing w:before="0" w:after="120"/>
      </w:pPr>
      <w:r>
        <w:rPr>
          <w:b/>
        </w:rPr>
        <w:t xml:space="preserve">Source: </w:t>
      </w:r>
      <w:r>
        <w:t>Earth and environmental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隔离的沉积物驱动了地幔化学异质性和丰富的火山活动，但它们的深部地幔探测和地球物理解释仍然是个谜。在这里，我们通过对各种沉积物成分以及洋中脊玄武岩和叶绿岩进行地震速度建模，并与地震观测结果进行比较，确定与沉积物相关的过程是上地幔 X 不连续性的一个可行的贡献者。 250-350 km 深度的沉积物形成的利伯曼石 (KAlSi3O8) 和石英石 (SiO2) 可以产生大量的地震异常（剪切波和压缩波速度分别增加 4.0-19.4% 和 3.2-15.3%），而对沉积物成分变化的敏感性极小。这些结果表明，上地幔 X 不连续面可能代表瞬态相变窗口，俯冲沉积物通过该窗口迁移并变得可通过地震探测。一旦这些沉积物被上涌的地幔柱夹带，它们可能会产生在源自与 X 不连续性相关的热点的海岛玄武岩中观察到的独特的富集地球化学特征。</w:t>
      </w:r>
    </w:p>
    <w:p>
      <w:pPr>
        <w:spacing w:before="0" w:after="200" w:lineRule="auto" w:line="276"/>
      </w:pPr>
      <w:r>
        <w:rPr>
          <w:b/>
        </w:rPr>
        <w:t xml:space="preserve">Abstract (EN): </w:t>
      </w:r>
      <w:r>
        <w:t>Sequestered sediments drive mantle chemical heterogeneity and enriched volcanism, yet their deep-mantle detection and geophysical interpretation remain enigmatic. Here, we identify sediment-related processes as a viable contributor to the upper-mantle X-discontinuities, through seismic velocity modeling of various sediment compositions coupled with mid-ocean ridge basalts and pyrolite in comparison to seismological observations. The sediment-derived formation of liebermannite (KAlSi3O8) and stishovite (SiO2) at 250–350 km depths can generate substantial seismic anomalies (4.0–19.4% and 3.2–15.3% increases in shear and compressional wave velocities, respectively), with minimal sensitivity to sediment compositional variations. These results suggest that the upper-mantle X-discontinuities may represent transient phase-transition windows through which subducted sediments migrate and become seismically detectable. Once these sediments are entrained by upwelling mantle plumes, they may yield distinct enriched geochemical signatures observed in ocean island basalts originating from hotspots associated with the X-discontinuities.</w:t>
      </w:r>
    </w:p>
    <w:p>
      <w:pPr>
        <w:spacing w:before="120" w:after="120"/>
      </w:pPr>
      <w:r>
        <w:rPr>
          <w:sz w:val="18"/>
        </w:rPr>
        <w:t>——————————————————————————————————————————————————————————————————————</w:t>
      </w:r>
    </w:p>
    <w:p>
      <w:pPr>
        <w:spacing w:before="160" w:after="40" w:line="240" w:lineRule="auto"/>
      </w:pPr>
      <w:r>
        <w:rPr>
          <w:b/>
        </w:rPr>
        <w:t xml:space="preserve">[211] </w:t>
      </w:r>
      <w:hyperlink r:id="rId774">
        <w:r>
          <w:rPr>
            <w:color w:val="1155CC"/>
            <w:u w:val="single"/>
          </w:rPr>
          <w:t>鉴定 Cu 3– x P 和二苄基二硒化物形成 Cu 3 PSe 4 纳米颗粒反应中的无序中间体</w:t>
        </w:r>
      </w:hyperlink>
    </w:p>
    <w:p>
      <w:pPr>
        <w:spacing w:before="0" w:after="80"/>
      </w:pPr>
      <w:r>
        <w:rPr>
          <w:i/>
          <w:sz w:val="20"/>
        </w:rPr>
        <w:t>EN: Identifying Disordered Intermediates in the Reaction of Cu 3– x P and Dibenzyl Diselenide to form Cu 3 PSe 4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75">
        <w:r>
          <w:rPr>
            <w:color w:val="1155CC"/>
            <w:u w:val="single"/>
          </w:rPr>
          <w:t>10.1021/jacs.6c01410</w:t>
        </w:r>
      </w:hyperlink>
    </w:p>
    <w:p>
      <w:pPr>
        <w:spacing w:before="0" w:after="120"/>
      </w:pPr>
      <w:r>
        <w:rPr>
          <w:b/>
        </w:rPr>
        <w:t xml:space="preserve">Notes: </w:t>
      </w:r>
      <w:r>
        <w:t>abstract_source=pubmed</w:t>
      </w:r>
    </w:p>
    <w:p>
      <w:pPr>
        <w:spacing w:before="0" w:after="80" w:lineRule="auto" w:line="276"/>
      </w:pPr>
      <w:r>
        <w:rPr>
          <w:b/>
        </w:rPr>
        <w:t xml:space="preserve">摘要（ZH）: </w:t>
      </w:r>
      <w:r>
        <w:t>详细了解三元纳米颗粒 (TNP) 的形成对于优化合理合成和开发新 TNP 的合成路线至关重要。在此，我们探索了 Cu3-xP 和二苄基二硒化物 (Bn2Se2) 反应形成胶体 Cu3PSe4 TNPs。温度分辨 X 射线散射（XRD 和 PDF）、电子显微镜（TEM 和 STEM）和光谱（EDS、EELS、XPS 和 MAS NMR）表明 Cu3-xP 通过 Se 的表面配位反应导致碎裂，然后重排为 Cu-Se 二元相，在此期间所有明显的结晶含 P 相通过 XRD 消失。然而，使用 STEM-EDS 和 XPS 观察到固相中部分氧化的 P，其中发现 P 在 Cu3PSe4 形成之前预先形成 P-Se 键。结合使用从同步加速器总散射数据获得的 31P MAS NMR 和 PDF 分析，在含有 P 阳离子取代 (PCu)（表示为 (Cu,P)-Se）的中间 Cu-Se 相中鉴定出 [PSe4]3-四面体结构单元中的 P-Se 键，该相组装成 Cu3PSe4。我们假设这些中间体化合物具有亚化学计量、富含空位的结构和显着的 Cu 无序性，对于获取 Cu3PSe4 非常重要，为复杂的 TNP 合成提供了新的见解。我们通过编写合理的伪元素步骤 (PESteps) 来总结我们的发现，其中 Cu3-xP 前体在生成最终 Cu3PSe4 产物的过程中转化为含有 P 的 Cu-Se 相的较小碎片。该系统的其他有趣方面包括使用 Bn2Se2 作为易于监测的探针</w:t>
      </w:r>
    </w:p>
    <w:p>
      <w:pPr>
        <w:spacing w:before="0" w:after="200" w:lineRule="auto" w:line="276"/>
      </w:pPr>
      <w:r>
        <w:rPr>
          <w:b/>
        </w:rPr>
        <w:t xml:space="preserve">Abstract (EN): </w:t>
      </w:r>
      <w:r>
        <w:t>Developing a detailed understanding of ternary nanoparticle (TNP) formation is essential for their optimized rational synthesis and development of synthetic routes for new TNPs. Herein, we explore the reaction of Cu3-xP and dibenzyl diselenide (Bn2Se2) to form colloidal Cu3PSe4 TNPs. Temperature-resolved X-ray scattering (XRD and PDF), electron microscopy (TEM and STEM), and spectroscopy (EDS, EELS, XPS, and MAS NMR) reveal that Cu3-xP reacts by surface coordination of Se leading to fragmentation followed by rearrangement to Cu-Se binary phases, during which all obvious crystalline P-containing phases disappear via XRD. However, partially oxidized P in solid phases was observed using STEM-EDS and XPS, in which P is found to preform P-Se bonds prior to Cu3PSe4 formation. Using a combination of 31P MAS NMR and PDF analysis obtained from synchrotron total scattering data, P-Se bonds in [PSe4]3- tetrahedral building blocks were identified within intermediate Cu-Se phases containing P cation substitution (PCu), denoted (Cu,P)-Se, that assemble into Cu3PSe4. We hypothesize that these intermediate compounds with their substoichiometric, vacancy-rich structures and significant Cu disorder are important for accessing Cu3PSe4─offering a new insight into complex TNP syntheses. We summarize our findings by writing plausible pseudoelementary steps (PESteps) in which the Cu3-xP precursor converts to smaller fragments of Cu-Se phases containing P en route to the final Cu3PSe4 product. Additional interesting aspects of this system include the use of Bn2Se2 as a readily monitorable probe for the reaction and the Se-P bond formation that facilitates Cu-P bond cleavage in an overall 8-electron redox reaction involving P3- and 4 Se0. The results obtained lay the groundwork for future mechanistic investigations, notably kinetics studies working from the PESteps aimed ultimately at the rational design and synthesis of complex ternary pnictogen chalcogenide nanoparticles.</w:t>
      </w:r>
    </w:p>
    <w:p>
      <w:pPr>
        <w:spacing w:before="120" w:after="120"/>
      </w:pPr>
      <w:r>
        <w:rPr>
          <w:sz w:val="18"/>
        </w:rPr>
        <w:t>——————————————————————————————————————————————————————————————————————</w:t>
      </w:r>
    </w:p>
    <w:p>
      <w:pPr>
        <w:spacing w:before="160" w:after="40" w:line="240" w:lineRule="auto"/>
      </w:pPr>
      <w:r>
        <w:rPr>
          <w:b/>
        </w:rPr>
        <w:t xml:space="preserve">[212] </w:t>
      </w:r>
      <w:hyperlink r:id="rId776">
        <w:r>
          <w:rPr>
            <w:color w:val="1155CC"/>
            <w:u w:val="single"/>
          </w:rPr>
          <w:t>供体-手性桥-受体复合物中手性诱导的自旋选择性的类旋转面机制</w:t>
        </w:r>
      </w:hyperlink>
    </w:p>
    <w:p>
      <w:pPr>
        <w:spacing w:before="0" w:after="80"/>
      </w:pPr>
      <w:r>
        <w:rPr>
          <w:i/>
          <w:sz w:val="20"/>
        </w:rPr>
        <w:t>EN: Spinterface-like Mechanism of the Chirality-Induced Spin Selectivity in Donor–Chiral Bridge–Acceptor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77">
        <w:r>
          <w:rPr>
            <w:color w:val="1155CC"/>
            <w:u w:val="single"/>
          </w:rPr>
          <w:t>10.1021/jacs.6c07331</w:t>
        </w:r>
      </w:hyperlink>
    </w:p>
    <w:p>
      <w:pPr>
        <w:spacing w:before="0" w:after="120"/>
      </w:pPr>
      <w:r>
        <w:rPr>
          <w:b/>
        </w:rPr>
        <w:t xml:space="preserve">Notes: </w:t>
      </w:r>
      <w:r>
        <w:t>abstract_source=pubmed</w:t>
      </w:r>
    </w:p>
    <w:p>
      <w:pPr>
        <w:spacing w:before="0" w:after="80" w:lineRule="auto" w:line="276"/>
      </w:pPr>
      <w:r>
        <w:rPr>
          <w:b/>
        </w:rPr>
        <w:t xml:space="preserve">摘要（ZH）: </w:t>
      </w:r>
      <w:r>
        <w:t>手性诱导自旋选择性 (CISS) 效应已被用来解释最近关于手性分子和非手性分子之间时间分辨 EPR 信号差异的报道。然而，这些差异的微观起源及其与 CISS 的联系仍然存在争议，特别是因为这些系统缺乏金属界面。在这里，我们引入了一种分子内自旋界面样机制，该机制自然出现在供体-手性桥-受体（D-χB-A）复合物中，并定量再现了时间分辨 EPR 研究中实验报告的观察到的自旋极化。在我们的双电子 Lindblad 模型中，穿过手性桥的光激发电荷转移电子与剩余的供体电子交换，其充当类似于电极表面上的感应磁矩的局域磁矩。由此产生的过桥充电电流在供体-桥界面处产生有效的螺线管场，打破自旋简并性和方向对称性，从而实现自旋选择性传输，而无需在桥上引起固有的自旋轨道耦合。我们表明，电流感应场、供体热化（打破时间反转对称性）和桥自旋混合之间的相互作用，在实际实验条件和电荷转移时间尺度上产生了百分之几十的极化，与报道的三联体和 DNA 发夹中的 CISS 特征相匹配。通过明确解决对螺线管耦合强度、温度和自旋混合速率的依赖性，该模型确定了内部自旋界面的状态</w:t>
      </w:r>
    </w:p>
    <w:p>
      <w:pPr>
        <w:spacing w:before="0" w:after="200" w:lineRule="auto" w:line="276"/>
      </w:pPr>
      <w:r>
        <w:rPr>
          <w:b/>
        </w:rPr>
        <w:t xml:space="preserve">Abstract (EN): </w:t>
      </w:r>
      <w:r>
        <w:t>The chirality-induced spin selectivity (CISS) effect has been invoked to explain recent reports of differences in the time-resolved EPR signals between chiral and achiral molecules. However, the microscopic origin of these differences and their connection to CISS remain contested, particularly since these systems lack a metal interface. Here, we introduce an intramolecular spinterface-like mechanism that naturally arises within donor-chiral bridge-acceptor (D-χB-A) complexes and quantitatively reproduces experimentally reported observed spin polarization in time-resolved EPR studies. In our two-electron Lindblad model, the photoexcited charge-transfer electron traversing the chiral bridge exchanges with the residual donor electron, which acts as a localized magnetic moment analogous to an induced magnetic moment on an electrode surface. The resulting through-bridge charge current produces an effective solenoidal field at the donor-bridge interface, breaking spin degeneracy and directional symmetry, thus enabling spin-selective transport without invoking intrinsic spin-orbit coupling on the bridge. We show that the interplay among this current-induced field, donor thermalization (which breaks time-reversal symmetry), and bridge spin mixing yields tens-of-percent polarization over realistic experimental conditions and charge-transfer time scales, matching reported CISS signatures in triads and DNA hairpins. By explicitly resolving the dependence on solenoidal coupling strength, temperature, and spin-mixing rates, the model identifies the regime in which internal spinterfaces can generate robust CISS-like spin filtering. These findings demonstrate that CISS-like signals in isolated D-χB-A complexes are fully compatible with a spinterface mechanism, providing a unified conceptual framework for interpreting both device-based and molecule-internal CISS platforms.</w:t>
      </w:r>
    </w:p>
    <w:p>
      <w:pPr>
        <w:spacing w:before="120" w:after="120"/>
      </w:pPr>
      <w:r>
        <w:rPr>
          <w:sz w:val="18"/>
        </w:rPr>
        <w:t>——————————————————————————————————————————————————————————————————————</w:t>
      </w:r>
    </w:p>
    <w:p>
      <w:pPr>
        <w:spacing w:before="160" w:after="40" w:line="240" w:lineRule="auto"/>
      </w:pPr>
      <w:r>
        <w:rPr>
          <w:b/>
        </w:rPr>
        <w:t xml:space="preserve">[213] </w:t>
      </w:r>
      <w:hyperlink r:id="rId778">
        <w:r>
          <w:rPr>
            <w:color w:val="1155CC"/>
            <w:u w:val="single"/>
          </w:rPr>
          <w:t>异构充电模式及其对跨车辆类别的城市电网负载的影响：可解释的机器学习分析</w:t>
        </w:r>
      </w:hyperlink>
    </w:p>
    <w:p>
      <w:pPr>
        <w:spacing w:before="0" w:after="80"/>
      </w:pPr>
      <w:r>
        <w:rPr>
          <w:i/>
          <w:sz w:val="20"/>
        </w:rPr>
        <w:t>EN: The heterogeneous charging patterns and their impacts on urban grid load across vehicle categories: An interpretable machine learning analysis</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779">
        <w:r>
          <w:rPr>
            <w:color w:val="1155CC"/>
            <w:u w:val="single"/>
          </w:rPr>
          <w:t>基于混合注意力的 Seq2Seq 框架，用于集成气象因素和价格弹性的电动汽车充电负荷预测</w:t>
        </w:r>
      </w:hyperlink>
    </w:p>
    <w:p>
      <w:pPr>
        <w:spacing w:before="0" w:after="80"/>
      </w:pPr>
      <w:r>
        <w:rPr>
          <w:i/>
          <w:sz w:val="20"/>
        </w:rPr>
        <w:t>EN: A hybrid attention-based Seq2Seq framework for EV charging load forecasting integrating meteorological factors and price elasticity</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780">
        <w:r>
          <w:rPr>
            <w:color w:val="1155CC"/>
            <w:u w:val="single"/>
          </w:rPr>
          <w:t>考虑生态可持续性的不平衡配电网分布式能源电动汽车充电站随机规划框架</w:t>
        </w:r>
      </w:hyperlink>
    </w:p>
    <w:p>
      <w:pPr>
        <w:spacing w:before="0" w:after="80"/>
      </w:pPr>
      <w:r>
        <w:rPr>
          <w:i/>
          <w:sz w:val="20"/>
        </w:rPr>
        <w:t>EN: Stochastic planning framework for EV charging stations with distributed energy resources in unbalanced distribution networks considering ecological sustainability</w:t>
      </w:r>
    </w:p>
    <w:p>
      <w:pPr>
        <w:spacing w:before="0" w:after="120"/>
      </w:pPr>
      <w:r>
        <w:rPr>
          <w:b/>
        </w:rPr>
        <w:t xml:space="preserve">Source: </w:t>
      </w:r>
      <w:r>
        <w:t>ScienceDirect Publication: Applied Energy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[216] </w:t>
      </w:r>
      <w:hyperlink r:id="rId781">
        <w:r>
          <w:rPr>
            <w:color w:val="1155CC"/>
            <w:u w:val="single"/>
          </w:rPr>
          <w:t>用于超灵敏 SERS 传感器的电场设计双金属 MXene</w:t>
        </w:r>
      </w:hyperlink>
    </w:p>
    <w:p>
      <w:pPr>
        <w:spacing w:before="0" w:after="80"/>
      </w:pPr>
      <w:r>
        <w:rPr>
          <w:i/>
          <w:sz w:val="20"/>
        </w:rPr>
        <w:t>EN: Electric field-engineered bimetallic MXene for ultra-sensitive SERS sensors</w:t>
      </w:r>
    </w:p>
    <w:p>
      <w:pPr>
        <w:spacing w:before="0" w:after="120"/>
      </w:pPr>
      <w:r>
        <w:rPr>
          <w:b/>
        </w:rPr>
        <w:t xml:space="preserve">Source: </w:t>
      </w:r>
      <w:r>
        <w:t>Matter</w:t>
      </w:r>
      <w:r>
        <w:t xml:space="preserve">    </w:t>
      </w:r>
      <w:r>
        <w:rPr>
          <w:b/>
        </w:rPr>
        <w:t xml:space="preserve">Pub date: </w:t>
      </w:r>
      <w:r>
        <w:t>2026-07-14 00:00:00+00:00</w:t>
      </w:r>
      <w:r>
        <w:t xml:space="preserve">    </w:t>
      </w:r>
      <w:r>
        <w:rPr>
          <w:b/>
        </w:rPr>
        <w:t xml:space="preserve">DOI: </w:t>
      </w:r>
      <w:hyperlink r:id="rId782">
        <w:r>
          <w:rPr>
            <w:color w:val="1155CC"/>
            <w:u w:val="single"/>
          </w:rPr>
          <w:t>10.1016/j.matt.2026.102921</w:t>
        </w:r>
      </w:hyperlink>
    </w:p>
    <w:p>
      <w:pPr>
        <w:spacing w:before="0" w:after="120"/>
      </w:pPr>
      <w:r>
        <w:rPr>
          <w:b/>
        </w:rPr>
        <w:t xml:space="preserve">Notes: </w:t>
      </w:r>
      <w:r>
        <w:t>abstract_source=rss_cell</w:t>
      </w:r>
    </w:p>
    <w:p>
      <w:pPr>
        <w:spacing w:before="0" w:after="80" w:lineRule="auto" w:line="276"/>
      </w:pPr>
      <w:r>
        <w:rPr>
          <w:b/>
        </w:rPr>
        <w:t xml:space="preserve">摘要（ZH）: </w:t>
      </w:r>
      <w:r>
        <w:t>通过对双金属 Ti2TaC2 MXene 施加外部电场，该工作重建了近费米电子结构，同时增强了光电诱导的电荷转移和等离子体相关的电磁增强。电门控 Ti2TaC2 SERS 基底可实现低至 10−13 M 的 R6G 检测，与单独的光学激发相比实现了三个数量级的改进，并为高灵敏度非贵金属分子传感提供了一条可调途径。</w:t>
      </w:r>
    </w:p>
    <w:p>
      <w:pPr>
        <w:spacing w:before="0" w:after="200" w:lineRule="auto" w:line="276"/>
      </w:pPr>
      <w:r>
        <w:rPr>
          <w:b/>
        </w:rPr>
        <w:t xml:space="preserve">Abstract (EN): </w:t>
      </w:r>
      <w:r>
        <w:t>By applying an external electric field to bimetallic Ti2TaC2 MXenes, this work reconstructs the near-Fermi electronic structure and simultaneously enhances the photo-electric-induced charge transfer and plasmon-associated electromagnetic enhancement. The electrically gated Ti2TaC2 SERS substrate enables R6G detection down to 10−13 M, achieving a three-orders-of-magnitude improvement over the optical excitation alone and providing a tunable route toward high-sensitivity, non-noble-metal molecular sensing.</w:t>
      </w:r>
    </w:p>
    <w:p>
      <w:pPr>
        <w:spacing w:before="120" w:after="120"/>
      </w:pPr>
      <w:r>
        <w:rPr>
          <w:sz w:val="18"/>
        </w:rPr>
        <w:t>——————————————————————————————————————————————————————————————————————</w:t>
      </w:r>
    </w:p>
    <w:p>
      <w:pPr>
        <w:spacing w:before="160" w:after="40" w:line="240" w:lineRule="auto"/>
      </w:pPr>
      <w:r>
        <w:rPr>
          <w:b/>
        </w:rPr>
        <w:t xml:space="preserve">[217] </w:t>
      </w:r>
      <w:hyperlink r:id="rId783">
        <w:r>
          <w:rPr>
            <w:color w:val="1155CC"/>
            <w:u w:val="single"/>
          </w:rPr>
          <w:t>2000年至2019年，全球城市绿化大幅减少了过早死亡，但主要发生在高收入国家</w:t>
        </w:r>
      </w:hyperlink>
    </w:p>
    <w:p>
      <w:pPr>
        <w:spacing w:before="0" w:after="80"/>
      </w:pPr>
      <w:r>
        <w:rPr>
          <w:i/>
          <w:sz w:val="20"/>
        </w:rPr>
        <w:t>EN: Global urban greening substantially reduced premature deaths from 2000 to 2019, but mostly in high-income countries</w:t>
      </w:r>
    </w:p>
    <w:p>
      <w:pPr>
        <w:spacing w:before="0" w:after="120"/>
      </w:pPr>
      <w:r>
        <w:rPr>
          <w:b/>
        </w:rPr>
        <w:t xml:space="preserve">Source: </w:t>
      </w:r>
      <w:r>
        <w:t>One Earth</w:t>
      </w:r>
      <w:r>
        <w:t xml:space="preserve">    </w:t>
      </w:r>
      <w:r>
        <w:rPr>
          <w:b/>
        </w:rPr>
        <w:t xml:space="preserve">Pub date: </w:t>
      </w:r>
      <w:r>
        <w:t>2026-07-14 00:00:00+00:00</w:t>
      </w:r>
      <w:r>
        <w:t xml:space="preserve">    </w:t>
      </w:r>
      <w:r>
        <w:rPr>
          <w:b/>
        </w:rPr>
        <w:t xml:space="preserve">DOI: </w:t>
      </w:r>
      <w:hyperlink r:id="rId784">
        <w:r>
          <w:rPr>
            <w:color w:val="1155CC"/>
            <w:u w:val="single"/>
          </w:rPr>
          <w:t>10.1016/j.oneear.2026.101770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785">
        <w:r>
          <w:rPr>
            <w:color w:val="1155CC"/>
            <w:u w:val="single"/>
          </w:rPr>
          <w:t>Au 纳米颗粒上 SrTiO 3 覆盖层上甲烷的光催化氧化偶联</w:t>
        </w:r>
      </w:hyperlink>
    </w:p>
    <w:p>
      <w:pPr>
        <w:spacing w:before="0" w:after="80"/>
      </w:pPr>
      <w:r>
        <w:rPr>
          <w:i/>
          <w:sz w:val="20"/>
        </w:rPr>
        <w:t>EN: Photocatalytic Oxidative Coupling of Methane over SrTiO 3 Overlayers on Au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86">
        <w:r>
          <w:rPr>
            <w:color w:val="1155CC"/>
            <w:u w:val="single"/>
          </w:rPr>
          <w:t>10.1021/jacs.6c01992</w:t>
        </w:r>
      </w:hyperlink>
    </w:p>
    <w:p>
      <w:pPr>
        <w:spacing w:before="0" w:after="120"/>
      </w:pPr>
      <w:r>
        <w:rPr>
          <w:b/>
        </w:rPr>
        <w:t xml:space="preserve">Notes: </w:t>
      </w:r>
      <w:r>
        <w:t>abstract_source=pubmed</w:t>
      </w:r>
    </w:p>
    <w:p>
      <w:pPr>
        <w:spacing w:before="0" w:after="80" w:lineRule="auto" w:line="276"/>
      </w:pPr>
      <w:r>
        <w:rPr>
          <w:b/>
        </w:rPr>
        <w:t xml:space="preserve">摘要（ZH）: </w:t>
      </w:r>
      <w:r>
        <w:t>甲烷光催化氧化偶联 (OCM) 是获取多碳 (C2+) 烃的常用方法。然而，甲基自由基的动力学缓慢的C-C偶联阻碍了整个甲烷偶联反应并导致过度氧化副反应。在这里，我们报道了基于 SrTiO3 支撑、SrTiO3 覆盖层涂覆的 Au 纳米粒子 (Au@SrTiO3) 的光催化 OCM。 SrTiO3 载体和覆盖层捕获光生空穴以激活甲烷 C-H 键。甲基自由基中间体之间的 C-C 耦合具有速率限制，并且与 Au 纳米粒子 (NP) 上的 SrTiO3 覆盖层相比，选择性提高了 93%。 Au@SrTiO3催化剂稳定时间超过300小时，C2H6的形成率为155 μmol h-1，是没有SrTiO3覆盖层的Au/SrTiO3的7倍。通过增加 Au@SrTiO3 的负载量以收集更多的光，活性提高至 1050 μmol h-1，C2+ 选择性为 94%。通过阐明 C-C 偶联位点的化学性质，这些品质因数可与 OCM 基准光催化剂进行比较。</w:t>
      </w:r>
    </w:p>
    <w:p>
      <w:pPr>
        <w:spacing w:before="0" w:after="200" w:lineRule="auto" w:line="276"/>
      </w:pPr>
      <w:r>
        <w:rPr>
          <w:b/>
        </w:rPr>
        <w:t xml:space="preserve">Abstract (EN): </w:t>
      </w:r>
      <w:r>
        <w:t>Photocatalytic oxidative coupling of methane (OCM) is a prevailing method to access multicarbon (C2+) hydrocarbons. However, the kinetically slow C-C coupling of the methyl radical hinders the overall methane coupling reaction and leads to overoxidation side reactions. Here we report photocatalytic OCM over SrTiO3 supported, SrTiO3 overlayer coated Au nanoparticles (Au@SrTiO3). The SrTiO3 support and overlayers capture photogenerated holes to activate the methane C-H bond. C-C coupling between the methyl radical intermediate is rate limiting and occurs with an improved selectivity of 93% over the SrTiO3 overlayers on Au nanoparticles (NPs). The Au@SrTiO3 catalyst is stable for more than 300 h, affording C2H6 with a formation rate of 155 μmol h-1, 7 times that of Au/SrTiO3 without SrTiO3 overlayers. The activity is improved to 1050 μmol h-1 with a C2+ selectivity of 94% by increasing Au@SrTiO3 loading to harvest more light. These figures of merits are comparable with the benchmarking photocatalysts for OCM by elucidating the chemistry of C-C coupling sites.</w:t>
      </w:r>
    </w:p>
    <w:p>
      <w:pPr>
        <w:spacing w:before="120" w:after="120"/>
      </w:pPr>
      <w:r>
        <w:rPr>
          <w:sz w:val="18"/>
        </w:rPr>
        <w:t>——————————————————————————————————————————————————————————————————————</w:t>
      </w:r>
    </w:p>
    <w:p>
      <w:pPr>
        <w:spacing w:before="160" w:after="40" w:line="240" w:lineRule="auto"/>
      </w:pPr>
      <w:r>
        <w:rPr>
          <w:b/>
        </w:rPr>
        <w:t xml:space="preserve">[219] </w:t>
      </w:r>
      <w:hyperlink r:id="rId787">
        <w:r>
          <w:rPr>
            <w:color w:val="1155CC"/>
            <w:u w:val="single"/>
          </w:rPr>
          <w:t>通过以硼为中心的碳硼烷基自由基形成可扩展的 B-B 单键：用于硼中子捕获治疗应用的硼基碳硼烷</w:t>
        </w:r>
      </w:hyperlink>
    </w:p>
    <w:p>
      <w:pPr>
        <w:spacing w:before="0" w:after="80"/>
      </w:pPr>
      <w:r>
        <w:rPr>
          <w:i/>
          <w:sz w:val="20"/>
        </w:rPr>
        <w:t>EN: Scalable B–B Single-Bond Formation via Boron-Centered Carboranyl Radicals: Boryl-Carborane for Boron Neutron Capture Therapy Applications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88">
        <w:r>
          <w:rPr>
            <w:color w:val="1155CC"/>
            <w:u w:val="single"/>
          </w:rPr>
          <w:t>10.1021/jacs.6c09199</w:t>
        </w:r>
      </w:hyperlink>
    </w:p>
    <w:p>
      <w:pPr>
        <w:spacing w:before="0" w:after="120"/>
      </w:pPr>
      <w:r>
        <w:rPr>
          <w:b/>
        </w:rPr>
        <w:t xml:space="preserve">Notes: </w:t>
      </w:r>
      <w:r>
        <w:t>abstract_source=pubmed</w:t>
      </w:r>
    </w:p>
    <w:p>
      <w:pPr>
        <w:spacing w:before="0" w:after="80" w:lineRule="auto" w:line="276"/>
      </w:pPr>
      <w:r>
        <w:rPr>
          <w:b/>
        </w:rPr>
        <w:t xml:space="preserve">摘要（ZH）: </w:t>
      </w:r>
      <w:r>
        <w:t>几十年来，人们对硼化学医学应用的兴趣主要集中在用于癌症治疗的硼中子捕获疗法（BNCT）方法，这是一种变革性的二元靶向放射治疗方式，但由于缺乏高性能硼输送剂，其全球临床转化受到限制。二十面体碳硼烷由于其特殊的硼密度、优异的代谢稳定性和独特的3D结构而在BNCT药物的开发方面具有无与伦比的潜力，但其生物医学应用受到固有的超疏水性、较差的肿瘤靶向性和有限的治疗诊断可修改性的阻碍。在此，我们报告了一类硼基碳硼烷作为多功能含硼结构单元，可直接解决这些长期存在的局限性。悬垂的硼烷部分很容易转化为 B(OH)2 以实现肿瘤靶向和增强水溶性，并转化为 BF3K 以实现 18F-PET 诊断整合。为了实现规模化合成，我们开发了基于电子供体-受体（EDA）复合物的策略，用于从 N-羟基邻苯二甲酰亚胺（NHPI）碳硼烷基酯中可控生成以硼为中心的碳硼烷基自由基。这种无添加剂的室温光化学策略能够实现以硼为中心的碳硼烷基自由基介导的不对称 B-B 键构建，并通过连续流系统实现十克规模的生产。机理研究证实了 EDA 复合物介导的自由基途径。体外和体内研究表明，这些硼基碳硼烷表现出优异的生物安全性、良好的水性</w:t>
      </w:r>
    </w:p>
    <w:p>
      <w:pPr>
        <w:spacing w:before="0" w:after="200" w:lineRule="auto" w:line="276"/>
      </w:pPr>
      <w:r>
        <w:rPr>
          <w:b/>
        </w:rPr>
        <w:t xml:space="preserve">Abstract (EN): </w:t>
      </w:r>
      <w:r>
        <w:t>For many decades, interest in the medical application of boron chemistry focuses mainly on the boron neutron capture therapy (BNCT) approach to cancer treatment, which is a transformative binary-targeted radiotherapeutic modality, yet its global clinical translation is limited by the lack of high-performance boron delivery agents. Icosahedral carboranes hold unparalleled potential for the development of BNCT agents due to their exceptional boron density, excellent metabolic stability, and unique 3D architecture, but their biomedical application is hampered by intrinsic superhydrophobicity, poor tumor targeting, and limited theragnostic modifiability. Herein, we report a class of boryl-carboranes as multifunctional boron-bearing building blocks that directly address these long-standing limitations. The pendant borane moiety is readily converted to B(OH)2 for tumor targeting and enhanced aqueous solubility, and to BF3K for 18F-PET theragnostic integration. To enable scalable synthesis, we develop the electron donor-acceptor (EDA) complex-based strategy for the controllable generation of boron-centered carboranyl radicals from N-hydroxyphthalimide (NHPI) carboranyl carboxyl esters. This additive-free, room-temperature photochemical strategy enables boron-centered carboranyl radical-mediated unsymmetrical B-B bond construction, with decagram-scale production achieved via a continuous-flow system. Mechanistic studies confirm the EDA complex-mediated radical pathway. In vitro and in vivo studies demonstrate that these boryl-carboranes exhibit excellent biosafety, favorable aqueous solubility, and better tumor boron uptake and accumulation than clinically established agents, rendering this platform potential for next-generation BNCT therapeutics.</w:t>
      </w:r>
    </w:p>
    <w:p>
      <w:pPr>
        <w:spacing w:before="120" w:after="120"/>
      </w:pPr>
      <w:r>
        <w:rPr>
          <w:sz w:val="18"/>
        </w:rPr>
        <w:t>——————————————————————————————————————————————————————————————————————</w:t>
      </w:r>
    </w:p>
    <w:p>
      <w:pPr>
        <w:spacing w:before="160" w:after="40" w:line="240" w:lineRule="auto"/>
      </w:pPr>
      <w:r>
        <w:rPr>
          <w:b/>
        </w:rPr>
        <w:t xml:space="preserve">[220] </w:t>
      </w:r>
      <w:hyperlink r:id="rId789">
        <w:r>
          <w:rPr>
            <w:color w:val="1155CC"/>
            <w:u w:val="single"/>
          </w:rPr>
          <w:t>小型化 HOXB13 模拟物是序列特异性、甲基敏感的 DNA 结合剂</w:t>
        </w:r>
      </w:hyperlink>
    </w:p>
    <w:p>
      <w:pPr>
        <w:spacing w:before="0" w:after="80"/>
      </w:pPr>
      <w:r>
        <w:rPr>
          <w:i/>
          <w:sz w:val="20"/>
        </w:rPr>
        <w:t>EN: Miniaturized HOXB13 Mimetics Are Sequence-Specific, Methyl-Sensitive DNA Binders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90">
        <w:r>
          <w:rPr>
            <w:color w:val="1155CC"/>
            <w:u w:val="single"/>
          </w:rPr>
          <w:t>10.1021/jacs.6c01290</w:t>
        </w:r>
      </w:hyperlink>
    </w:p>
    <w:p>
      <w:pPr>
        <w:spacing w:before="0" w:after="120"/>
      </w:pPr>
      <w:r>
        <w:rPr>
          <w:b/>
        </w:rPr>
        <w:t xml:space="preserve">Notes: </w:t>
      </w:r>
      <w:r>
        <w:t>abstract_source=pubmed</w:t>
      </w:r>
    </w:p>
    <w:p>
      <w:pPr>
        <w:spacing w:before="0" w:after="80" w:lineRule="auto" w:line="276"/>
      </w:pPr>
      <w:r>
        <w:rPr>
          <w:b/>
        </w:rPr>
        <w:t xml:space="preserve">摘要（ZH）: </w:t>
      </w:r>
      <w:r>
        <w:t>同源盒蛋白 Hox-B13 (HOXB13) 是一种致癌转录因子，与前列腺癌风险相关。与大多数转录因子 (TF) 不同，HOXB13 是一种甲基+ TF，已被证明优先招募到 DNA 前列腺癌风险位点。在这里，我们将 HOXB13 小型化以创建金属钉合模拟物，该模拟物可以以序列特异性、甲基敏感的方式靶向其同源初级 DNA 结合位点。使用 V269X 模拟突变体对 5-甲基胞嘧啶 (5mC) 识别进行靶向分析表明，亮氨酸可以通过甲基-甲基与 5mC 的接触并减少甲基-pi 与胞嘧啶的相互作用，进一步增强甲基敏感性和甲基特异性。总的来说，我们的研究揭示了 HOXB13 与甲基化 DNA 分子相互作用的新见解，以及新工具，将为未来开发一类新型序列特异性甲基化 DNA 结合物提供结构基础。</w:t>
      </w:r>
    </w:p>
    <w:p>
      <w:pPr>
        <w:spacing w:before="0" w:after="200" w:lineRule="auto" w:line="276"/>
      </w:pPr>
      <w:r>
        <w:rPr>
          <w:b/>
        </w:rPr>
        <w:t xml:space="preserve">Abstract (EN): </w:t>
      </w:r>
      <w:r>
        <w:t>Homeobox protein Hox-B13 (HOXB13) is an oncogenic transcription factor that is associated with prostate cancer risk. Unlike most transcription factors (TFs), HOXB13 is a methyl-plus TF and has been shown to be preferentially recruited to DNA prostate cancer risk loci. Here, we miniaturized HOXB13 to create metal-stapled mimetics that can target its cognate primary DNA-binding site in a sequence-specific, methyl-sensitive manner. Targeted profiling of 5-methylcytosine (5mC) recognition using V269X mimetic mutants revealed that leucine can further enhance both methyl sensitivity and methyl specificity through methyl-methyl contact with 5mC and decreased methyl-pi interactions with cytosine. Collectively, our study revealed novel insights into the molecular interactions of HOXB13 with methylated DNA and new tools that will provide a structural basis for future development of a new class of sequence-specific methylated DNA binders.</w:t>
      </w:r>
    </w:p>
    <w:p>
      <w:pPr>
        <w:spacing w:before="120" w:after="120"/>
      </w:pPr>
      <w:r>
        <w:rPr>
          <w:sz w:val="18"/>
        </w:rPr>
        <w:t>——————————————————————————————————————————————————————————————————————</w:t>
      </w:r>
    </w:p>
    <w:p>
      <w:pPr>
        <w:spacing w:before="160" w:after="40" w:line="240" w:lineRule="auto"/>
      </w:pPr>
      <w:r>
        <w:rPr>
          <w:b/>
        </w:rPr>
        <w:t xml:space="preserve">[221] </w:t>
      </w:r>
      <w:hyperlink r:id="rId791">
        <w:r>
          <w:rPr>
            <w:color w:val="1155CC"/>
            <w:u w:val="single"/>
          </w:rPr>
          <w:t>自组装嵌段共聚物聚电解质实现的可再生杀菌表面</w:t>
        </w:r>
      </w:hyperlink>
    </w:p>
    <w:p>
      <w:pPr>
        <w:spacing w:before="0" w:after="80"/>
      </w:pPr>
      <w:r>
        <w:rPr>
          <w:i/>
          <w:sz w:val="20"/>
        </w:rPr>
        <w:t>EN: Regenerable Biocidal Surfaces Enabled by Self-Assembled Block Copolymer Polyelectrolytes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792">
        <w:r>
          <w:rPr>
            <w:color w:val="1155CC"/>
            <w:u w:val="single"/>
          </w:rPr>
          <w:t>10.1021/acsami.6c10442</w:t>
        </w:r>
      </w:hyperlink>
    </w:p>
    <w:p>
      <w:pPr>
        <w:spacing w:before="0" w:after="120"/>
      </w:pPr>
      <w:r>
        <w:rPr>
          <w:b/>
        </w:rPr>
        <w:t xml:space="preserve">Notes: </w:t>
      </w:r>
      <w:r>
        <w:t>abstract_source=pubmed</w:t>
      </w:r>
    </w:p>
    <w:p>
      <w:pPr>
        <w:spacing w:before="0" w:after="80" w:lineRule="auto" w:line="276"/>
      </w:pPr>
      <w:r>
        <w:rPr>
          <w:b/>
        </w:rPr>
        <w:t xml:space="preserve">摘要（ZH）: </w:t>
      </w:r>
      <w:r>
        <w:t>一种有前途的抗菌策略依赖于将接触杀灭活性与受控释放相结合的表面，从而实现快速响应和长期可重复使用。在此，我们报道了这种基于层状组织的两亲性二嵌段共聚物薄膜的杀灭和释放抗菌表面。通过基团转移聚合合成包含疏水性可水解聚（甲基丙烯酸四氢吡喃酯）（PTHPMA）嵌段和亲水性聚（甲基丙烯酸2-（二甲基氨基）乙酯）（PDMAEMA）嵌段的两亲性二嵌段共聚物，随后用碘丙烷季铵化，将DMAEMA单元转化为阳离子杀菌季铵基团（PQDMAEMA）。溶剂退火后，PQDMAEMA-b-PTHPMA 薄膜自组装成平行于基材的片层，杀菌 PQDMAEMA 块形成最外表面层。轻度水解将疏水性 THPMA 单元转化为亲水性甲基丙烯酸部分，使共聚物具有水溶性并能够逐层去除，从而更新活性抗菌表面。通过光学和原子力显微镜、X射线反射率和掠入射小角X射线散射证实了二嵌段共聚物的结构有序性。通过椭圆光度法对薄膜在水中的自抛光行为进行了 300 天的监测。退火后的薄膜表现出有效且持久的抗菌活性，对革兰氏阳性菌和革兰氏阴性菌均实现了约 2 个对数的减少，无论是退火还是在 pH 7.4 的水中浸泡 30 天后，都表现出持续的长效抗菌活性。</w:t>
      </w:r>
    </w:p>
    <w:p>
      <w:pPr>
        <w:spacing w:before="0" w:after="200" w:lineRule="auto" w:line="276"/>
      </w:pPr>
      <w:r>
        <w:rPr>
          <w:b/>
        </w:rPr>
        <w:t xml:space="preserve">Abstract (EN): </w:t>
      </w:r>
      <w:r>
        <w:t>A promising antibacterial strategy relies on surfaces that combine contact-killing activity with controlled release, enabling rapid response and long-term reusability. Herein, we report such kill-and-release antibacterial surfaces based on lamellar-organized amphiphilic diblock copolymer thin films. Amphiphilic diblock copolymers comprising a hydrophobic, hydrolyzable poly(tetrahydropyranyl methacrylate) (PTHPMA) block and a hydrophilic poly(2-(dimethylamino)ethyl methacrylate) (PDMAEMA) block are synthesized via group transfer polymerization and subsequently quaternized with propyl iodide to convert the DMAEMA units into cationic, biocidal quaternary ammonium groups (PQDMAEMA). Upon solvent annealing, the PQDMAEMA-b-PTHPMA thin films self-assemble into lamellae oriented parallel to the substrate, with the biocidal PQDMAEMA block forming the outermost surface layer. Mild hydrolysis converts the hydrophobic THPMA units into hydrophilic methacrylic acid moieties, rendering the copolymer water-soluble and enabling its layer-by-layer removal, renewing the active antibacterial surface. Structural ordering of the diblock copolymers is confirmed by optical and atomic force microscopy, X-ray reflectivity, and grazing incidence small-angle X-ray scattering. The film's self-polishing behavior in water is monitored by ellipsometry for 300 days. The annealed films exhibit effective and durable antibacterial activity, achieving ∼2-log reduction against both Gram-positive and Gram-negative bacteria, both annealed and after 30 days of immersion in pH 7.4 water, demonstrating sustained long-term antimicrobial performance.</w:t>
      </w:r>
    </w:p>
    <w:p>
      <w:pPr>
        <w:spacing w:before="120" w:after="120"/>
      </w:pPr>
      <w:r>
        <w:rPr>
          <w:sz w:val="18"/>
        </w:rPr>
        <w:t>——————————————————————————————————————————————————————————————————————</w:t>
      </w:r>
    </w:p>
    <w:p>
      <w:pPr>
        <w:spacing w:before="160" w:after="40" w:line="240" w:lineRule="auto"/>
      </w:pPr>
      <w:r>
        <w:rPr>
          <w:b/>
        </w:rPr>
        <w:t xml:space="preserve">[222] </w:t>
      </w:r>
      <w:hyperlink r:id="rId793">
        <w:r>
          <w:rPr>
            <w:color w:val="1155CC"/>
            <w:u w:val="single"/>
          </w:rPr>
          <w:t>具有 NIR-II 手性光学响应的​​反芳香族环辛四烯嵌入、BODIPY 稠合纳米石墨烯</w:t>
        </w:r>
      </w:hyperlink>
    </w:p>
    <w:p>
      <w:pPr>
        <w:spacing w:before="0" w:after="80"/>
      </w:pPr>
      <w:r>
        <w:rPr>
          <w:i/>
          <w:sz w:val="20"/>
        </w:rPr>
        <w:t>EN: Antiaromatic Cyclooctatetraene-Embedded, BODIPY-Fused Nanographene with an NIR-II Chiroptical Response</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94">
        <w:r>
          <w:rPr>
            <w:color w:val="1155CC"/>
            <w:u w:val="single"/>
          </w:rPr>
          <w:t>10.1021/jacs.6c09990</w:t>
        </w:r>
      </w:hyperlink>
    </w:p>
    <w:p>
      <w:pPr>
        <w:spacing w:before="0" w:after="120"/>
      </w:pPr>
      <w:r>
        <w:rPr>
          <w:b/>
        </w:rPr>
        <w:t xml:space="preserve">Notes: </w:t>
      </w:r>
      <w:r>
        <w:t>abstract_source=pubmed</w:t>
      </w:r>
    </w:p>
    <w:p>
      <w:pPr>
        <w:spacing w:before="0" w:after="80" w:lineRule="auto" w:line="276"/>
      </w:pPr>
      <w:r>
        <w:rPr>
          <w:b/>
        </w:rPr>
        <w:t xml:space="preserve">摘要（ZH）: </w:t>
      </w:r>
      <w:r>
        <w:t>具有近红外（NIR）手性光学响应的​​手性纳米石墨烯因其在生物成像、传感和光电探测器方面的潜在应用而受到越来越多的关注。然而，实现 NIR-II 区域（1000-1700 nm）的手性光学响应仍然是一个根本性的挑战。在此，合成了 BODIPY 稠合蒽（BNG1）和前所未有的包含环辛四烯（COT）单元的 BODIPY 稠合纳米石墨烯（BNG2）。单晶X射线晶体学证实了它们的结构，表明BNG2采用对映体双螺旋结构。嵌入式 COT 单元具有明显的反芳香特性，并得到多种理论分析的支持。这两种化合物在紫外-可见-近红外区域均表现出强吸收，尤其是π-延伸BNG2，其在甲苯溶液中表现出宽吸收，长尾达到1800 nm，这归因于COT的反芳香性和低C2对称性。 BNG1和BNG2具有1.32和0.90 eV的窄光学能隙、H聚集行为和优异的光热稳定性。最重要的是，BNG2的对映体通过手性高效液相色谱成功解析，并表现出镜像圆二色光谱，具有从UV区域延伸到NIR-II区域的相反的Cotton效应。这意味着它在宽范围圆偏振光探测器和基于手性的光疗中的潜在应用。我们的研究为开发具有强大近红外手性光学响应的​​纯有机材料提供了重要见解。</w:t>
      </w:r>
    </w:p>
    <w:p>
      <w:pPr>
        <w:spacing w:before="0" w:after="200" w:lineRule="auto" w:line="276"/>
      </w:pPr>
      <w:r>
        <w:rPr>
          <w:b/>
        </w:rPr>
        <w:t xml:space="preserve">Abstract (EN): </w:t>
      </w:r>
      <w:r>
        <w:t>Chiral nanographenes exhibiting near-infrared (NIR) chiroptical responses are of growing interest due to their potential applications in bioimaging, sensing, and photodetectors. Nevertheless, realizing the chiroptical response in the NIR-II region (1000-1700 nm) remains a fundamental challenge. Herein, a BODIPY-fused anthracene (BNG1) and an unprecedented BODIPY-fused nanographene (BNG2) incorporating a cyclooctatetraene (COT) unit are synthesized. Single-crystal X-ray crystallography confirms their structures, revealing that BNG2 adopts an enantiomeric double-helical architecture. The embedded COT unit possesses a pronounced antiaromatic character, as supported by multiple theoretical analyses. Both compounds display strong absorption spanning the UV-visible-NIR regions, especially the π-extended BNG2, which shows broad absorption with a long tail reaching 1800 nm in toluene solution, attributed to the antiaromaticity and low C2-symmetry of COT. BNG1 and BNG2 have narrow optical energy gaps of 1.32 and 0.90 eV, H-aggregation behaviors, and excellent photothermal stability. Most importantly, enantiomers of BNG2 are successfully resolved by chiral high-performance liquid chromatography and exhibit mirror-image circular dichroism spectra with opposite Cotton effects extending from the UV region to the NIR-II region. This implies its potential applications in the detectors of wide-range circularly polarized light and chirality-based phototherapy. Our investigation provides important insights into developing purely organic materials with robust NIR chiroptical responses.</w:t>
      </w:r>
    </w:p>
    <w:p>
      <w:pPr>
        <w:spacing w:before="120" w:after="120"/>
      </w:pPr>
      <w:r>
        <w:rPr>
          <w:sz w:val="18"/>
        </w:rPr>
        <w:t>——————————————————————————————————————————————————————————————————————</w:t>
      </w:r>
    </w:p>
    <w:p>
      <w:pPr>
        <w:spacing w:before="160" w:after="40" w:line="240" w:lineRule="auto"/>
      </w:pPr>
      <w:r>
        <w:rPr>
          <w:b/>
        </w:rPr>
        <w:t xml:space="preserve">[223] </w:t>
      </w:r>
      <w:hyperlink r:id="rId795">
        <w:r>
          <w:rPr>
            <w:color w:val="1155CC"/>
            <w:u w:val="single"/>
          </w:rPr>
          <w:t>通过催化不对称骨架编辑合成手性三芳基甲烷</w:t>
        </w:r>
      </w:hyperlink>
    </w:p>
    <w:p>
      <w:pPr>
        <w:spacing w:before="0" w:after="80"/>
      </w:pPr>
      <w:r>
        <w:rPr>
          <w:i/>
          <w:sz w:val="20"/>
        </w:rPr>
        <w:t>EN: Synthesis of Chiral Triarylmethanes via Catalytic Asymmetric Skeletal Editing</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796">
        <w:r>
          <w:rPr>
            <w:color w:val="1155CC"/>
            <w:u w:val="single"/>
          </w:rPr>
          <w:t>10.1021/jacs.6c10180</w:t>
        </w:r>
      </w:hyperlink>
    </w:p>
    <w:p>
      <w:pPr>
        <w:spacing w:before="0" w:after="120"/>
      </w:pPr>
      <w:r>
        <w:rPr>
          <w:b/>
        </w:rPr>
        <w:t xml:space="preserve">Notes: </w:t>
      </w:r>
      <w:r>
        <w:t>abstract_source=pubmed</w:t>
      </w:r>
    </w:p>
    <w:p>
      <w:pPr>
        <w:spacing w:before="0" w:after="80" w:lineRule="auto" w:line="276"/>
      </w:pPr>
      <w:r>
        <w:rPr>
          <w:b/>
        </w:rPr>
        <w:t xml:space="preserve">摘要（ZH）: </w:t>
      </w:r>
      <w:r>
        <w:t>催化不对称骨架编辑（CASE）已成为通过对母体分子骨架进行对映选择性修饰来获取手性有机分子的强大策略。在此，我们报道了通过去对称化或动力学拆分，Rh 催化的单碳与重氮酯对映选择性插入吲哚环，从而实现芳烃到芳烃的嬗变，并首次构建环外碳中心立体中心。从含吲哚的三芳基甲烷开始，以中等至良好的收率和高对映选择性（高达 96% ee）获得了多种具有不同芳烃/杂芳烃组合且具有独特芳香族电子性质的光学活性三芳基甲烷。该方法进一步扩展到烷基和烯基取代的双（吲哚基）甲烷、含吲哚的简单天然产物和药物基序的去对称骨架编辑。茚取代双(吲哚基)甲烷的3倍可编程骨架编辑序列进一步证明了其结构嬗变的潜力。</w:t>
      </w:r>
    </w:p>
    <w:p>
      <w:pPr>
        <w:spacing w:before="0" w:after="200" w:lineRule="auto" w:line="276"/>
      </w:pPr>
      <w:r>
        <w:rPr>
          <w:b/>
        </w:rPr>
        <w:t xml:space="preserve">Abstract (EN): </w:t>
      </w:r>
      <w:r>
        <w:t>Catalytic asymmetric skeletal editing (CASE) has emerged as a powerful strategy for accessing chiral organic molecules through enantioselective modification of parent molecular skeletons. Herein, we report an enantioselective Rh-catalyzed single-carbon insertion into indole rings with diazoesters via either desymmetrization or kinetic resolution, thereby enabling arene-to-arene transmutation and, for the first time, the construction of exocyclic carbon-centered stereocenters. Starting from indole-containing triarylmethanes, a broad range of optically active triarylmethanes bearing diverse arene/heteroarene combinations with distinct aromatic electronic properties were obtained in moderate to good yields and high enantioselectivities (up to 96% ee). The method was further extended to desymmetrizing skeletal editing of alkyl- and alkenyl-substituted bis(indolyl)methanes, indole-containing simple natural products and pharmaceutical motifs. Its potential for structural transmutation was further demonstrated by a 3-fold programmable skeletal editing sequence of an indene-substituted bis(indolyl)methane.</w:t>
      </w:r>
    </w:p>
    <w:p>
      <w:pPr>
        <w:spacing w:before="120" w:after="120"/>
      </w:pPr>
      <w:r>
        <w:rPr>
          <w:sz w:val="18"/>
        </w:rPr>
        <w:t>——————————————————————————————————————————————————————————————————————</w:t>
      </w:r>
    </w:p>
    <w:p>
      <w:pPr>
        <w:spacing w:before="160" w:after="40" w:line="240" w:lineRule="auto"/>
      </w:pPr>
      <w:r>
        <w:rPr>
          <w:b/>
        </w:rPr>
        <w:t xml:space="preserve">[224] </w:t>
      </w:r>
      <w:hyperlink r:id="rId797">
        <w:r>
          <w:rPr>
            <w:color w:val="1155CC"/>
            <w:u w:val="single"/>
          </w:rPr>
          <w:t>海湾合作委员会的气候与电力关系：气温上升如何推动海湾国家的电力需求</w:t>
        </w:r>
      </w:hyperlink>
    </w:p>
    <w:p>
      <w:pPr>
        <w:spacing w:before="0" w:after="80"/>
      </w:pPr>
      <w:r>
        <w:rPr>
          <w:i/>
          <w:sz w:val="20"/>
        </w:rPr>
        <w:t>EN: The climate-electricity nexus in the GCC: How rising temperatures drive electricity demand across Gulf states</w:t>
      </w:r>
    </w:p>
    <w:p>
      <w:pPr>
        <w:spacing w:before="0" w:after="120"/>
      </w:pPr>
      <w:r>
        <w:rPr>
          <w:b/>
        </w:rPr>
        <w:t xml:space="preserve">Source: </w:t>
      </w:r>
      <w:r>
        <w:t>ScienceDirect Publication: Energy Policy</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798">
        <w:r>
          <w:rPr>
            <w:color w:val="1155CC"/>
            <w:u w:val="single"/>
          </w:rPr>
          <w:t>通过掺杂剂富集实现热结晶 BaYF 5 :Yb,Er 玻璃陶瓷中的超亮上转换，用于可重构光学数据编码和逻辑操作</w:t>
        </w:r>
      </w:hyperlink>
    </w:p>
    <w:p>
      <w:pPr>
        <w:spacing w:before="0" w:after="80"/>
      </w:pPr>
      <w:r>
        <w:rPr>
          <w:i/>
          <w:sz w:val="20"/>
        </w:rPr>
        <w:t>EN: Ultrabright Upconversion in Thermally Crystallized BaYF 5 :Yb,Er Glass-Ceramics via Dopant Enrichment for Reconfigurable Optical Data Encoding and Logic Operations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799">
        <w:r>
          <w:rPr>
            <w:color w:val="1155CC"/>
            <w:u w:val="single"/>
          </w:rPr>
          <w:t>10.1021/acsami.6c11783</w:t>
        </w:r>
      </w:hyperlink>
    </w:p>
    <w:p>
      <w:pPr>
        <w:spacing w:before="0" w:after="120"/>
      </w:pPr>
      <w:r>
        <w:rPr>
          <w:b/>
        </w:rPr>
        <w:t xml:space="preserve">Notes: </w:t>
      </w:r>
      <w:r>
        <w:t>abstract_source=pubmed</w:t>
      </w:r>
    </w:p>
    <w:p>
      <w:pPr>
        <w:spacing w:before="0" w:after="80" w:lineRule="auto" w:line="276"/>
      </w:pPr>
      <w:r>
        <w:rPr>
          <w:b/>
        </w:rPr>
        <w:t xml:space="preserve">摘要（ZH）: </w:t>
      </w:r>
      <w:r>
        <w:t>全光数据编码为超快、低能量光子存储和计算提供了一条途径，但其实现受到传统材料的弱非线性和低发射效率的阻碍。上转换发光提供了很强的非线性行为，但典型的主体遭受低效的能量转移、稀释和随机分布的掺杂剂以及复杂的激发需求。在这里，我们报道了热结晶 BaYF5:Yb,Er 玻璃陶瓷，该玻璃陶瓷通过 BaYF5 纳米晶体内受控的 Er3+ 富集克服了低上转换效率和掺杂剂不均匀性。热结晶减少了离子间距离，促进了 Yb3+-Er3+ 协同敏化和 Er3+-Er3+ 能量迁移。理论模型和实验相结合，显示了高能发射态的有效布居，在 980 nm 激发下，蓝色、绿色和红色通道产生超亮上转换发射，增强因子分别为 113 倍、118 倍和 110 倍。优化的纳米晶体还可以延长发射寿命、抑制非辐射弛豫并产生明显的饱和行为。利用强非线性响应、功率和脉宽调制激励，可以精确控制光谱和时间输出，形成一个高度可重构的平台。这允许多维数据编码并实现具有高保真度和自参考解码的基本光逻辑门。该系统为先进的全光信息处理应用提供强大、安全且可扩展的功能。</w:t>
      </w:r>
    </w:p>
    <w:p>
      <w:pPr>
        <w:spacing w:before="0" w:after="200" w:lineRule="auto" w:line="276"/>
      </w:pPr>
      <w:r>
        <w:rPr>
          <w:b/>
        </w:rPr>
        <w:t xml:space="preserve">Abstract (EN): </w:t>
      </w:r>
      <w:r>
        <w:t>All-optical data encoding provides a route to ultrafast, low-energy photonic memory and computation, yet its implementation is hindered by weak nonlinearities and low emission efficiencies in conventional materials. Upconversion luminescence offers strong nonlinear behavior, but typical hosts suffer from inefficient energy transfer, dilute and randomly distributed dopants, and complex excitation demands. Here, we report thermally crystallized BaYF5:Yb,Er glass-ceramics that overcome low upconversion efficiency and dopant inhomogeneity through controlled Er3+ enrichment within BaYF5 nanocrystals. Thermal crystallization reduces interionic distances, promoting cooperative Yb3+-Er3+ sensitization and Er3+-Er3+ energy migration. The combination of theoretical modeling and experiments shows efficient population of high-energy emitting states, yielding ultrabright upconversion emission with enhancement factors of 113-, 118-, and 110-fold for the blue, green, and red channels under 980 nm excitation. Optimized nanocrystals also prolong emission lifetimes, suppress nonradiative relaxation, and produce clear saturation behavior. Leveraging strongly nonlinear responses, power- and pulse-width-modulated excitation enables precise control of both spectral and temporal outputs, forming a highly reconfigurable platform. This allows multidimensional data encoding and implementation of fundamental optical logic gates with high fidelity and self-referenced decoding. The system offers robust, secure, and scalable functionality for advanced all-optical information processing applications.</w:t>
      </w:r>
    </w:p>
    <w:p>
      <w:pPr>
        <w:spacing w:before="120" w:after="120"/>
      </w:pPr>
      <w:r>
        <w:rPr>
          <w:sz w:val="18"/>
        </w:rPr>
        <w:t>——————————————————————————————————————————————————————————————————————</w:t>
      </w:r>
    </w:p>
    <w:p>
      <w:pPr>
        <w:spacing w:before="160" w:after="40" w:line="240" w:lineRule="auto"/>
      </w:pPr>
      <w:r>
        <w:rPr>
          <w:b/>
        </w:rPr>
        <w:t xml:space="preserve">[226] </w:t>
      </w:r>
      <w:hyperlink r:id="rId800">
        <w:r>
          <w:rPr>
            <w:color w:val="1155CC"/>
            <w:u w:val="single"/>
          </w:rPr>
          <w:t>通过简单调整前体条件来增强催化活性的钴金属有机骨架的多功能形态控制</w:t>
        </w:r>
      </w:hyperlink>
    </w:p>
    <w:p>
      <w:pPr>
        <w:spacing w:before="0" w:after="80"/>
      </w:pPr>
      <w:r>
        <w:rPr>
          <w:i/>
          <w:sz w:val="20"/>
        </w:rPr>
        <w:t>EN: Versatile Morphological Control of Cobalt Metal−Organic Frameworks with Enhanced Catalytic Activity by Simple Tuning of Precursor Conditions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01">
        <w:r>
          <w:rPr>
            <w:color w:val="1155CC"/>
            <w:u w:val="single"/>
          </w:rPr>
          <w:t>10.1021/acsami.6c10335</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具有巨大的化学和结构可调性，具有增强的孔隙率和表面积，在催化、药物输送、化学/生物传感或可充电电池领域提供新的应用。然而，它们的特性不仅取决于它们的组成和结构，而且很大程度上取决于它们的形态，在它们的合成过程中引入了一个新的重要参数。因此，精确的形态控制对于 MOF 晶体的形状和尺寸直接决定其比表面积、活性位点的可及性和吸附能力的应用至关重要。这项工作提出了一项合理的研究，通过使用 MOF 的新兴子类沸石咪唑酯框架 (ZIF) 来优化 MOF 的形态。控制最重要的合成参数，即金属前体（Co2+）和有机配体（2-甲基咪唑）之间的摩尔比以及用作调节剂和稳定剂的表面活性剂（十六烷基三甲基溴化铵，CTAB）的浓度，以优化所得ZIF纳米MOF的尺寸、形状、分布和结构。我们证明，保持有机配体作为过量试剂对于获得稳定且均匀的多孔纳米晶体至关重要，强调了纳米MOF合成过程中精确化学计量控制的重要性。当保持恒定的 Co2+:Hmim 摩尔比时，在合成中使用高 CTAB 浓度 (4.0 mM) 会形成尺寸约为 80 nm 的立方 ZIF-67 纳米结构。</w:t>
      </w:r>
    </w:p>
    <w:p>
      <w:pPr>
        <w:spacing w:before="0" w:after="200" w:lineRule="auto" w:line="276"/>
      </w:pPr>
      <w:r>
        <w:rPr>
          <w:b/>
        </w:rPr>
        <w:t xml:space="preserve">Abstract (EN): </w:t>
      </w:r>
      <w:r>
        <w:t>Metal-organic frameworks (MOFs) present a huge chemical and structural tuneability with enhanced porosity and surface area, offering new applications in the fields of catalysis, drug delivery, chemical/biosensing, or rechargeable batteries. However, their properties not only reside on their composition and structure but also strongly depend on their morphology, introducing a new important parameter during their synthesis. For this reason, a precise morphological control is crucial for applications where the shape and size of MOF crystals directly determine their specific surface area, accessibility of active sites, and adsorption capacity. This work presents a rational study to optimize the morphology of MOFs by using as a playground zeolitic imidazolate frameworks (ZIFs), an emerging subclass of MOFs. The most important synthetic parameters, namely, the molar ratio between the metal precursor (Co2+) and the organic ligand (2-methylimidazole) as well as the concentration of the surfactant used as a modulator and stabilizer (cetyltrimethylammonium bromide, CTAB), are controlled to optimize the size, shape, distribution, and structure of the obtained ZIF nanoMOFs. We demonstrate that keeping the organic ligand as the excess reagent is crucial for achieving stable and uniform porous nanocrystals, highlighting the importance of precise stoichiometric control during the nanoMOF synthesis. When maintaining a constant Co2+:Hmim molar ratio, the use of high CTAB concentrations (4.0 mM) in the synthesis results in the formation of cubic ZIF-67 nanostructures with sizes around 80 nm. As the concentration of CTAB decreases, the nanocubes develop spikes, and at concentrations below 1.5 mM, these evolve into flower-like structures with crossed spikes. This morphological transition underscores the critical role of CTAB concentration in dictating the final shape and size of the porous nanostructures. Moreover, at low metal-to-ligand ratios, a potential new structural polymorph emerges. All these findings are corroborated by a complete structural, imaging, composition, and functional characterization that confirms a notable catalytic activity of MOFs to degrade the dye RhB in aqueous solution.</w:t>
      </w:r>
    </w:p>
    <w:p>
      <w:pPr>
        <w:spacing w:before="120" w:after="120"/>
      </w:pPr>
      <w:r>
        <w:rPr>
          <w:sz w:val="18"/>
        </w:rPr>
        <w:t>——————————————————————————————————————————————————————————————————————</w:t>
      </w:r>
    </w:p>
    <w:p>
      <w:pPr>
        <w:spacing w:before="160" w:after="40" w:line="240" w:lineRule="auto"/>
      </w:pPr>
      <w:r>
        <w:rPr>
          <w:b/>
        </w:rPr>
        <w:t xml:space="preserve">[227] </w:t>
      </w:r>
      <w:hyperlink r:id="rId802">
        <w:r>
          <w:rPr>
            <w:color w:val="1155CC"/>
            <w:u w:val="single"/>
          </w:rPr>
          <w:t>使用 Adatom 修饰选择性钝化台阶位点来控制铂的双层</w:t>
        </w:r>
      </w:hyperlink>
    </w:p>
    <w:p>
      <w:pPr>
        <w:spacing w:before="0" w:after="80"/>
      </w:pPr>
      <w:r>
        <w:rPr>
          <w:i/>
          <w:sz w:val="20"/>
        </w:rPr>
        <w:t>EN: Controlling the Double Layer of Platinum by Selective Passivation of Step Sites Using Adatom Modification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03">
        <w:r>
          <w:rPr>
            <w:color w:val="1155CC"/>
            <w:u w:val="single"/>
          </w:rPr>
          <w:t>10.1021/jacs.6c07209</w:t>
        </w:r>
      </w:hyperlink>
    </w:p>
    <w:p>
      <w:pPr>
        <w:spacing w:before="0" w:after="120"/>
      </w:pPr>
      <w:r>
        <w:rPr>
          <w:b/>
        </w:rPr>
        <w:t xml:space="preserve">Notes: </w:t>
      </w:r>
      <w:r>
        <w:t>abstract_source=pubmed</w:t>
      </w:r>
    </w:p>
    <w:p>
      <w:pPr>
        <w:spacing w:before="0" w:after="80" w:lineRule="auto" w:line="276"/>
      </w:pPr>
      <w:r>
        <w:rPr>
          <w:b/>
        </w:rPr>
        <w:t xml:space="preserve">摘要（ZH）: </w:t>
      </w:r>
      <w:r>
        <w:t>铂电极上的双电层结构仍然不完全清楚，即使是 Pt(111)/HClO4 界面模型，该模型与 Gouy-Chapman-Stern 理论有很大偏差。虽然 Pt(111) 具有真正的双层窗口 (0.40-0.60 VRHE)，可以直接测量双层电容，但阶梯式 Pt 表面却不能，因为氢和/或羟基物质会在整个电势范围内吸附在低配位阶梯位点上。我们之前表明，在这个标称双层窗口内，（110）阶上的羟基吸附与电势无关，由于阶跃亥姆霍兹电容的抑制，导致电容随着（110）阶密度的增加而降低。相比之下，(100) 阶表现出电位依赖性羟基吸附，引入了显着的赝电容贡献并随着阶跃密度增加了电容。在这里，我们通过沉积 Au* 和 Ag* 吸附原子选择性钝化 Pt 台阶位点。我们发现 Au* 阶梯修饰抑制了阶梯特异性吸附，恢复了 (100) 型阶梯 Pt 表面的主要静电行为，并逆转了裸阶梯表面观察到的电容趋势。相比之下，Ag* 阶跃修饰引入了额外的化学贡献，表现为由于 Ag* 上亲氧物质的吸附而显着增加了电容并增强了 CO 氧化活性。这些结果表明，Pt 台阶位点化学，以及因此的电双层结构和电催化活性，可以调整和探测到</w:t>
      </w:r>
    </w:p>
    <w:p>
      <w:pPr>
        <w:spacing w:before="0" w:after="200" w:lineRule="auto" w:line="276"/>
      </w:pPr>
      <w:r>
        <w:rPr>
          <w:b/>
        </w:rPr>
        <w:t xml:space="preserve">Abstract (EN): </w:t>
      </w:r>
      <w:r>
        <w:t>The structure of the electric double layer at platinum electrodes remains incompletely understood, even for the model Pt(111)/HClO4 interface, which deviates significantly from Gouy-Chapman-Stern theory. While Pt(111) exhibits a true double-layer window (0.40-0.60 VRHE) that enables direct measurement of the double-layer capacitance, stepped Pt surfaces do not because hydrogen and/or hydroxyl species adsorb at low-coordinated step sites across the entire potential range. We previously showed that hydroxyl adsorption on (110)-steps is potential-independent within this nominal double-layer window, leading to decreasing capacitance with increasing (110)-step density due to suppression of the step Helmholtz capacitance. In contrast, (100)-steps exhibit potential-dependent hydroxyl adsorption that introduces a substantial pseudocapacitive contribution and increases capacitance with step density. Here, we selectively passivate Pt step sites by depositing Au* and Ag* adatoms. We find that Au*step-modification suppresses step-specific adsorption, restoring predominantly electrostatic behavior for (100)-type stepped Pt surfaces and reversing the capacitance trends observed for the bare stepped surfaces. In contrast, Ag*step-modification introduced an additional chemical contribution, manifested as substantially increased capacitance and enhanced CO oxidation activity due to adsorption of oxophilic species on Ag*. These results demonstrate that Pt step-site chemistry, and consequently the electrical double-layer structure and electrocatalytic activities, can be tuned and probed to a remarkable degree of controllability through selective adatom modification.</w:t>
      </w:r>
    </w:p>
    <w:p>
      <w:pPr>
        <w:spacing w:before="120" w:after="120"/>
      </w:pPr>
      <w:r>
        <w:rPr>
          <w:sz w:val="18"/>
        </w:rPr>
        <w:t>——————————————————————————————————————————————————————————————————————</w:t>
      </w:r>
    </w:p>
    <w:p>
      <w:pPr>
        <w:spacing w:before="160" w:after="40" w:line="240" w:lineRule="auto"/>
      </w:pPr>
      <w:r>
        <w:rPr>
          <w:b/>
        </w:rPr>
        <w:t xml:space="preserve">[228] </w:t>
      </w:r>
      <w:hyperlink r:id="rId804">
        <w:r>
          <w:rPr>
            <w:color w:val="1155CC"/>
            <w:u w:val="single"/>
          </w:rPr>
          <w:t>通过顺序扩环和外围多样化将氨基环丙烷光催化转化为 γ-内酰胺</w:t>
        </w:r>
      </w:hyperlink>
    </w:p>
    <w:p>
      <w:pPr>
        <w:spacing w:before="0" w:after="80"/>
      </w:pPr>
      <w:r>
        <w:rPr>
          <w:i/>
          <w:sz w:val="20"/>
        </w:rPr>
        <w:t>EN: Photocatalytic Conversion of Aminocyclopropanes to γ-Lactams by Sequential Ring-Expansion and Peripheral Diversification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05">
        <w:r>
          <w:rPr>
            <w:color w:val="1155CC"/>
            <w:u w:val="single"/>
          </w:rPr>
          <w:t>10.1021/jacs.6c06337</w:t>
        </w:r>
      </w:hyperlink>
    </w:p>
    <w:p>
      <w:pPr>
        <w:spacing w:before="0" w:after="120"/>
      </w:pPr>
      <w:r>
        <w:rPr>
          <w:b/>
        </w:rPr>
        <w:t xml:space="preserve">Notes: </w:t>
      </w:r>
      <w:r>
        <w:t>abstract_source=pubmed</w:t>
      </w:r>
    </w:p>
    <w:p>
      <w:pPr>
        <w:spacing w:before="0" w:after="80" w:lineRule="auto" w:line="276"/>
      </w:pPr>
      <w:r>
        <w:rPr>
          <w:b/>
        </w:rPr>
        <w:t xml:space="preserve">摘要（ZH）: </w:t>
      </w:r>
      <w:r>
        <w:t>环是药品、农用化学品和材料的基础，推动了人们对骨架环扩张的新兴趣。目前的骨架环扩展策略主要集中在单原子插入或重排；目前缺乏用于多个单原子插入和饱和小环外围多样化的可靠方法。在此，我们报告了一种通用且高效的光催化系统，通过连续的 C-/N-单原子 [n + 2] 扩环和外围多样化，将氨基环丙烷直接转化为 γ-内酰胺。该系统在可预测的反应条件下，通过数百个合成实例中的六种不同的成键反应，实现了γ-内酰胺的形成和随后在γ位的多样化。实验和计算研究集中在光氧化还原介导的自由基途径上。</w:t>
      </w:r>
    </w:p>
    <w:p>
      <w:pPr>
        <w:spacing w:before="0" w:after="200" w:lineRule="auto" w:line="276"/>
      </w:pPr>
      <w:r>
        <w:rPr>
          <w:b/>
        </w:rPr>
        <w:t xml:space="preserve">Abstract (EN): </w:t>
      </w:r>
      <w:r>
        <w:t>Rings underpin pharmaceuticals, agrochemicals, and materials, driving renewed interest in skeletal ring expansion. Current skeletal ring expansion strategies mainly focus on single-atom insertion or rearrangement; reliable methods for multiple single-atom insertion and peripheral diversification of saturated small rings are lacking. Herein, we report a general and efficient photocatalytic system directly converting aminocyclopropanes to γ-lactams via sequential C-/N-single-atom [n + 2] ring-expansion and peripheral diversification. The system accomplishes both γ-lactam formation and subsequent diversification at the γ-position via six distinct bond-forming reactions across hundreds of synthetic examples under predictable reaction conditions. Experimental and computational studies converge on photoredox-mediated radical pathways.</w:t>
      </w:r>
    </w:p>
    <w:p>
      <w:pPr>
        <w:spacing w:before="120" w:after="120"/>
      </w:pPr>
      <w:r>
        <w:rPr>
          <w:sz w:val="18"/>
        </w:rPr>
        <w:t>——————————————————————————————————————————————————————————————————————</w:t>
      </w:r>
    </w:p>
    <w:p>
      <w:pPr>
        <w:spacing w:before="160" w:after="40" w:line="240" w:lineRule="auto"/>
      </w:pPr>
      <w:r>
        <w:rPr>
          <w:b/>
        </w:rPr>
        <w:t xml:space="preserve">[229] </w:t>
      </w:r>
      <w:hyperlink r:id="rId806">
        <w:r>
          <w:rPr>
            <w:color w:val="1155CC"/>
            <w:u w:val="single"/>
          </w:rPr>
          <w:t>离子主链可及性可实现有机电化学晶体管的统一掺杂效率</w:t>
        </w:r>
      </w:hyperlink>
    </w:p>
    <w:p>
      <w:pPr>
        <w:spacing w:before="0" w:after="80"/>
      </w:pPr>
      <w:r>
        <w:rPr>
          <w:i/>
          <w:sz w:val="20"/>
        </w:rPr>
        <w:t>EN: Ion–backbone accessibility enables unity doping efficiency in organic electrochemical transistors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有机电化学晶体管通常使用体积电容 (C*) 进行基准测试；然而，该指标不区分法拉第贡献和非法拉第贡献，因此不能直接量化控制器件相关掺杂能力的电子活性电荷载流子的密度。在这里，我们引入有效体积电容 (Ceff* = C* · η)，其中 η 表示掺杂效率，作为电子有效体积掺杂的度量。使用这个指标，我们发现亲离子侧链促进高离子吸收，但也会将离子螯合远离共轭主链，从而降低掺杂效率。相比之下，侧链去除增加了离子对电化学可寻址主链位点的访问，使掺杂效率接近统一。所得材料表现出增强的体积电荷密度和改善的电荷传输，产生跨导率最高的晶体管。这些结果表明，电子有效掺杂（而不是单独的离子吸收）控制着晶体管的运行，从而建立了有机混合导体的实用设计规则。</w:t>
      </w:r>
    </w:p>
    <w:p>
      <w:pPr>
        <w:spacing w:before="0" w:after="200" w:lineRule="auto" w:line="276"/>
      </w:pPr>
      <w:r>
        <w:rPr>
          <w:b/>
        </w:rPr>
        <w:t xml:space="preserve">Abstract (EN): </w:t>
      </w:r>
      <w:r>
        <w:t>Organic electrochemical transistors are commonly benchmarked using volumetric capacitance (C*); however, this metric does not distinguish between Faradaic and non-Faradaic contributions and therefore does not directly quantify the density of electronically active charge carriers that governs device-relevant doping capacity. Here we introduce effective volumetric capacitance (Ceff* = C* · η), where η denotes doping efficiency, as a metric for electronically effective volumetric doping. Using this metric, we show ionophilic side chains promote high ionic uptake but also sequester ions away from the conjugated backbone, lowering doping efficiency. By contrast, side-chain removal increases ion access to electrochemically addressable backbone sites, enabling doping efficiencies approaching unity. The resulting materials exhibited both enhanced volumetric charge density and improved charge transport, yielding transistors with transconductance among the highest reported. These results establish a practical design rule for organic mixed conductors by showing that electronically effective doping, rather than ionic uptake alone, governs transistor operation.</w:t>
      </w:r>
    </w:p>
    <w:p>
      <w:pPr>
        <w:spacing w:before="120" w:after="120"/>
      </w:pPr>
      <w:r>
        <w:rPr>
          <w:sz w:val="18"/>
        </w:rPr>
        <w:t>——————————————————————————————————————————————————————————————————————</w:t>
      </w:r>
    </w:p>
    <w:p>
      <w:pPr>
        <w:spacing w:before="160" w:after="40" w:line="240" w:lineRule="auto"/>
      </w:pPr>
      <w:r>
        <w:rPr>
          <w:b/>
        </w:rPr>
        <w:t xml:space="preserve">[230] </w:t>
      </w:r>
      <w:hyperlink r:id="rId807">
        <w:r>
          <w:rPr>
            <w:color w:val="1155CC"/>
            <w:u w:val="single"/>
          </w:rPr>
          <w:t>铂上苯酚电氢化中电位介导的烯醇-酮平衡</w:t>
        </w:r>
      </w:hyperlink>
    </w:p>
    <w:p>
      <w:pPr>
        <w:spacing w:before="0" w:after="80"/>
      </w:pPr>
      <w:r>
        <w:rPr>
          <w:i/>
          <w:sz w:val="20"/>
        </w:rPr>
        <w:t>EN: Potential-mediated enol-keto equilibrium in phenol electro-hydrogenation on platinum</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在过渡金属催化剂上苯酚电催化氢化（ECH）过程中，在阴极电位下选择性形成环己酮引起了广泛的兴趣，但对这种电位依赖性产物分布的机理理解仍然有限。通过将从头算分子动力学与显式溶剂化和电极电位控制相结合，我们证明阴极极化通过表面介导的电荷转移将烯醇-酮平衡转向酮形式，从而促进芳环氢化为环己酮。此外，带负电的表面使环己酮静电稳定在亚稳态“浮动”状态，这在动力学上抑制了其进一步氢化。这项工作通过确定电位控制互变异构作为影响选择性的关键步骤，解决了苯酚 ECH 中环己酮选择性的问题，为实验观察到的产物分布提供了明确的机制基础。</w:t>
      </w:r>
    </w:p>
    <w:p>
      <w:pPr>
        <w:spacing w:before="0" w:after="200" w:lineRule="auto" w:line="276"/>
      </w:pPr>
      <w:r>
        <w:rPr>
          <w:b/>
        </w:rPr>
        <w:t xml:space="preserve">Abstract (EN): </w:t>
      </w:r>
      <w:r>
        <w:t>The selective formation of cyclohexanone under cathodic potentials during electrocatalytic hydrogenation (ECH) of phenol on transition metal catalysts attracts extensive interest, yet the mechanistic understanding of this potential-dependent product distribution remains limited. By combining ab initio molecular dynamics with explicit solvation and electrode potential control, we demonstrate that cathodic polarization shifts the enol-keto equilibrium toward the keto form through surface-mediated charge transfer, thereby promoting aromatic ring hydrogenation to cyclohexanone. Moreover, the negatively charged surface electrostatically stabilizes cyclohexanone in a metastable “floating” state, which kinetically suppresses its further hydrogenation. This work addresses the question of cyclohexanone selectivity in phenol ECH by identifying potential-controlled tautomerization as the key step affecting selectivity, offering a clear mechanistic basis for the experimentally observed product distribution.</w:t>
      </w:r>
    </w:p>
    <w:p>
      <w:pPr>
        <w:spacing w:before="120" w:after="120"/>
      </w:pPr>
      <w:r>
        <w:rPr>
          <w:sz w:val="18"/>
        </w:rPr>
        <w:t>——————————————————————————————————————————————————————————————————————</w:t>
      </w:r>
    </w:p>
    <w:p>
      <w:pPr>
        <w:spacing w:before="160" w:after="40" w:line="240" w:lineRule="auto"/>
      </w:pPr>
      <w:r>
        <w:rPr>
          <w:b/>
        </w:rPr>
        <w:t xml:space="preserve">[231] </w:t>
      </w:r>
      <w:hyperlink r:id="rId808">
        <w:r>
          <w:rPr>
            <w:color w:val="1155CC"/>
            <w:u w:val="single"/>
          </w:rPr>
          <w:t>作者更正：Egr-1 和 Cidea 的节律性耦合调节雄性小鼠肝脏中与年龄相关的代谢功能障碍</w:t>
        </w:r>
      </w:hyperlink>
    </w:p>
    <w:p>
      <w:pPr>
        <w:spacing w:before="0" w:after="80"/>
      </w:pPr>
      <w:r>
        <w:rPr>
          <w:i/>
          <w:sz w:val="20"/>
        </w:rPr>
        <w:t>EN: Author Correction: The rhythmic coupling of Egr-1 and Cidea regulates age-related metabolic dysfunction in the liver of male mice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809">
        <w:r>
          <w:rPr>
            <w:color w:val="1155CC"/>
            <w:u w:val="single"/>
          </w:rPr>
          <w:t>通用能量空间局域化和针对时间相关扰动的稳定量子相</w:t>
        </w:r>
      </w:hyperlink>
    </w:p>
    <w:p>
      <w:pPr>
        <w:spacing w:before="0" w:after="80"/>
      </w:pPr>
      <w:r>
        <w:rPr>
          <w:i/>
          <w:sz w:val="20"/>
        </w:rPr>
        <w:t>EN: Universal energy-space localization and stable quantum phases against time-dependent perturbations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抗扰动稳定性是物质量子多体相的一个定义属性。然而，最严格的稳定性仅针对静态扰动建立；是否有任何系统能够针对一般的时间相关扰动保持稳定在很大程度上是难以捉摸的。在这里，我们发现了一种普遍现象，其中由时间相关的 q-局部哈密顿量驱动的演化状态可以指数地局部化在瞬时谱的能量窗口中，并证明了它在一般的时间相关扰动下的生存性。将这种能量空间局域化应用于其码字被广泛的能量势垒分隔的经典和量子 LDPC 码，我们表明系统在一般的时间相关扰动下在指数级的长时间内保持在原始码字附近的局域化。对于具有聚类解空间的经典优化问题，稳定性成为基于量子哈密顿量的算法逃避局部极小值的障碍。我们的工作为分析量子非平衡动力学提供了新的视角，为建立稳定性和设计量子算法提供了工具。</w:t>
      </w:r>
    </w:p>
    <w:p>
      <w:pPr>
        <w:spacing w:before="0" w:after="200" w:lineRule="auto" w:line="276"/>
      </w:pPr>
      <w:r>
        <w:rPr>
          <w:b/>
        </w:rPr>
        <w:t xml:space="preserve">Abstract (EN): </w:t>
      </w:r>
      <w:r>
        <w:t>Stability against perturbations is a defining property of quantum many-body phases of matter. However, most rigorous stabilities are only established for static perturbations; whether any system can remain stable against generic time-dependent perturbations is largely elusive. Here, we identify a universal phenomenon, where the evolving state driven by time-dependent q-local Hamiltonians can be exponentially localized in an energy window of instantaneous spectrum, and prove its survival under generic time-dependent perturbations. Applying such energy-space localization to classical and quantum LDPC codes whose codewords are separated by extensive energy barriers, we show that the system remains localized near the original codeword for an exponentially long time under generic time-dependent perturbations. For classical optimization problems with clustered solution spaces, the stability becomes an obstacle for quantum Hamiltonian-based algorithms to escape local minima. Our work provides a new lens for analyzing quantum non-equilibrium dynamics and tools for establishing stability and designing quantum algorithms.</w:t>
      </w:r>
    </w:p>
    <w:p>
      <w:pPr>
        <w:spacing w:before="120" w:after="120"/>
      </w:pPr>
      <w:r>
        <w:rPr>
          <w:sz w:val="18"/>
        </w:rPr>
        <w:t>——————————————————————————————————————————————————————————————————————</w:t>
      </w:r>
    </w:p>
    <w:p>
      <w:pPr>
        <w:spacing w:before="160" w:after="40" w:line="240" w:lineRule="auto"/>
      </w:pPr>
      <w:r>
        <w:rPr>
          <w:b/>
        </w:rPr>
        <w:t xml:space="preserve">[233] </w:t>
      </w:r>
      <w:hyperlink r:id="rId810">
        <w:r>
          <w:rPr>
            <w:color w:val="1155CC"/>
            <w:u w:val="single"/>
          </w:rPr>
          <w:t>铁与上层海洋三大中层浮游生物群大小结构之间的关键联系</w:t>
        </w:r>
      </w:hyperlink>
    </w:p>
    <w:p>
      <w:pPr>
        <w:spacing w:before="0" w:after="80"/>
      </w:pPr>
      <w:r>
        <w:rPr>
          <w:i/>
          <w:sz w:val="20"/>
        </w:rPr>
        <w:t>EN: Key link between iron and the size structure of three major mesoplanktonic groups in the upper ocean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在海洋生态系统中，鱼类生产、碳输出或通过固氮输送营养物质等关键服务在很大程度上依赖于中上浮游生物的大小范围，特别是中浮游生物（200-20,000 µm）。然而，环境因素与中层浮游生物光谱生物地理学之间的联系在很大程度上仍未得到解决，因为到目前为止，只有有限的数据集可以了解中层浮游生物大小的大规模变化。通过对根藻、殖民 N2 固定剂和甲壳动物图像的全球汇编，我们揭示了铁在塑造这些群体的大小结构和相关生物地理学中的作用。我们的研究结果强调了大气中铁的来源对于固氮者和根茎植物的重要性，而总铁（占有机和无机化合物的比例）似乎可以通过表观循环来解释甲壳类动物大小结构差异的很大一部分。使用环境解释变量，我们的模型达到了高 R2（分别为 0.93、0.88 和 0.79），提供了与元素循环和生态系统服务相关的中浮游生物大小结构的可靠预测。我们的研究结果表明，如果没有补偿机制，未来全球气温的升高可能会对中浮游生物的大小产生负面影响，可能会限制从生产层到封存深度的碳输出，这可能会被铁输入的预期增加所抵消，铁输入有利于固氮者、根茎动物，并最终受益于甲壳类动物。</w:t>
      </w:r>
    </w:p>
    <w:p>
      <w:pPr>
        <w:spacing w:before="0" w:after="200" w:lineRule="auto" w:line="276"/>
      </w:pPr>
      <w:r>
        <w:rPr>
          <w:b/>
        </w:rPr>
        <w:t xml:space="preserve">Abstract (EN): </w:t>
      </w:r>
      <w:r>
        <w:t>In marine ecosystems, critical services like fish production, carbon export, or the delivery of nutrients through N2-fixation rely heavily on the size spectrum of pelagic organisms, particularly mesoplankton (200-20,000 µm). However, the linkages between environmental factors and mesoplankton spectral biogeography remain largely unresolved, as so far only limited datasets exist to understand the large-scale shifts in mesoplankton size. Using global compilations of Rhizarian, colonial N2-fixer, and Crustacean images, we reveal the role of iron in shaping the size structure and related biogeography of these groups. Our findings underscore the importance of atmospheric sources of iron for N2-fixers and Rhizarians while total iron, accounting for organic and inorganic compounds, appeared to explain a high percentage of the variance in Crustacean size structure via apparent recycling. Using environmental explanatory variables, our models reached high R2 (0.93, 0.88, and 0.79 respectively), providing robust predictions of mesoplankton size structure related to elemental cycling and ecosystem services. Our results suggest that without compensatory mechanisms, future increases in global temperatures could have negative effects on mesoplankton size, possibly limiting carbon export from the productive layers to sequestration depth, that might be offset by expected increases in iron inputs that benefit N2-fixers, Rhizarians, and eventually Crustaceans.</w:t>
      </w:r>
    </w:p>
    <w:p>
      <w:pPr>
        <w:spacing w:before="120" w:after="120"/>
      </w:pPr>
      <w:r>
        <w:rPr>
          <w:sz w:val="18"/>
        </w:rPr>
        <w:t>——————————————————————————————————————————————————————————————————————</w:t>
      </w:r>
    </w:p>
    <w:p>
      <w:pPr>
        <w:spacing w:before="160" w:after="40" w:line="240" w:lineRule="auto"/>
      </w:pPr>
      <w:r>
        <w:rPr>
          <w:b/>
        </w:rPr>
        <w:t xml:space="preserve">[234] </w:t>
      </w:r>
      <w:hyperlink r:id="rId811">
        <w:r>
          <w:rPr>
            <w:color w:val="1155CC"/>
            <w:u w:val="single"/>
          </w:rPr>
          <w:t>临床部署的人体肝脏灌注双室生化监测平台</w:t>
        </w:r>
      </w:hyperlink>
    </w:p>
    <w:p>
      <w:pPr>
        <w:spacing w:before="0" w:after="80"/>
      </w:pPr>
      <w:r>
        <w:rPr>
          <w:i/>
          <w:sz w:val="20"/>
        </w:rPr>
        <w:t>EN: A clinically deployed dual-compartment biochemical monitoring platform for human liver perfusion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全球可移植供体肝脏的短缺增加了对边缘移植物的依赖，迫切需要在常温机器灌注期间进行工作流程兼容的评估。然而，目前的生化评估仍然受到间歇性灌注液采样、低时间分辨率和有限的胆管背景的限制。在此，我们报告了一种临床部署的用于人体肝脏灌注的双室生化监测（DCBM）平台。该系统集成了双通道微流体、多路电化学传感、胆汁兼容的防污接口和无线数据传输，可自动在线测量灌注液和胆汁中的 pH、乳酸和葡萄糖。在七个人类供体肝脏中，DCBM 平台与标准实验室检测结果高度一致，同时解决了计划的每小时采样未捕获的短暂生化偏差，包括与选定病例中随后的不良灌注趋势相关的胆汁乳酸升高。连续的双室测量进一步实现了与移植后临床过程相关的探索性结果锚定框架。该平台建立了用于双室生化监测的临床部署架构，并提供了异位肝脏灌注期间从连续传感到与活力相关的移植物评估的初始转化桥梁。</w:t>
      </w:r>
    </w:p>
    <w:p>
      <w:pPr>
        <w:spacing w:before="0" w:after="200" w:lineRule="auto" w:line="276"/>
      </w:pPr>
      <w:r>
        <w:rPr>
          <w:b/>
        </w:rPr>
        <w:t xml:space="preserve">Abstract (EN): </w:t>
      </w:r>
      <w:r>
        <w:t>The global shortage of transplantable donor livers increases reliance on marginal grafts, creating an urgent need for workflow-compatible assessment during normothermic machine perfusion. However, current biochemical evaluation remains constrained by intermittent perfusate sampling, low temporal resolution and limited cholangiobiliary context. Here we report a clinically deployed dual-compartment biochemical monitoring (DCBM) platform for human liver perfusion. The system integrates dual-channel microfluidics, multiplexed electrochemical sensing, bile-compatible antifouling interfaces and wireless data transmission to enable automated in-line measurement of pH, lactate and glucose in both perfusate and bile. In seven human donor livers, the DCBM platform shows strong agreement with standard laboratory assays while resolving transient biochemical excursions not captured by scheduled hourly sampling, including bile lactate elevations associated with subsequent adverse perfusion trends in selected cases. Continuous dual-compartment measurements further enable an exploratory outcome-anchored framework linked to post-transplant clinical course. This platform establishes a clinically deployed architecture for dual-compartment biochemical monitoring and provides an initial translational bridge from continuous sensing to viability-associated graft assessment during ex situ liver perfusion.</w:t>
      </w:r>
    </w:p>
    <w:p>
      <w:pPr>
        <w:spacing w:before="120" w:after="120"/>
      </w:pPr>
      <w:r>
        <w:rPr>
          <w:sz w:val="18"/>
        </w:rPr>
        <w:t>——————————————————————————————————————————————————————————————————————</w:t>
      </w:r>
    </w:p>
    <w:p>
      <w:pPr>
        <w:spacing w:before="160" w:after="40" w:line="240" w:lineRule="auto"/>
      </w:pPr>
      <w:r>
        <w:rPr>
          <w:b/>
        </w:rPr>
        <w:t xml:space="preserve">[235] </w:t>
      </w:r>
      <w:hyperlink r:id="rId812">
        <w:r>
          <w:rPr>
            <w:color w:val="1155CC"/>
            <w:u w:val="single"/>
          </w:rPr>
          <w:t>感觉神经源性信号传导协调口咽结构组织，支持新生小鼠的哺乳和发声</w:t>
        </w:r>
      </w:hyperlink>
    </w:p>
    <w:p>
      <w:pPr>
        <w:spacing w:before="0" w:after="80"/>
      </w:pPr>
      <w:r>
        <w:rPr>
          <w:i/>
          <w:sz w:val="20"/>
        </w:rPr>
        <w:t>EN: Sensory nerve-derived signaling coordinates oropharyngeal structural organization that supports suckling and vocalization in neonatal mice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适当的口咽功能对于哺乳、进食和言语至关重要，并且依赖于上颚、口咽肌肉组织和控制它们的颅神经的协调发展。这种整合的破坏会导致严重的新生儿并发症。然而，神经肌肉结构如何在发育上协调以支持口咽功能仍不清楚。利用单细胞和空间转录组学，我们确定三叉神经源性 GDF11 是软腭肌肉结构的关键调节因子，它通过颅神经嵴源性肌周细胞发挥作用，并由 Akt-FoxO1-Thbs3 信号传导介导，以建立肌肉结构完整性和双侧连续性。为了评估其体内功能相关性，我们采用了一系列生理测定来评估新生小鼠的口咽功能，发现感觉神经元特异性 Gdf11 缺失重现了携带 GDF11 突变的个体中观察到的软腭畸形和相关口咽功能障碍，包括哺乳受损、口咽运动功效降低和发声异常。 AKT 的药理激活可部分恢复 Gdf11 突变小鼠的软腭肌组织并改善相关的生理缺陷。总的来说，这些发现表明，感觉神经源性营养信号传导对于协调口咽形态发生和功能是不可或缺的，并为先天性口咽疾病中针对神经肌肉整合的治疗方法建立了临床前框架</w:t>
      </w:r>
    </w:p>
    <w:p>
      <w:pPr>
        <w:spacing w:before="0" w:after="200" w:lineRule="auto" w:line="276"/>
      </w:pPr>
      <w:r>
        <w:rPr>
          <w:b/>
        </w:rPr>
        <w:t xml:space="preserve">Abstract (EN): </w:t>
      </w:r>
      <w:r>
        <w:t>Proper oropharyngeal function is essential for suckling, feeding, and speech, and relies on the coordinated development of the palate, oropharyngeal musculature, and the cranial nerves that control them. Disruption of this integration leads to severe neonatal complications. However, how neuromuscular architecture is developmentally coordinated to support oropharyngeal function remains unclear. Using single-cell and spatial transcriptomics, we identify trigeminal nerve-derived GDF11 as a crucial regulator of soft palatal muscle architecture that acts through cranial neural crest-derived perimysial cells and is mediated by Akt-FoxO1-Thbs3 signaling to establish muscle structural integrity and bilateral continuity. To assess its functional relevance in vivo, we employ a battery of physiological assays to evaluate oropharyngeal function in neonatal mice and find that sensory neuron-specific Gdf11 deletion recapitulates soft palatal deformities and associated oropharyngeal dysfunction observed in individuals carrying GDF11 mutations, including impaired suckling, reduced oropharyngeal motor efficacy, and abnormal vocalizations. Pharmacological activation of AKT partially restores soft palatal muscle organization and ameliorates associated physiological deficits in Gdf11 mutant mice. Collectively, these findings demonstrate that sensory nerve-derived trophic signaling is indispensable for coordinated oropharyngeal morphogenesis and function, and establish a pre-clinical framework for the therapeutic approach targeting neuromuscular integration in congenital oropharyngeal disorders.</w:t>
      </w:r>
    </w:p>
    <w:p>
      <w:pPr>
        <w:spacing w:before="120" w:after="120"/>
      </w:pPr>
      <w:r>
        <w:rPr>
          <w:sz w:val="18"/>
        </w:rPr>
        <w:t>——————————————————————————————————————————————————————————————————————</w:t>
      </w:r>
    </w:p>
    <w:p>
      <w:pPr>
        <w:spacing w:before="160" w:after="40" w:line="240" w:lineRule="auto"/>
      </w:pPr>
      <w:r>
        <w:rPr>
          <w:b/>
        </w:rPr>
        <w:t xml:space="preserve">[236] </w:t>
      </w:r>
      <w:hyperlink r:id="rId813">
        <w:r>
          <w:rPr>
            <w:color w:val="1155CC"/>
            <w:u w:val="single"/>
          </w:rPr>
          <w:t>单细胞转录组揭示角质形成细胞亚群导致特应性皮炎分化和炎症反应改变</w:t>
        </w:r>
      </w:hyperlink>
    </w:p>
    <w:p>
      <w:pPr>
        <w:spacing w:before="0" w:after="80"/>
      </w:pPr>
      <w:r>
        <w:rPr>
          <w:i/>
          <w:sz w:val="20"/>
        </w:rPr>
        <w:t>EN: Single-cell transcriptome reveals keratinocyte subclusters contributing to altered differentiation and inflammatory responses in atopic dermatitis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特应性皮炎（AD）是一种常见的慢性炎症性皮肤病，其机制多种多样且知之甚少。我们对 42 名 AD 患者和 23 名健康对照 (HC) 的病变 (LAD) 和非病变 (NAD) 皮肤进行单细胞 RNA 测序。角质形成细胞（KC）是主要的疾病相关细胞类型。在健康皮肤中，KC 分化遵循从基础 KC 通过七个分化阶段到终末角质化细胞的线性轨迹。在 LAD 中，这一过程被破坏，显示出主要由 DK7 细胞驱动的反向末端转变。 APOD、LYZ 和 SERPINB4 作为 LAD 特异性调节因子出现，与 IL-13/IL-22 反应、ER 应激和氧化损伤相关。线粒体和内质网功能障碍在 LAD DK6 细胞中特别丰富，表明这是一个关键的致病区室。空间转录组学和细胞间相互作用分析进一步鉴定了从 IL-13+ Th2/循环 T 细胞到 Fn14+ 基础/分化 KC 的 LAD 特异性 TWEAK 信号传导。在这里，我们揭示了 AD 中 KC 分化和免疫信号通路被破坏，突出了潜在的治疗靶点。</w:t>
      </w:r>
    </w:p>
    <w:p>
      <w:pPr>
        <w:spacing w:before="0" w:after="200" w:lineRule="auto" w:line="276"/>
      </w:pPr>
      <w:r>
        <w:rPr>
          <w:b/>
        </w:rPr>
        <w:t xml:space="preserve">Abstract (EN): </w:t>
      </w:r>
      <w:r>
        <w:t>Atopic dermatitis (AD) is a common chronic inflammatory skin disease with heterogeneous and poorly understood mechanisms. We perform single-cell RNA sequencing of lesional (LAD) and non-lesional (NAD) skin from 42 AD patients and 23 healthy controls (HC). Keratinocytes (KCs) are the predominant disease-relevant cell type. In healthy skin, KC differentiation follows a linear trajectory from basal KCs through seven differentiated stages to terminal keratinized cells. In LAD, this process is disrupted, showing a reversed terminal transition mainly driven by DK7 cells. APOD, LYZ and SERPINB4 emerge as LAD-specific regulators linked to IL-13/IL-22 responses, ER stress and oxidative damage. Mitochondrial and ER dysfunction are specifically enriched in LAD DK6 cells, indicating a key pathogenic compartment. Spatial transcriptomics and cell-cell interaction analysis further identify LAD-specific TWEAK signaling from IL-13+ Th2/cycling T cells to Fn14+ basal/differentiated KCs. Here, we reveal disrupted KC differentiation and immune signaling circuits in AD, highlighting potential therapeutic targets.</w:t>
      </w:r>
    </w:p>
    <w:p>
      <w:pPr>
        <w:spacing w:before="120" w:after="120"/>
      </w:pPr>
      <w:r>
        <w:rPr>
          <w:sz w:val="18"/>
        </w:rPr>
        <w:t>——————————————————————————————————————————————————————————————————————</w:t>
      </w:r>
    </w:p>
    <w:p>
      <w:pPr>
        <w:spacing w:before="160" w:after="40" w:line="240" w:lineRule="auto"/>
      </w:pPr>
      <w:r>
        <w:rPr>
          <w:b/>
        </w:rPr>
        <w:t xml:space="preserve">[237] </w:t>
      </w:r>
      <w:hyperlink r:id="rId814">
        <w:r>
          <w:rPr>
            <w:color w:val="1155CC"/>
            <w:u w:val="single"/>
          </w:rPr>
          <w:t>人类基因调控的上下文感知序列到功能模型</w:t>
        </w:r>
      </w:hyperlink>
    </w:p>
    <w:p>
      <w:pPr>
        <w:spacing w:before="0" w:after="80"/>
      </w:pPr>
      <w:r>
        <w:rPr>
          <w:i/>
          <w:sz w:val="20"/>
        </w:rPr>
        <w:t>EN: Context-aware sequence-to-function model of human gene regulation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序列到功能模型在仅根据 DNA 序列预测基因表达、染色质可及性和表观遗传标记方面非常成功。然而，当前最先进的模型有一个根本的限制：它们无法推断超出训练数据集中包含的细胞类型和条件。在这里，我们介绍了 Corgi，一种上下文感知的序列到功能模型，它通过整合 DNA 序列和反式调节子表达来预测染色质可及性、组蛋白修饰和基因表达覆盖率，从而克服了这一限制，即使在保留的细胞类型中也是如此。经过对各种批量和单细胞测序数据集的训练，柯基犬在联合跨序列和跨细胞类型表观遗传轨迹预测方面实现了最佳性能。此外，我们还推出了一个高级模型版本 Corgi+，它在仅使用 RNA-seq 数据进行表观遗传轨迹插补方面是最先进的。我们进一步表明，柯基犬以零射击的方式学习关键细胞类型特异性反式调节因子，并且它可以预测保留细胞类型中的基因组变异效应。</w:t>
      </w:r>
    </w:p>
    <w:p>
      <w:pPr>
        <w:spacing w:before="0" w:after="200" w:lineRule="auto" w:line="276"/>
      </w:pPr>
      <w:r>
        <w:rPr>
          <w:b/>
        </w:rPr>
        <w:t xml:space="preserve">Abstract (EN): </w:t>
      </w:r>
      <w:r>
        <w:t>Sequence-to-function models have been very successful in predicting gene expression, chromatin accessibility, and epigenetic marks from DNA sequences alone. However, current state-of-the-art models have a fundamental limitation: they cannot extrapolate beyond the cell types and conditions included in their training dataset. Here, we introduce Corgi, a context-aware sequence-to-function model that overcomes this limitation by integrating DNA sequence and trans-regulator expression to predict chromatin accessibility, histone modifications, and gene expression coverage, even in held-out cell types. Trained on a diverse set of bulk and single-cell sequencing datasets, Corgi achieves top performance in joint cross-sequence and cross-cell-type epigenetic track prediction. Additionally, we present an advanced model version, Corgi+, which is state-of-the-art in imputation of epigenetic tracks using only RNA-seq data. We further show that Corgi learns key cell type-specific trans-regulators in a zero-shot manner, and it can predict genomic variant effects in held-out cell types.</w:t>
      </w:r>
    </w:p>
    <w:p>
      <w:pPr>
        <w:spacing w:before="120" w:after="120"/>
      </w:pPr>
      <w:r>
        <w:rPr>
          <w:sz w:val="18"/>
        </w:rPr>
        <w:t>——————————————————————————————————————————————————————————————————————</w:t>
      </w:r>
    </w:p>
    <w:p>
      <w:pPr>
        <w:spacing w:before="160" w:after="40" w:line="240" w:lineRule="auto"/>
      </w:pPr>
      <w:r>
        <w:rPr>
          <w:b/>
        </w:rPr>
        <w:t xml:space="preserve">[238] </w:t>
      </w:r>
      <w:hyperlink r:id="rId815">
        <w:r>
          <w:rPr>
            <w:color w:val="1155CC"/>
            <w:u w:val="single"/>
          </w:rPr>
          <w:t>通过酶促去糖化逆转蛋白质化学老化</w:t>
        </w:r>
      </w:hyperlink>
    </w:p>
    <w:p>
      <w:pPr>
        <w:spacing w:before="0" w:after="80"/>
      </w:pPr>
      <w:r>
        <w:rPr>
          <w:i/>
          <w:sz w:val="20"/>
        </w:rPr>
        <w:t>EN: Reversal of protein chemical aging by enzymatic deglycation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长寿蛋白质中晚期糖基化终末产物 (AGE) 的积累是哺乳动物衰老的标志，也是代谢功能障碍的驱动因素。在这些加合物中，Nε-羧甲基赖氨酸 (CML) 在衰老组织中特别丰富，它可以修饰蛋白质并充当晚期糖基化终末产物 (RAGE) 受体的配体，从而使慢性炎症和氧化应激持续存在。虽然反应性前体存在内源性解毒系统，但稳定的 CML 加合物历来被认为是不可逆的。在此，我们报告了 CMLase 的开发，这是一种通过 5 亿多个变体定向进化而设计的酶，可特异性氧化 CML 并恢复天然赖氨酸残基。我们证明，CMLase 可以有效逆转体外模型蛋白和老年捐赠者的人体组织样本中的 CML 修饰，从而证明以前被认为不可逆转的蛋白质损伤可以通过酶修复。总的来说，我们的方法建立了一个开发酶的平台，以逆转与年龄相关的分子损伤，并最终修复因衰老和疾病而受损的组织蛋白。</w:t>
      </w:r>
    </w:p>
    <w:p>
      <w:pPr>
        <w:spacing w:before="0" w:after="200" w:lineRule="auto" w:line="276"/>
      </w:pPr>
      <w:r>
        <w:rPr>
          <w:b/>
        </w:rPr>
        <w:t xml:space="preserve">Abstract (EN): </w:t>
      </w:r>
      <w:r>
        <w:t>The accumulation of advanced glycation end products (AGEs) in long-lived proteins is a hallmark of mammalian aging and implicated as a driver of metabolic dysfunction. Among these adducts, Nε-carboxymethyl-lysine (CML) is particularly abundant in aging tissues, where it modifies proteins and acts as a ligand for the receptor for advanced glycation end products (RAGE), thereby perpetuating chronic inflammation and oxidative stress. While endogenous detoxification systems exist for reactive precursors, the stable CML adduct has historically been considered irreversible. Here, we report the development of CMLase - an enzyme engineered through the directed evolution of over 500 million variants to specifically oxidize CML and restore the native lysine residue. We demonstrate that CMLase effectively reverses CML modifications in model proteins in vitro and in human tissue samples from elderly donors, providing proof-of-concept that protein damage previously deemed irreversible is amenable to enzymatic repair. Collectively, our approach establishes a platform for developing enzymes to reverse age-related molecular damage and ultimately repair tissue proteins compromised by aging and disease.</w:t>
      </w:r>
    </w:p>
    <w:p>
      <w:pPr>
        <w:spacing w:before="120" w:after="120"/>
      </w:pPr>
      <w:r>
        <w:rPr>
          <w:sz w:val="18"/>
        </w:rPr>
        <w:t>——————————————————————————————————————————————————————————————————————</w:t>
      </w:r>
    </w:p>
    <w:p>
      <w:pPr>
        <w:spacing w:before="160" w:after="40" w:line="240" w:lineRule="auto"/>
      </w:pPr>
      <w:r>
        <w:rPr>
          <w:b/>
        </w:rPr>
        <w:t xml:space="preserve">[239] </w:t>
      </w:r>
      <w:hyperlink r:id="rId816">
        <w:r>
          <w:rPr>
            <w:color w:val="1155CC"/>
            <w:u w:val="single"/>
          </w:rPr>
          <w:t>终板破骨细胞诱导的背角 DCC 放大环在雄性小鼠中产生慢性伤害性腰痛</w:t>
        </w:r>
      </w:hyperlink>
    </w:p>
    <w:p>
      <w:pPr>
        <w:spacing w:before="0" w:after="80"/>
      </w:pPr>
      <w:r>
        <w:rPr>
          <w:i/>
          <w:sz w:val="20"/>
        </w:rPr>
        <w:t>EN: Dorsal horn DCC amplification loop induced by endplate osteoclasts generates chronic nociplastic low back pain in male mice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脊柱退化与腰痛 (LBP) 相关，腰痛是导致残疾和功能衰退的主要原因。然而，由于对非特异性腰痛的潜在机制知之甚少，因此有效的治疗方法仍然有限。在这里，我们发现脊柱变性会诱导多孔终板分泌 netrin-1，从而激活 LBP 和自然衰老雄性小鼠的背根神经节 (DRG) 神经元中的 DCC 信号传导。 Trap+ 破骨细胞中 netrin-1 或 Avil+ DRG 神经元中 Dcc 的条件性缺失可降低脊髓超敏反应。重要的是，DCC 激活诱导 Src 磷酸化和 SNARE 复合物对接，导致背角 (DH) 突触前谷氨酸释放。因此，突触前谷氨酸释放诱导 DH 神经元中 netrin-1 和 DCC 的表达，作为突触后可塑性的一种形式，启动正反馈循环以放大脊髓超敏反应。此外，LBP 和老年雄性小鼠大脑的臂旁核 (PBN) 中 netrin-1/DCC 的表达也有所增强。因此，多孔终板中破骨细胞衍生的 netrin-1 激活 DRG 神经元中 DCC 介导的超敏反应，并在 DH 神经元中进一步放大。这些结果促进了非特异性腰痛作为伤害性疼痛的一种形式的概念。</w:t>
      </w:r>
    </w:p>
    <w:p>
      <w:pPr>
        <w:spacing w:before="0" w:after="200" w:lineRule="auto" w:line="276"/>
      </w:pPr>
      <w:r>
        <w:rPr>
          <w:b/>
        </w:rPr>
        <w:t xml:space="preserve">Abstract (EN): </w:t>
      </w:r>
      <w:r>
        <w:t>Spine degeneration is associated with low back pain (LBP), a major cause of disability and functional decline. However, effective therapies for non-specific LBP remain limited because its underlying mechanisms are poorly understood. Here, we show that spine degeneration induces netrin-1 secretion in porous endplates to activate DCC signaling in dorsal root ganglion (DRG) neurons in both LBP and naturally aged male mice. Conditional loss of netrin-1 in Trap+ osteoclasts, or Dcc in Avil+ DRG neurons reduced spinal hypersensitivity. Importantly, DCC activation induces Src phosphorylation and SNARE complex docking, leading to presynaptic glutamate release in the dorsal horn (DH). Consequently, presynaptic glutamate release induces expression of both netrin-1 and DCC in DH neurons as a form of postsynaptic plasticity that initiates a positive feedback loop to amplify spinal hypersensitivity. Moreover, netrin-1/DCC expression is also amplified in the parabrachial nucleus (PBN) in the brain in both LBP and aged male mice. Thus, osteoclast-derived netrin-1 in porous endplates activates DCC-mediated hypersensitivity in DRG neurons to be further amplified in the DH neurons. These results promote the concept of non-specific LBP as a form of nociplastic pain.</w:t>
      </w:r>
    </w:p>
    <w:p>
      <w:pPr>
        <w:spacing w:before="120" w:after="120"/>
      </w:pPr>
      <w:r>
        <w:rPr>
          <w:sz w:val="18"/>
        </w:rPr>
        <w:t>——————————————————————————————————————————————————————————————————————</w:t>
      </w:r>
    </w:p>
    <w:p>
      <w:pPr>
        <w:spacing w:before="160" w:after="40" w:line="240" w:lineRule="auto"/>
      </w:pPr>
      <w:r>
        <w:rPr>
          <w:b/>
        </w:rPr>
        <w:t xml:space="preserve">[240] </w:t>
      </w:r>
      <w:hyperlink r:id="rId817">
        <w:r>
          <w:rPr>
            <w:color w:val="1155CC"/>
            <w:u w:val="single"/>
          </w:rPr>
          <w:t>界面处的共价银-多孔 MXene 连接促进电化学脱氯</w:t>
        </w:r>
      </w:hyperlink>
    </w:p>
    <w:p>
      <w:pPr>
        <w:spacing w:before="0" w:after="80"/>
      </w:pPr>
      <w:r>
        <w:rPr>
          <w:i/>
          <w:sz w:val="20"/>
        </w:rPr>
        <w:t>EN: Covalent Ag-holey MXene link at interface boosting electrochemical dechlorination</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将银物质纳入导电基质中可以减轻电容去离子 (CDI) 中的体积膨胀并稳定电极结构。然而，这种方法可能会在其具有物理接触或弱分子间连接的异质界面处遭受严重的电荷转移阻力。为了应对这一挑战，我们通过原位蚀刻和还原策略将Ag单原子和纳米颗粒与多孔MXene（HMX）共价连接，其中生成与HMX共价键的原子分散的Ag，并作为引导Ag纳米颗粒生长的枢轴。精心设计的共价连接促进 Ag 到 HMX 的电子转移，并在 Ag 上产生电子缺陷，从而促进法拉第脱氯。同时，具有丰富面内纳米孔的穿孔HMX纳米片组装成具有空间互连的多孔基质的薄膜，从而实现电子和离子的快速跨膜传输。因此，与对照样品相比，制成的混合电极表现出增强的脱氯能力（156.63 ± 2.6 mg g−1）、充电效率（91.2 ± 4.5%）和循环稳定性（50个循环中的保留率&gt; 90%）。这种合成策略将 Ag 介导的共价界面桥接与孔隙工程 MXene 相结合，为设计 CDI 脱氯电极提供了范例。</w:t>
      </w:r>
    </w:p>
    <w:p>
      <w:pPr>
        <w:spacing w:before="0" w:after="200" w:lineRule="auto" w:line="276"/>
      </w:pPr>
      <w:r>
        <w:rPr>
          <w:b/>
        </w:rPr>
        <w:t xml:space="preserve">Abstract (EN): </w:t>
      </w:r>
      <w:r>
        <w:t>Incorporating Ag species into conductive matrices can mitigate volumetric expansion and stabilize electrode structures in capacitive deionization (CDI). Yet, this approach may suffer from severe charge transfer resistance at their heterogeneous interface featuring physical contact or weak intermolecular link. To tackle this challenge, we linked Ag single atoms and nanoparticles covalently to holey MXene (HMX) via an in situ etching-and-reduction strategy, in which atomically dispersed Ag in covalent bond with HMX is generated and serves as pivots to guide growth of Ag nanoparticles. The elaborate covalent link promotes Ag-to-HMX electron transfer and creates electron-deficiency on Ag that facilitates faradaic dechlorination. Meanwhile, the perforated HMX nanosheets with rich in-plane nanopores assemble into thin films possessing a spatially interconnected porous matrix, enabling fast cross-film transfer of both electrons and ions. Consequently, the as-made hybrid electrodes exhibit enhanced dechlorination capacity (156.63 ± 2.6 mg g−1), charge efficiency (91.2 ± 4.5%), and cyclic stability (&gt;90% retention in 50 cycles) compared to the control samples. This synthetic strategy integrates Ag-mediated covalent interfacial bridging with pore-engineered MXene, providing a paradigm for designing CDI dechlorination electrodes.</w:t>
      </w:r>
    </w:p>
    <w:p>
      <w:pPr>
        <w:spacing w:before="120" w:after="120"/>
      </w:pPr>
      <w:r>
        <w:rPr>
          <w:sz w:val="18"/>
        </w:rPr>
        <w:t>——————————————————————————————————————————————————————————————————————</w:t>
      </w:r>
    </w:p>
    <w:p>
      <w:pPr>
        <w:spacing w:before="160" w:after="40" w:line="240" w:lineRule="auto"/>
      </w:pPr>
      <w:r>
        <w:rPr>
          <w:b/>
        </w:rPr>
        <w:t xml:space="preserve">[241] </w:t>
      </w:r>
      <w:hyperlink r:id="rId818">
        <w:r>
          <w:rPr>
            <w:color w:val="1155CC"/>
            <w:u w:val="single"/>
          </w:rPr>
          <w:t>瓜氨酸促进与年龄相关的脂质沉积，延长健康寿命</w:t>
        </w:r>
      </w:hyperlink>
    </w:p>
    <w:p>
      <w:pPr>
        <w:spacing w:before="0" w:after="80"/>
      </w:pPr>
      <w:r>
        <w:rPr>
          <w:i/>
          <w:sz w:val="20"/>
        </w:rPr>
        <w:t>EN: Citrulline drives age-related lipid deposition for healthspan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脂质沉积过多或过少都会增加死亡率，而相反，衰老过程中适度的脂质沉积对于健康寿命至关重要。动物如何确定衰老状态，然后促进适当的脂质沉积以延长寿命，目前尚不清楚。在这项研究中，我们确定瓜氨酸是驱动秀丽隐杆线虫健康寿命的衰老相关脂质沉积的关键代谢物。瓜氨酸缺乏会减少与衰老相关的脂质积累并缩短寿命，这种效应可以通过膳食补充剂逆转。从机制上讲，在衰老过程中，转录因子MXL-3被激活，上调pyr-1的表达，编码鸟氨酸转氨甲酰酶(OTC)，以产生瓜氨酸，然后激活脂肪生成酶DGAT-2和MBOA-2，从而促进脂质合成和沉积，从而延长寿命。总的来说，我们发现了 MXL-3-瓜氨酸-脂肪生成轴，以确保健康寿命，为代谢衰老提供独特的见解。</w:t>
      </w:r>
    </w:p>
    <w:p>
      <w:pPr>
        <w:spacing w:before="0" w:after="200" w:lineRule="auto" w:line="276"/>
      </w:pPr>
      <w:r>
        <w:rPr>
          <w:b/>
        </w:rPr>
        <w:t xml:space="preserve">Abstract (EN): </w:t>
      </w:r>
      <w:r>
        <w:t>Too much or too less lipid deposition increases mortality, while in contrast, modest lipid deposition during aging is crucial for healthspan. How animals determine the aging state and then promote appropriate lipid deposition for lifespan benefits are largely unknown. In this study, we identified citrulline as a key metabolite driving aging-related lipid deposition for healthspan in Caenorhabditis elegans. Citrulline deficiency reduced aging-related lipid accumulation and shortened lifespan, an effect reversible by dietary supplementation. Mechanistically, during aging, the transcription factor MXL-3 is activated to upregulate the expression of pyr-1, encoding ornithine transcarbamylase (OTC), for the production of citrulline, which then activates the lipogenic enzymes DGAT-2 and MBOA-2 to consequently promote lipid synthesis and deposition for lifespan extension. Collectively, we uncover a MXL-3-citrulline-lipogensis axis to ensure healthspan, providing distinct insights into metabolic aging.</w:t>
      </w:r>
    </w:p>
    <w:p>
      <w:pPr>
        <w:spacing w:before="120" w:after="120"/>
      </w:pPr>
      <w:r>
        <w:rPr>
          <w:sz w:val="18"/>
        </w:rPr>
        <w:t>——————————————————————————————————————————————————————————————————————</w:t>
      </w:r>
    </w:p>
    <w:p>
      <w:pPr>
        <w:spacing w:before="160" w:after="40" w:line="240" w:lineRule="auto"/>
      </w:pPr>
      <w:r>
        <w:rPr>
          <w:b/>
        </w:rPr>
        <w:t xml:space="preserve">[242] </w:t>
      </w:r>
      <w:hyperlink r:id="rId819">
        <w:r>
          <w:rPr>
            <w:color w:val="1155CC"/>
            <w:u w:val="single"/>
          </w:rPr>
          <w:t>通过分层纳米平台破坏富马酰乙酰乙酸水解酶可协调代谢免疫重编程并防止消融后 HCC 复发</w:t>
        </w:r>
      </w:hyperlink>
    </w:p>
    <w:p>
      <w:pPr>
        <w:spacing w:before="0" w:after="80"/>
      </w:pPr>
      <w:r>
        <w:rPr>
          <w:i/>
          <w:sz w:val="20"/>
        </w:rPr>
        <w:t>EN: Disrupting fumarylacetoacetate hydrolase by stratified nanoplatforms orchestrates metabolic-immune reprogramming and prevents post-ablation HCC relapse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微波消融后的肝细胞癌（HCC）复发提出了紧迫的临床挑战，这是由代谢适应的残留细胞建立免疫抑制肿瘤微环境所驱动的。我们的研究发现，消融后富马酰乙酰乙酸水解酶（FAH）的上调是促进复发的关键“代谢检查点”。 FAH 表达升高导致残留 HCC 细胞内富马酸水平升高，通过增强能量代谢支持肿瘤细胞存活，同时损害 CD8+ T 细胞功能。从机制上讲，富马酸结合并稳定热休克蛋白 70 (HSP70)，建立热消融诱导的 FAH-富马酸-HSP70 轴，驱动免疫抑制。为了抵消这个枢轴，我们设计了一种基于镓的功能化纳米平台。该系统包含一个乳酸氧化酶外壳，可响应富含乳酸的肿瘤微环境，从而实现 Ga3+、FAH 沉默质粒和糖酵解抑制剂 2-脱氧-D-葡萄糖的位点特异性共同释放。我们的纳米平台破坏 FAH-富马酸-HSP70 轴，以根除残余 HCC、激活 CD8+ T 细胞并恢复免疫力，针对复发失调，同时将代谢阻断与免疫调节相结合，以防止消融后复发，并具有临床转化潜力。</w:t>
      </w:r>
    </w:p>
    <w:p>
      <w:pPr>
        <w:spacing w:before="0" w:after="200" w:lineRule="auto" w:line="276"/>
      </w:pPr>
      <w:r>
        <w:rPr>
          <w:b/>
        </w:rPr>
        <w:t xml:space="preserve">Abstract (EN): </w:t>
      </w:r>
      <w:r>
        <w:t>Hepatocellular carcinoma (HCC) recurrence following microwave ablation poses a pressing clinical challenge, driven by metabolically adapted residual cells that establish an immunosuppressive tumour microenvironment. Our study identifies the post-ablation upregulation of fumarylacetoacetate hydrolase (FAH) as a crucial “metabolic checkpoint” promoting relapse. Elevated FAH expression results in increased fumarate levels within residual HCC cells, supporting tumour cell survival by enhancing energy metabolism while concurrently impairing CD8+ T cell function. Mechanistically, fumarate binds to and stabilises heat shock protein 70 (HSP70), establishing a thermal ablation induced FAH-fumarate-HSP70 axis that drives immunosuppression. To counteract this pivotal axis, we engineered a gallium-based functionalized nanoplatform. This system incorporates a lactate oxidase shell that responds to the lactate-rich tumour microenvironment, enabling the site-specific co-release of Ga3+, FAH-silencing plasmids and the glycolysis inhibitor 2-deoxy-D-glucose. Our nanoplatforms disrupt the FAH-fumarate-HSP70 axis to eradicate residual HCC, activate CD8+ T cells, and restore immunity, targeting recurrence dysregulation while integrating metabolic blockade with immunomodulation to prevent post-ablation relapse with clinical translation potential.</w:t>
      </w:r>
    </w:p>
    <w:p>
      <w:pPr>
        <w:spacing w:before="120" w:after="120"/>
      </w:pPr>
      <w:r>
        <w:rPr>
          <w:sz w:val="18"/>
        </w:rPr>
        <w:t>——————————————————————————————————————————————————————————————————————</w:t>
      </w:r>
    </w:p>
    <w:p>
      <w:pPr>
        <w:spacing w:before="160" w:after="40" w:line="240" w:lineRule="auto"/>
      </w:pPr>
      <w:r>
        <w:rPr>
          <w:b/>
        </w:rPr>
        <w:t xml:space="preserve">[243] </w:t>
      </w:r>
      <w:hyperlink r:id="rId820">
        <w:r>
          <w:rPr>
            <w:color w:val="1155CC"/>
            <w:u w:val="single"/>
          </w:rPr>
          <w:t>高环境温度激活雄性小鼠肠道葡萄糖摄取的神经回路</w:t>
        </w:r>
      </w:hyperlink>
    </w:p>
    <w:p>
      <w:pPr>
        <w:spacing w:before="0" w:after="80"/>
      </w:pPr>
      <w:r>
        <w:rPr>
          <w:i/>
          <w:sz w:val="20"/>
        </w:rPr>
        <w:t>EN: High ambient temperature activates a neural circuit for gut glucose uptake in male mice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热应激会引发防御性能量需求，以防止细胞损伤。使用雄性小鼠，我们发现暴露于高环境温度 (HAT) 会诱导钠/葡萄糖协同转运蛋白 1 (SGLT1) 介导的肠道葡萄糖吸收增加。补充葡萄糖可减轻 HAT 引起的小鼠生理损伤。从机制上讲，我们发现阻断肠道迷走运动神经传递可以消除 HAT 对肠道葡萄糖吸收的刺激作用。这表明源自迷走神经背侧运动核（DMVChAT）的胆碱能运动神经元发挥着至关重要的作用。跨神经元追踪揭示了从内侧视前区（mPOAGlu）的谷氨酸能神经元到迷走神经的上行通路，下丘脑室旁核（PVNCRF）中的促肾上腺皮质激素释放因子神经元充当关键中继。抑制 mPOAGlu → PVNCRF → DMVChAT 回路中的关键神经元模拟了迷走神经阻滞对 HAT 诱导的肠道葡萄糖吸收的影响。我们的研究结果将大脑-迷走神经-肠道通路确立为适应 HAT 挑战的内感受回路。</w:t>
      </w:r>
    </w:p>
    <w:p>
      <w:pPr>
        <w:spacing w:before="0" w:after="200" w:lineRule="auto" w:line="276"/>
      </w:pPr>
      <w:r>
        <w:rPr>
          <w:b/>
        </w:rPr>
        <w:t xml:space="preserve">Abstract (EN): </w:t>
      </w:r>
      <w:r>
        <w:t>Heat stress triggers defensive energy demands to prevent cellular damage. Using male mice, we found that exposure to high ambient temperature (HAT) induces an increase in intestinal glucose absorption mediated by sodium/glucose cotransporter 1 (SGLT1). Glucose supplementation alleviated HAT-induced physiological damage in mice. Mechanistically, we found that blocking intestinal vagal motor nerve transmission eliminated HAT’s stimulatory effects on intestinal glucose absorption. This suggests that cholinergic motor neurons originating from the dorsal motor nucleus of the vagus (DMVChAT) play a crucial role. Transneuronal tracing revealed an ascending pathway from glutamatergic neurons in the medial preoptic area (mPOAGlu) to the vagus nerve, with corticotropin-releasing factor neurons in the paraventricular nucleus of the hypothalamus (PVNCRF) acting as a key relay. Inhibiting key neurons in the mPOAGlu → PVNCRF → DMVChAT circuit mimicked the effects of vagus blockage on HAT-induced intestinal glucose absorption. Our findings establish the brain-vagal-gut pathway as an interoceptive circuit for adapting to HAT challenges.</w:t>
      </w:r>
    </w:p>
    <w:p>
      <w:pPr>
        <w:spacing w:before="120" w:after="120"/>
      </w:pPr>
      <w:r>
        <w:rPr>
          <w:sz w:val="18"/>
        </w:rPr>
        <w:t>——————————————————————————————————————————————————————————————————————</w:t>
      </w:r>
    </w:p>
    <w:p>
      <w:pPr>
        <w:spacing w:before="160" w:after="40" w:line="240" w:lineRule="auto"/>
      </w:pPr>
      <w:r>
        <w:rPr>
          <w:b/>
        </w:rPr>
        <w:t xml:space="preserve">[244] </w:t>
      </w:r>
      <w:hyperlink r:id="rId821">
        <w:r>
          <w:rPr>
            <w:color w:val="1155CC"/>
            <w:u w:val="single"/>
          </w:rPr>
          <w:t>表观遗传特征标志着成熟群体中早期外周人类 B 谱系分叉和差异转录谱</w:t>
        </w:r>
      </w:hyperlink>
    </w:p>
    <w:p>
      <w:pPr>
        <w:spacing w:before="0" w:after="80"/>
      </w:pPr>
      <w:r>
        <w:rPr>
          <w:i/>
          <w:sz w:val="20"/>
        </w:rPr>
        <w:t>EN: Epigenetic signatures mark early peripheral human B lineage bifurcation and differential transcriptional profiles in mature populations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在人类 B 细胞成熟过程中，未成熟的移行 (T1) 细胞从骨髓转移到血液中。在随后的未成熟 T2 阶段，提出了 IgMhi (T2Mhi) 和 IgMlo (T2Mlo) 发育轨迹的分离。在这里，我们从成人和脐带血中分离 T1、T2Mhi 和 T2Mlo 细胞，用于批量和单细胞 ATAC-seq、CUT&amp;RUN、RNA​​-seq 和 CITE-seq，以分析它们的转录组和表观遗传差异。我们确定了在外周 B 细胞发育过程中区分 T2Mhi 和 T2Mlo 细胞的可接近染色质结构域，其特征在 T2Mlo 分化为初始 B 细胞期间持续存在。同样，记忆和边缘区 B 细胞保留其 T2Mlo 和 T2Mhi 前体的表观遗传特征，以及转录多样性。使用 RNAscope 对脾脏、阑尾和扁桃体进行成像质谱流式分析进一步验证了表达基因的空间关系。因此，我们的研究提供了对 B 谱系 T2 分叉的见解，并描述了 B 细胞发育途径的表观遗传特征。</w:t>
      </w:r>
    </w:p>
    <w:p>
      <w:pPr>
        <w:spacing w:before="0" w:after="200" w:lineRule="auto" w:line="276"/>
      </w:pPr>
      <w:r>
        <w:rPr>
          <w:b/>
        </w:rPr>
        <w:t xml:space="preserve">Abstract (EN): </w:t>
      </w:r>
      <w:r>
        <w:t>During human B cell maturation, immature transitional (T1) cells transit from bone marrow into the blood. At the subsequent immature T2 stage, a separation into IgMhi (T2Mhi) and IgMlo (T2Mlo) developmental trajectories has been proposed. Here, we isolate T1, T2Mhi and T2Mlo cells from human adult and cord blood for bulk and single-cell ATAC-seq, CUT&amp;RUN, RNA-seq and CITE-seq to profile their transcriptomic and epigenetic differences. We identify accessible chromatin domains discriminating between T2Mhi and T2Mlo cells in peripheral B cell development, with signatures persisting during the differentiation of T2Mlo to naïve B cells. Similarly, memory and marginal zone B cells retain epigenetic hallmarks of their T2Mlo and T2Mhi precursors, coupled with transcriptional diversity. Imaging mass cytometry with RNAscope of spleen, appendix and tonsil further validates the spatial relationships of expressed genes. Our study thus provides insights into B lineage T2 bifurcation and describes epigenetic signatures of B cell developmental pathways.</w:t>
      </w:r>
    </w:p>
    <w:p>
      <w:pPr>
        <w:spacing w:before="120" w:after="120"/>
      </w:pPr>
      <w:r>
        <w:rPr>
          <w:sz w:val="18"/>
        </w:rPr>
        <w:t>——————————————————————————————————————————————————————————————————————</w:t>
      </w:r>
    </w:p>
    <w:p>
      <w:pPr>
        <w:spacing w:before="160" w:after="40" w:line="240" w:lineRule="auto"/>
      </w:pPr>
      <w:r>
        <w:rPr>
          <w:b/>
        </w:rPr>
        <w:t xml:space="preserve">[245] </w:t>
      </w:r>
      <w:hyperlink r:id="rId822">
        <w:r>
          <w:rPr>
            <w:color w:val="1155CC"/>
            <w:u w:val="single"/>
          </w:rPr>
          <w:t>结核分枝杆菌中 DosR 依赖性转录激活的分子基础</w:t>
        </w:r>
      </w:hyperlink>
    </w:p>
    <w:p>
      <w:pPr>
        <w:spacing w:before="0" w:after="80"/>
      </w:pPr>
      <w:r>
        <w:rPr>
          <w:i/>
          <w:sz w:val="20"/>
        </w:rPr>
        <w:t>EN: Molecular basis of DosR-dependent transcription activation in Mycobacterium tuberculosis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转录激活子DosR是控制全球致病性结核分枝杆菌(Mtb)潜伏感染的关键休眠调节因子，但其分子机制仍不清楚。在这里，我们确定了完整的 DosR 依赖性转录激活复合物 (DosR-TAC) 的冷冻电镜结构，该复合物包含 Mtb RNA 聚合酶 (RNAP)、DosR 和缺氧启动子 DNA。该结构显示，两个 DosR 单体通过 N 端受体结构域 (DosR_REC) 和来自 C 端 DNA 结合结构域 (DosR_DBD) 的不同 α10 螺旋对称二聚化。与其抑制性构型不同，功能性 DosR 二聚体表现出显着的构象重排，尤其是在连接螺旋处，这使得 DosR 能够同时接触启动子 DNA 并通过接合保守结构域（σAR4、αCTD 和 αNTD）来招募 RNAP。这些结果与体外和体内测定一致。这些发现以及之前的观察结果支持了 DosR 依赖性转录激活的“变构激活-募集”模型，并为开发抗结核病的抗休眠策略提供了潜在的靶标。</w:t>
      </w:r>
    </w:p>
    <w:p>
      <w:pPr>
        <w:spacing w:before="0" w:after="200" w:lineRule="auto" w:line="276"/>
      </w:pPr>
      <w:r>
        <w:rPr>
          <w:b/>
        </w:rPr>
        <w:t xml:space="preserve">Abstract (EN): </w:t>
      </w:r>
      <w:r>
        <w:t>The transcription activator DosR is a key dormancy regulator controlling latent infection of the worldwide pathogenic Mycobacterium tuberculosis (Mtb), but its molecular mechanism remains unclear. Here we determine the cryo-EM structure of an intact DosR-dependent transcriptional activation complex (DosR-TAC), comprising Mtb RNA polymerase (RNAP), DosR, and the hypoxic promoter DNA. The structure shows that two DosR monomers symmetrically dimerize through the N-terminal receiver domains (DosR_RECs) and the distinct α10 helices from the C-terminal DNA-binding domains (DosR_DBDs). Different from its inhibitory configuration, the functional DosR dimer exhibits significant conformational rearrangements, especially at the linker helix, which enable DosR to simultaneously contact promoter DNA and recruit RNAP by engaging the conserved domains (σAR4, αCTD, and αNTD). These results coincide with in vitro and in vivo assays. These findings, along with the previous observations, support an ‘allosteric activation-recruitment’ model for DosR-dependent transcription activation and offer potential targets for developing anti-dormancy strategies against tuberculosis.</w:t>
      </w:r>
    </w:p>
    <w:p>
      <w:pPr>
        <w:spacing w:before="120" w:after="120"/>
      </w:pPr>
      <w:r>
        <w:rPr>
          <w:sz w:val="18"/>
        </w:rPr>
        <w:t>——————————————————————————————————————————————————————————————————————</w:t>
      </w:r>
    </w:p>
    <w:p>
      <w:pPr>
        <w:spacing w:before="160" w:after="40" w:line="240" w:lineRule="auto"/>
      </w:pPr>
      <w:r>
        <w:rPr>
          <w:b/>
        </w:rPr>
        <w:t xml:space="preserve">[246] </w:t>
      </w:r>
      <w:hyperlink r:id="rId823">
        <w:r>
          <w:rPr>
            <w:color w:val="1155CC"/>
            <w:u w:val="single"/>
          </w:rPr>
          <w:t>TAF15 淀粉样蛋白通过定义的基序以类似朊病毒的方式传播</w:t>
        </w:r>
      </w:hyperlink>
    </w:p>
    <w:p>
      <w:pPr>
        <w:spacing w:before="0" w:after="80"/>
      </w:pPr>
      <w:r>
        <w:rPr>
          <w:i/>
          <w:sz w:val="20"/>
        </w:rPr>
        <w:t>EN: TAF15 amyloids propagate via defined motifs in a prion-like fashion</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TATA 盒结合蛋白相关因子 15 (TAF15) 是一种 RNA 结合蛋白，也是部分额颞叶变性 (FTLD) 病例中的主要纤维成分。然而，TAF15 聚集的分子决定因素仍不清楚。在这里，我们展示了 TAF15 在生理条件下形成淀粉样原纤维，并开发了一种细胞生物传感器来监测其传播。从 FTLD 患者大脑中提取的重组 TAF15 原纤维和病理聚集体都选择性地接种 TAF15 生物传感器细胞，表现出类似朊病毒的特性。密切相关的蛋白质 FUS 不会播种 TAF15 聚集，揭示了交叉播种屏障，但在 TAF15 诱导的播种过程中部分融入了内含物，这可能解释了它们在 FTLD 中的病理重叠。计算和基于肽的作图识别了低复杂性结构域内易于聚集的基序，可稳定离体原纤维核心并驱动 TAF15 增殖。这些发现确定 TAF15 是一种淀粉样蛋白形成的朊病毒样蛋白，并定义了其自组装的序列决定因素，为 FTLD-TAF15 和潜在的治疗靶点提供了机制框架。</w:t>
      </w:r>
    </w:p>
    <w:p>
      <w:pPr>
        <w:spacing w:before="0" w:after="200" w:lineRule="auto" w:line="276"/>
      </w:pPr>
      <w:r>
        <w:rPr>
          <w:b/>
        </w:rPr>
        <w:t xml:space="preserve">Abstract (EN): </w:t>
      </w:r>
      <w:r>
        <w:t>TATA-box binding protein–associated factor 15 (TAF15) is an RNA-binding protein and the primary fibrillar constituent in a subset of frontotemporal lobar degeneration (FTLD) cases. However, the molecular determinants underlying TAF15 aggregation remain unclear. Here, we show that TAF15 forms amyloid fibrils under physiological conditions and develop a cellular biosensor to monitor its propagation. Both recombinant TAF15 fibrils and pathological aggregates extracted from FTLD patient brains selectively seed TAF15 biosensor cells, demonstrating prion-like properties. The closely related protein FUS does not seed TAF15 aggregation, revealing a cross-seeding barrier, but partially incorporates into inclusions during TAF15-induced seeding, potentially explaining their pathological overlap in FTLD. Computational and peptide-based mapping identifies aggregation-prone motifs within the low-complexity domain that stabilize ex vivo fibril cores and drive TAF15 propagation. These findings establish TAF15 as an amyloid-forming, prion-like protein and define sequence determinants underlying its self-assembly, providing a mechanistic framework for FTLD-TAF15 and potential therapeutic targets.</w:t>
      </w:r>
    </w:p>
    <w:p>
      <w:pPr>
        <w:spacing w:before="120" w:after="120"/>
      </w:pPr>
      <w:r>
        <w:rPr>
          <w:sz w:val="18"/>
        </w:rPr>
        <w:t>——————————————————————————————————————————————————————————————————————</w:t>
      </w:r>
    </w:p>
    <w:p>
      <w:pPr>
        <w:spacing w:before="160" w:after="40" w:line="240" w:lineRule="auto"/>
      </w:pPr>
      <w:r>
        <w:rPr>
          <w:b/>
        </w:rPr>
        <w:t xml:space="preserve">[247] </w:t>
      </w:r>
      <w:hyperlink r:id="rId824">
        <w:r>
          <w:rPr>
            <w:color w:val="1155CC"/>
            <w:u w:val="single"/>
          </w:rPr>
          <w:t>草类气孔力学的起源</w:t>
        </w:r>
      </w:hyperlink>
    </w:p>
    <w:p>
      <w:pPr>
        <w:spacing w:before="0" w:after="80"/>
      </w:pPr>
      <w:r>
        <w:rPr>
          <w:i/>
          <w:sz w:val="20"/>
        </w:rPr>
        <w:t>EN: Origins of stomatal mechanics in grasses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草气孔的独特之处在于具有哑铃形的保卫细胞解剖结构，但导致这种戏剧性解剖变化的进化背景仍然难以捉摸。在这里，我们比较了Poales目的气孔对叶片水分状况和光照变化的反应，包括不具有哑铃形保卫细胞的禾本科植物的近亲。与其他被子植物不同，非草类 Poales 的保卫细胞和邻近表皮细胞之间的机械相互作用最小。这是令人惊讶的，因为与其他陆地植物相比，这些细胞之间的机械相互作用增加了被子植物的最大气孔孔径和气孔反应性。草丛中的哑铃形保卫细胞与增加的辅助细胞区域相关，保卫细胞在打开时可以通过位移移动到其中。草类中保卫细胞和辅助细胞之间明显的机械相互作用的重新出现增强了气孔对环境信号的敏感性，并且可能与该谱系的生态成功有关。</w:t>
      </w:r>
    </w:p>
    <w:p>
      <w:pPr>
        <w:spacing w:before="0" w:after="200" w:lineRule="auto" w:line="276"/>
      </w:pPr>
      <w:r>
        <w:rPr>
          <w:b/>
        </w:rPr>
        <w:t xml:space="preserve">Abstract (EN): </w:t>
      </w:r>
      <w:r>
        <w:t>Grass stomata are unique in having dumbbell-shaped guard cell anatomy, but the evolutionary context that led to this dramatic anatomical change remains elusive. Here we compared stomatal responses to changes in leaf water status and light across the order Poales, including the closest relatives of grasses which do not have dumbbell-shaped guard cells. Unlike other angiosperms, non-grass Poales have minimal mechanical interactions between guard cells and neighboring epidermal cells. This is surprising because mechanical interactions between these cells increase maximum stomatal aperture and stomatal responsiveness in angiosperms compared to other land plants. Dumbbell-shaped guard cells in grasses are associated with an increased subsidiary cell area into which guard cells can move by displacement when opening. The reemergence of pronounced mechanical interactions between guard cells and subsidiary cells in grasses enhances stomatal sensitivity to environmental signals and may be linked to the ecological success of this lineage.</w:t>
      </w:r>
    </w:p>
    <w:p>
      <w:pPr>
        <w:spacing w:before="120" w:after="120"/>
      </w:pPr>
      <w:r>
        <w:rPr>
          <w:sz w:val="18"/>
        </w:rPr>
        <w:t>——————————————————————————————————————————————————————————————————————</w:t>
      </w:r>
    </w:p>
    <w:p>
      <w:pPr>
        <w:spacing w:before="160" w:after="40" w:line="240" w:lineRule="auto"/>
      </w:pPr>
      <w:r>
        <w:rPr>
          <w:b/>
        </w:rPr>
        <w:t xml:space="preserve">[248] </w:t>
      </w:r>
      <w:hyperlink r:id="rId825">
        <w:r>
          <w:rPr>
            <w:color w:val="1155CC"/>
            <w:u w:val="single"/>
          </w:rPr>
          <w:t>自热引起的纳米孔阻塞使神经形态离子计算成为可能</w:t>
        </w:r>
      </w:hyperlink>
    </w:p>
    <w:p>
      <w:pPr>
        <w:spacing w:before="0" w:after="80"/>
      </w:pPr>
      <w:r>
        <w:rPr>
          <w:i/>
          <w:sz w:val="20"/>
        </w:rPr>
        <w:t>EN: Self-heating-induced blocking in nanopores enables neuromorphic ionic computing</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受大脑高效离子处理的启发，使用离子作为电荷载体的流体忆阻器已成为未来神经形态系统的一个有前景的平台。为了更好地复制大脑的动态功能，有必要探索额外的忆阻材料和切换机制。在这项工作中，我们提出了一种自热诱导阻塞忆阻器（SIBM），其中记忆效应是由热触发的可逆沉淀产生的。当受到周期性电压刺激时，SIBM 表现出阈值型单极电阻开关，并具有明显的负微分电阻（NDR）。我们演示了各种神经形态功能，并通过实验验证了能够重复存储操作的流体忆阻器阵列。这些结果为下一代神经形态流体设备的设计提供了见解。</w:t>
      </w:r>
    </w:p>
    <w:p>
      <w:pPr>
        <w:spacing w:before="0" w:after="200" w:lineRule="auto" w:line="276"/>
      </w:pPr>
      <w:r>
        <w:rPr>
          <w:b/>
        </w:rPr>
        <w:t xml:space="preserve">Abstract (EN): </w:t>
      </w:r>
      <w:r>
        <w:t>Inspired by the brain’s efficient ionic processing, fluidic memristors using ions as charge carriers have emerged as a promising platform for future neuromorphic systems. To better replicate the brain’s dynamic functions, it’s essential to explore additional memristive materials and switching mechanisms. In this work, we present a self-heating-induced blocking memristor (SIBM), in which the memory effect arises from thermally triggered reversible precipitation. When subjected to periodic voltage stimulation, SIBM shows threshold-type unipolar resistive switching and features a clear negative differential resistance (NDR). We demonstrate various neuromorphic functions and experimentally validate a fluidic memristor array capable of repeated memory operations. These results provide insights for the design of next-generation neuromorphic fluidic devices.</w:t>
      </w:r>
    </w:p>
    <w:p>
      <w:pPr>
        <w:spacing w:before="120" w:after="120"/>
      </w:pPr>
      <w:r>
        <w:rPr>
          <w:sz w:val="18"/>
        </w:rPr>
        <w:t>——————————————————————————————————————————————————————————————————————</w:t>
      </w:r>
    </w:p>
    <w:p>
      <w:pPr>
        <w:spacing w:before="160" w:after="40" w:line="240" w:lineRule="auto"/>
      </w:pPr>
      <w:r>
        <w:rPr>
          <w:b/>
        </w:rPr>
        <w:t xml:space="preserve">[249] </w:t>
      </w:r>
      <w:hyperlink r:id="rId826">
        <w:r>
          <w:rPr>
            <w:color w:val="1155CC"/>
            <w:u w:val="single"/>
          </w:rPr>
          <w:t>骨细胞小清蛋白介导机械转导以减轻骨关节炎</w:t>
        </w:r>
      </w:hyperlink>
    </w:p>
    <w:p>
      <w:pPr>
        <w:spacing w:before="0" w:after="80"/>
      </w:pPr>
      <w:r>
        <w:rPr>
          <w:i/>
          <w:sz w:val="20"/>
        </w:rPr>
        <w:t>EN: Osteocyte parvalbumin mediates mechanotransduction to attenuate osteoarthritis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骨关节炎（OA）是老年人残疾的主要原因，其特征是软骨下骨重塑异常，先于软骨退化。我们确定骨细胞中的小白蛋白（Pvalb）是这一病理过程的关键机械感觉调节剂。 OA 患者和该疾病的雄性小鼠模型的骨细胞中 Pvalb 表达显着降低。骨细胞中 Pvalb 的条件性缺失会加速 OA 进展，而骨靶向恢复 Pvalb 表达可减轻疾病表现。从机制上讲，Pvalb 通过与 CaMKIV 竞争钙调蛋白结合来维持钙稳态。在过度机械负荷下，Pvalb 表达受到抑制，导致 Ca2+-CaMKIV-CREB ​​信号通路激活、RANKL 产生增加，以及随后的破骨细胞激活和病理性骨重塑。这些发现确定了 OA 发病机制中骨细胞介导的机械转导途径，并强调 Pvalb 是一个有前途的治疗靶点。</w:t>
      </w:r>
    </w:p>
    <w:p>
      <w:pPr>
        <w:spacing w:before="0" w:after="200" w:lineRule="auto" w:line="276"/>
      </w:pPr>
      <w:r>
        <w:rPr>
          <w:b/>
        </w:rPr>
        <w:t xml:space="preserve">Abstract (EN): </w:t>
      </w:r>
      <w:r>
        <w:t>Osteoarthritis (OA) is a leading cause of disability among the elderly, characterized by aberrant subchondral bone remodeling that precedes cartilage degeneration. We identify parvalbumin (Pvalb) in osteocytes as a critical mechanosensory regulator of this pathological process. Pvalb expression is significantly reduced in osteocytes from both OA patients and male murine models of the disease. Conditional deletion of Pvalb in osteocytes accelerates OA progression, whereas bone-targeted restoration of Pvalb expression mitigates disease manifestations. Mechanistically, Pvalb maintains calcium homeostasis by competing with CaMKIV for calmodulin binding. Under excessive mechanical loading, Pvalb expression is suppressed, leading to activation of the Ca²+-CaMKIV-CREB signaling pathway, increased RANKL production, and subsequent osteoclast activation and pathological bone remodeling. These findings identifies an osteocyte-mediated mechanotransduction pathway in OA pathogenesis and underscore Pvalb as a promising therapeutic target.</w:t>
      </w:r>
    </w:p>
    <w:p>
      <w:pPr>
        <w:spacing w:before="120" w:after="120"/>
      </w:pPr>
      <w:r>
        <w:rPr>
          <w:sz w:val="18"/>
        </w:rPr>
        <w:t>——————————————————————————————————————————————————————————————————————</w:t>
      </w:r>
    </w:p>
    <w:p>
      <w:pPr>
        <w:spacing w:before="160" w:after="40" w:line="240" w:lineRule="auto"/>
      </w:pPr>
      <w:r>
        <w:rPr>
          <w:b/>
        </w:rPr>
        <w:t xml:space="preserve">[250] </w:t>
      </w:r>
      <w:hyperlink r:id="rId827">
        <w:r>
          <w:rPr>
            <w:color w:val="1155CC"/>
            <w:u w:val="single"/>
          </w:rPr>
          <w:t>负载银纳米颗粒的自交联可塌陷淀粉气凝胶：复杂基质中痕量污染物的多相 SERS 检测平台</w:t>
        </w:r>
      </w:hyperlink>
    </w:p>
    <w:p>
      <w:pPr>
        <w:spacing w:before="0" w:after="80"/>
      </w:pPr>
      <w:r>
        <w:rPr>
          <w:i/>
          <w:sz w:val="20"/>
        </w:rPr>
        <w:t>EN: Self-Cross-Linked Collapsible Starch Aerogels Loaded with Ag Nanoparticles: A Platform for Multiphase SERS Detection of Trace Pollutants in Complex Matrices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28">
        <w:r>
          <w:rPr>
            <w:color w:val="1155CC"/>
            <w:u w:val="single"/>
          </w:rPr>
          <w:t>10.1021/acsami.6c09393</w:t>
        </w:r>
      </w:hyperlink>
    </w:p>
    <w:p>
      <w:pPr>
        <w:spacing w:before="0" w:after="120"/>
      </w:pPr>
      <w:r>
        <w:rPr>
          <w:b/>
        </w:rPr>
        <w:t xml:space="preserve">Notes: </w:t>
      </w:r>
      <w:r>
        <w:t>abstract_source=pubmed</w:t>
      </w:r>
    </w:p>
    <w:p>
      <w:pPr>
        <w:spacing w:before="0" w:after="80" w:lineRule="auto" w:line="276"/>
      </w:pPr>
      <w:r>
        <w:rPr>
          <w:b/>
        </w:rPr>
        <w:t xml:space="preserve">摘要（ZH）: </w:t>
      </w:r>
      <w:r>
        <w:t>调控表面增强拉曼散射（SERS）中的“热点”是研究的重点，而实现多相分析物的高灵敏度和全覆盖检测仍然是SERS技术广泛应用的主要障碍。针对目前大多数SERS底物仅限于单相检测和多功能集成底物供应不足的缺点，通过绿色、简便的糊化、回生和冷冻干燥方法构建了三维银纳米颗粒（AgNPs）修饰的木薯淀粉气凝胶（ACA）作为SERS底物。该方法利用了木薯淀粉(CS)的胶凝特性和木薯二醛淀粉(CDS)的原位还原能力。该基底同时具有超亲水特性和塌陷诱导机制：在与水溶液接触时，其三维多孔支架发生定向塌陷，减少AgNPs之间的距离，产生高密度SERS“热点”，并显着提高检测灵敏度。其三维连通的孔隙结构和大的比表面积能够有效截留气态、液态和固态分析物，克服了传统基质的限制，实现了单一基质对多相目标的快速、灵敏、定量检测。以罗丹明6G（R6G）和结晶紫（CV）为探针分子，确定增强因子（EF）分别为6.8×108和5.6×108。在实际应用中，a</w:t>
      </w:r>
    </w:p>
    <w:p>
      <w:pPr>
        <w:spacing w:before="0" w:after="200" w:lineRule="auto" w:line="276"/>
      </w:pPr>
      <w:r>
        <w:rPr>
          <w:b/>
        </w:rPr>
        <w:t xml:space="preserve">Abstract (EN): </w:t>
      </w:r>
      <w:r>
        <w:t>Regulating "hotspots" in surface-enhanced Raman scattering (SERS) constitutes a key research focus, whereas achieving highly sensitive and full-coverage detection of multiphase analytes remains a major obstacle to the widespread application of SERS technology. To address the drawbacks that most current SERS substrates are confined to single-phase detection and that multifunctional integrated substrates are in short supply, constructed three-dimensional Ag nanoparticle (AgNPs)-decorated cassava starch aerogels (ACA) as SERS substrates through a green and facile gelatinization, retrogradation, and freeze-drying approach. The method takes advantage of the gelling characteristic of cassava starch (CS) and the in situ reduction capacity of cassava dialdehyde starch (CDS). The substrate possesses both superhydrophilic features and a collapse-induced mechanism: upon contact with aqueous solutions, its three-dimensional porous scaffold undergoes directional collapse, reducing the distance between AgNPs to generate high-density SERS "hotspots" and remarkably boosting detection sensitivity. Its three-dimensional interconnected pore structure and large specific surface area enable effective entrapment of gaseous, liquid, and solid analytes, overcoming the constraints of conventional substrates and achieving swift, sensitive, and quantitative detection of multiphase targets using a single substrate. With rhodamine 6G (R6G) and crystal violet (CV) as probe molecules, the enhancement factors (EF) were determined to be 6.8 × 108 and 5.6 × 108, respectively. In practical application, the adsorption method was adopted to detect gaseous 4-aminothiophenol (4-ATP), with a limit of detection (LOD) of 0.64 mg/L. Meanwhile, liquid and solid thiabendazole (TBZ) residues in food samples were measured via extraction and swabbing approaches, whose corresponding limits of detection were 0.063 mg/L and 0.067 mg/L separately. The findings demonstrate that the ACA SERS substrate exhibits high sensitivity and can quickly detect multiphase analytes, and the analytical platform holds great potential in the fields of food safety inspection and ecological monitoring.</w:t>
      </w:r>
    </w:p>
    <w:p>
      <w:pPr>
        <w:spacing w:before="120" w:after="120"/>
      </w:pPr>
      <w:r>
        <w:rPr>
          <w:sz w:val="18"/>
        </w:rPr>
        <w:t>——————————————————————————————————————————————————————————————————————</w:t>
      </w:r>
    </w:p>
    <w:p>
      <w:pPr>
        <w:spacing w:before="160" w:after="40" w:line="240" w:lineRule="auto"/>
      </w:pPr>
      <w:r>
        <w:rPr>
          <w:b/>
        </w:rPr>
        <w:t xml:space="preserve">[251] </w:t>
      </w:r>
      <w:hyperlink r:id="rId829">
        <w:r>
          <w:rPr>
            <w:color w:val="1155CC"/>
            <w:u w:val="single"/>
          </w:rPr>
          <w:t>提高聚对苯二甲酸乙二醇酯耐热性的进展：策略与应用</w:t>
        </w:r>
      </w:hyperlink>
    </w:p>
    <w:p>
      <w:pPr>
        <w:spacing w:before="0" w:after="80"/>
      </w:pPr>
      <w:r>
        <w:rPr>
          <w:i/>
          <w:sz w:val="20"/>
        </w:rPr>
        <w:t>EN: Advancements in Enhancing the Heat Resistance of Poly(ethylene Terephthalate): Strategies and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30">
        <w:r>
          <w:rPr>
            <w:color w:val="1155CC"/>
            <w:u w:val="single"/>
          </w:rPr>
          <w:t>10.1021/acsami.6c04610</w:t>
        </w:r>
      </w:hyperlink>
    </w:p>
    <w:p>
      <w:pPr>
        <w:spacing w:before="0" w:after="120"/>
      </w:pPr>
      <w:r>
        <w:rPr>
          <w:b/>
        </w:rPr>
        <w:t xml:space="preserve">Notes: </w:t>
      </w:r>
      <w:r>
        <w:t>abstract_source=pubmed</w:t>
      </w:r>
    </w:p>
    <w:p>
      <w:pPr>
        <w:spacing w:before="0" w:after="80" w:lineRule="auto" w:line="276"/>
      </w:pPr>
      <w:r>
        <w:rPr>
          <w:b/>
        </w:rPr>
        <w:t xml:space="preserve">摘要（ZH）: </w:t>
      </w:r>
      <w:r>
        <w:t>聚对苯二甲酸乙二醇酯 (PET) 因其卓越的机械强度、化学稳定性和成本效益而得到广泛应用。然而，其耐热性低，严重限制了其在高温环境下的应用，如包装、电池组件、汽车零部件等。为了克服这一限制，本综述系统地总结了为增强 PET 耐热性而开发的各种策略。这些策略主要集中在调节分子迁移率、控制结晶行为和利用复合增强。这些方法包括分子结构改性、成核剂的掺入、优化的加工技术和聚合物共混。该综述对每种方法的机制、优点和局限性进行了比较分析，探讨了它们的协同潜力，并评估了它们在工程领域的实际适用性。最后，本综述确定了未来的关键研究方向，旨在推进针对要求严格的高温应用定制的高性能 PET 材料的设计和合成。</w:t>
      </w:r>
    </w:p>
    <w:p>
      <w:pPr>
        <w:spacing w:before="0" w:after="200" w:lineRule="auto" w:line="276"/>
      </w:pPr>
      <w:r>
        <w:rPr>
          <w:b/>
        </w:rPr>
        <w:t xml:space="preserve">Abstract (EN): </w:t>
      </w:r>
      <w:r>
        <w:t>Poly(ethylene terephthalate) (PET) is widely used due to its exceptional mechanical strength, chemical stability, and cost-effectiveness. However, its low heat resistance severely restricts its application in high-temperature environments, such as packaging, battery components, and automotive parts. To overcome this limitation, this review systematically summarizes diverse strategies developed to enhance the heat resistance of PET. These strategies primarily focus on regulating molecular mobility, controlling crystallization behavior, and utilizing composite enhancement. The methods include molecular structure modification, the incorporation of nucleating agents, optimized processing techniques, and polymer blending. The review provides a comparative analysis of the mechanisms, advantages, and limitations of each method, explores their synergistic potential, and evaluates their practical applicability in engineering fields. Finally, this review identifies critical future research directions, aiming to advance the design and synthesis of high-performance PET materials tailored for demanding high-temperature applications.</w:t>
      </w:r>
    </w:p>
    <w:p>
      <w:pPr>
        <w:spacing w:before="120" w:after="120"/>
      </w:pPr>
      <w:r>
        <w:rPr>
          <w:sz w:val="18"/>
        </w:rPr>
        <w:t>——————————————————————————————————————————————————————————————————————</w:t>
      </w:r>
    </w:p>
    <w:p>
      <w:pPr>
        <w:spacing w:before="160" w:after="40" w:line="240" w:lineRule="auto"/>
      </w:pPr>
      <w:r>
        <w:rPr>
          <w:b/>
        </w:rPr>
        <w:t xml:space="preserve">[252] </w:t>
      </w:r>
      <w:hyperlink r:id="rId831">
        <w:r>
          <w:rPr>
            <w:color w:val="1155CC"/>
            <w:u w:val="single"/>
          </w:rPr>
          <w:t>酶激活荧光探针：设计策略、生物医学应用和未来展望</w:t>
        </w:r>
      </w:hyperlink>
    </w:p>
    <w:p>
      <w:pPr>
        <w:spacing w:before="0" w:after="80"/>
      </w:pPr>
      <w:r>
        <w:rPr>
          <w:i/>
          <w:sz w:val="20"/>
        </w:rPr>
        <w:t>EN: Enzyme-Activatable Fluorogenic Probes: Design Strategies, Biomedical Applications, and Future Perspectives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32">
        <w:r>
          <w:rPr>
            <w:color w:val="1155CC"/>
            <w:u w:val="single"/>
          </w:rPr>
          <w:t>10.1021/jacs.5c22017</w:t>
        </w:r>
      </w:hyperlink>
    </w:p>
    <w:p>
      <w:pPr>
        <w:spacing w:before="0" w:after="120"/>
      </w:pPr>
      <w:r>
        <w:rPr>
          <w:b/>
        </w:rPr>
        <w:t xml:space="preserve">Notes: </w:t>
      </w:r>
      <w:r>
        <w:t>abstract_source=pubmed</w:t>
      </w:r>
    </w:p>
    <w:p>
      <w:pPr>
        <w:spacing w:before="0" w:after="80" w:lineRule="auto" w:line="276"/>
      </w:pPr>
      <w:r>
        <w:rPr>
          <w:b/>
        </w:rPr>
        <w:t xml:space="preserve">摘要（ZH）: </w:t>
      </w:r>
      <w:r>
        <w:t>酶是细胞代谢和机体稳态的关键调节因子，其失调通常与疾病的发生和进展有关。因此，准确监测目标酶的真实活性对于破译生物学机制和获得病理学洞察至关重要。经过数十年的迭代完善，已经开发出多种酶激活荧光探针（EAFP），能够以高时空分辨率和多功能生物传感能力捕获异常酶动力学。在此背景下，我们重点介绍当前最先进的 EAFP，涵盖基本设计原则到概念验证应用。首先，介绍了 EAFP 的分子工程、传感机制和设计策略。接下来，介绍了用于成像和传感目标酶的各种尖端探针，重点是结构特征、识别机制和生物医学应用。重点介绍了生物标志物成像、疾病诊断、药物筛选和治疗测试方面的代表性示例，以说明设计原理和实际用途。最后，讨论了 EAFP 在特定应用场景中现有的挑战和未来的发展轨迹。这里提出的见解将激发并加速用于基础研究和转化研究的高性能多功能 EAFP 的开发。</w:t>
      </w:r>
    </w:p>
    <w:p>
      <w:pPr>
        <w:spacing w:before="0" w:after="200" w:lineRule="auto" w:line="276"/>
      </w:pPr>
      <w:r>
        <w:rPr>
          <w:b/>
        </w:rPr>
        <w:t xml:space="preserve">Abstract (EN): </w:t>
      </w:r>
      <w:r>
        <w:t>Enzymes are pivotal regulators of cellular metabolism and organismal homeostasis, and their dysregulation is often associated with the onset and progression of disease. Therefore, accurate monitoring of the real activities of target enzymes is essential for deciphering biological mechanisms and gaining pathological insight. Through decades of iterative refinement, a diverse repertoire of enzyme-activatable fluorogenic probes (EAFPs) have been developed, enabling the capture of aberrant enzyme dynamics with high spatiotemporal resolution and multifunctional biosensing capabilities. In this context, we highlight the current state-of-the-art EAFPs, spanning fundamental design principles to proof-of-concept applications. First, the molecular engineering, sensing mechanisms, and design strategies of EAFPs are introduced. Next, a wide range of cutting-edge probes for imaging and sensing target enzyme(s) are presented, with emphasis on structural features, recognition mechanisms, and biomedical applications. Representative examples in biomarker imaging, disease diagnosis, drug screening, and therapeutic testing are highlighted to illustrate both the design principles and practical utility. Finally, the existing challenges and future trajectories for EAFPs in specific application scenarios are discussed. The insights presented here will inspire and accelerate the development of high-performance multifunctional EAFPs for both fundamental and translational research.</w:t>
      </w:r>
    </w:p>
    <w:p>
      <w:pPr>
        <w:spacing w:before="120" w:after="120"/>
      </w:pPr>
      <w:r>
        <w:rPr>
          <w:sz w:val="18"/>
        </w:rPr>
        <w:t>——————————————————————————————————————————————————————————————————————</w:t>
      </w:r>
    </w:p>
    <w:p>
      <w:pPr>
        <w:spacing w:before="160" w:after="40" w:line="240" w:lineRule="auto"/>
      </w:pPr>
      <w:r>
        <w:rPr>
          <w:b/>
        </w:rPr>
        <w:t xml:space="preserve">[253] </w:t>
      </w:r>
      <w:hyperlink r:id="rId833">
        <w:r>
          <w:rPr>
            <w:color w:val="1155CC"/>
            <w:u w:val="single"/>
          </w:rPr>
          <w:t>基于纳米医学的下一代癌症免疫疗法的治疗策略</w:t>
        </w:r>
      </w:hyperlink>
    </w:p>
    <w:p>
      <w:pPr>
        <w:spacing w:before="0" w:after="80"/>
      </w:pPr>
      <w:r>
        <w:rPr>
          <w:i/>
          <w:sz w:val="20"/>
        </w:rPr>
        <w:t>EN: Nanomedicine-Based Therapeutic Strategies for Next-Generation Cancer Immunotherapy</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34">
        <w:r>
          <w:rPr>
            <w:color w:val="1155CC"/>
            <w:u w:val="single"/>
          </w:rPr>
          <w:t>10.1021/acsami.6c11314</w:t>
        </w:r>
      </w:hyperlink>
    </w:p>
    <w:p>
      <w:pPr>
        <w:spacing w:before="0" w:after="120"/>
      </w:pPr>
      <w:r>
        <w:rPr>
          <w:b/>
        </w:rPr>
        <w:t xml:space="preserve">Notes: </w:t>
      </w:r>
      <w:r>
        <w:t>abstract_source=pubmed</w:t>
      </w:r>
    </w:p>
    <w:p>
      <w:pPr>
        <w:spacing w:before="0" w:after="80" w:lineRule="auto" w:line="276"/>
      </w:pPr>
      <w:r>
        <w:rPr>
          <w:b/>
        </w:rPr>
        <w:t xml:space="preserve">摘要（ZH）: </w:t>
      </w:r>
      <w:r>
        <w:t>癌症免疫疗法通过使免疫系统能够识别和消除肿瘤细胞来重塑癌症治疗。然而，其临床转化仍然受到反应率欠佳、对深层肿瘤组织的渗透性差以及治疗效果不足的限制。单独的癌症免疫疗法作为唯一的治疗方式通常是不够的。基于纳米医学的治疗策略，包括光热疗法、光动力疗法、声动力疗法、基于纳米酶的疗法和癌症疫苗，在癌症治疗方面已获得相当大的认可。与癌症免疫疗法或调节细胞死亡途径整合后，这些基于纳米医学的治疗策略可以调节肿瘤微环境，增强抗癌免疫反应，并克服免疫治疗耐药性。本文总结了基于纳米医学的治疗策略、癌症免疫疗法的作用和调节细胞死亡途径的最新进展。我们概述了这些治疗策略的优点和局限性。我们还讨论了联合治疗策略如何实现协同效应、未来的挑战以及开发下一代癌症免疫治疗纳米医学平台的前景。</w:t>
      </w:r>
    </w:p>
    <w:p>
      <w:pPr>
        <w:spacing w:before="0" w:after="200" w:lineRule="auto" w:line="276"/>
      </w:pPr>
      <w:r>
        <w:rPr>
          <w:b/>
        </w:rPr>
        <w:t xml:space="preserve">Abstract (EN): </w:t>
      </w:r>
      <w:r>
        <w:t>Cancer immunotherapy has reshaped cancer treatment by enabling the immune system to recognize and eliminate tumor cells. Nevertheless, its clinical translation remains limited by suboptimal response rates, poor penetration into deep tumor tissues, and insufficient therapeutic efficacy. Cancer immunotherapy alone is often inadequate as a sole treatment modality. Nanomedicine-based therapeutic strategies, including photothermal therapy, photodynamic therapy, sonodynamic therapy, nanozyme-based therapy, and cancer vaccines, have achieved considerable recognition for cancer treatment. Upon integration with cancer immunotherapy or regulated cell death pathways, these nanomedicine-based therapeutic strategies can modulate the tumor microenvironment, enhance anticancer immune response, and overcome immunotherapy resistance. This article summarizes recent advances in nanomedicine-based therapeutic strategies, the role of cancer immunotherapy, and regulated cell death pathways. We outline the strengths and limitations of these therapeutic strategies. We also discuss how combination therapeutic strategies achieve synergistic effects, future challenges, and perspectives in developing next-generation nanomedicine platforms for cancer immunotherapy.</w:t>
      </w:r>
    </w:p>
    <w:p>
      <w:pPr>
        <w:spacing w:before="120" w:after="120"/>
      </w:pPr>
      <w:r>
        <w:rPr>
          <w:sz w:val="18"/>
        </w:rPr>
        <w:t>——————————————————————————————————————————————————————————————————————</w:t>
      </w:r>
    </w:p>
    <w:p>
      <w:pPr>
        <w:spacing w:before="160" w:after="40" w:line="240" w:lineRule="auto"/>
      </w:pPr>
      <w:r>
        <w:rPr>
          <w:b/>
        </w:rPr>
        <w:t xml:space="preserve">[254] </w:t>
      </w:r>
      <w:hyperlink r:id="rId835">
        <w:r>
          <w:rPr>
            <w:color w:val="1155CC"/>
            <w:u w:val="single"/>
          </w:rPr>
          <w:t>具有人造矿物细胞器的球体：机器学习辅助的机械性能、融合和骨化的分析和控制</w:t>
        </w:r>
      </w:hyperlink>
    </w:p>
    <w:p>
      <w:pPr>
        <w:spacing w:before="0" w:after="80"/>
      </w:pPr>
      <w:r>
        <w:rPr>
          <w:i/>
          <w:sz w:val="20"/>
        </w:rPr>
        <w:t>EN: Spheroids with Artificial Mineral Organelles: Machine-Learning-Assisted Analysis and Control of Mechanical Properties, Fusion, and Ossification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36">
        <w:r>
          <w:rPr>
            <w:color w:val="1155CC"/>
            <w:u w:val="single"/>
          </w:rPr>
          <w:t>10.1021/acsami.6c06660</w:t>
        </w:r>
      </w:hyperlink>
    </w:p>
    <w:p>
      <w:pPr>
        <w:spacing w:before="0" w:after="120"/>
      </w:pPr>
      <w:r>
        <w:rPr>
          <w:b/>
        </w:rPr>
        <w:t xml:space="preserve">Notes: </w:t>
      </w:r>
      <w:r>
        <w:t>abstract_source=pubmed</w:t>
      </w:r>
    </w:p>
    <w:p>
      <w:pPr>
        <w:spacing w:before="0" w:after="80" w:lineRule="auto" w:line="276"/>
      </w:pPr>
      <w:r>
        <w:rPr>
          <w:b/>
        </w:rPr>
        <w:t xml:space="preserve">摘要（ZH）: </w:t>
      </w:r>
      <w:r>
        <w:t>控制微组织的结构整合和功能成熟之间的平衡仍然是骨组织工程中的一个核心挑战，特别是在复合细胞材料结构的设计中。在这里，我们证明了用亚微米球霰石颗粒对前成骨细胞进行细胞内负载，可以作为基于可编程材料的参数来调节球体行为。在受控预加载和组装成复合球体后，我们系统地量化了颗粒定位（共焦显微镜、PCC/Manders 系数、基于 Cellpose 的分割）、机械性能（原子力显微镜 (AFM)）、细胞活力、成骨活性（ALP 表达和羟基磷灰石沉积）和球体融合动力学。使用引导程序验证的途径权重进行岭回归中介分析，将颗粒摄取确定为控制结构整合和成骨成熟之间功能权衡的主要控制参数：低负荷促进快速球体融合，而高负荷通过对第7天碱性磷酸酶活性和羟基磷灰石沉积的直接积极影响以及通过第1天融合描述符的正介导途径来增强成骨成熟。重要的是，早期融合动力学是将细胞内物质加载与后期功能结果联系起来的关键介质。这些结果将细胞内颗粒负载确立为复合微组织中的可调设计变量，并定义了根据以下情况选择负载方案的实际设计空间：</w:t>
      </w:r>
    </w:p>
    <w:p>
      <w:pPr>
        <w:spacing w:before="0" w:after="200" w:lineRule="auto" w:line="276"/>
      </w:pPr>
      <w:r>
        <w:rPr>
          <w:b/>
        </w:rPr>
        <w:t xml:space="preserve">Abstract (EN): </w:t>
      </w:r>
      <w:r>
        <w:t>Controlling the balance between structural integration and functional maturation of microtissues remains a central challenge in bone tissue engineering, particularly in the design of composite cell-material constructs. Here, we demonstrate that intracellular loading of preosteoblast cells with submicron vaterite particles serves as a programmable material-based parameter to regulate spheroid behavior. Following controlled pre-loading and assembly into composite spheroids, we systematically quantified particle localization (confocal microscopy, PCC/Manders coefficients, Cellpose-based segmentation), mechanical properties (atomic force microscopy (AFM)), cell viability, osteogenic activity (ALP expression and hydroxyapatite deposition), and spheroid fusion kinetics. Ridge regression mediation analysis with bootstrap-validated pathway weights identifies particle uptake as the dominant control parameter governing a functional trade-off between structural integration and osteogenic maturation: Low loading facilitates a rapid spheroid fusion, whereas high loading enhances osteogenic maturation through direct positive effects on day-7 alkaline phosphatase activity and hydroxyapatite deposition and through a positive mediated pathway via the day-1 fusion descriptor. Importantly, early-stage fusion dynamics act as key mediators linking intracellular material loading to late-stage functional outcomes. These results establish intracellular particle loading as a tunable design variable in composite microtissues and define a practical design space for selecting loading regimes depending on whether rapid construct assembly or enhanced osteogenic maturation is required.</w:t>
      </w:r>
    </w:p>
    <w:p>
      <w:pPr>
        <w:spacing w:before="120" w:after="120"/>
      </w:pPr>
      <w:r>
        <w:rPr>
          <w:sz w:val="18"/>
        </w:rPr>
        <w:t>——————————————————————————————————————————————————————————————————————</w:t>
      </w:r>
    </w:p>
    <w:p>
      <w:pPr>
        <w:spacing w:before="160" w:after="40" w:line="240" w:lineRule="auto"/>
      </w:pPr>
      <w:r>
        <w:rPr>
          <w:b/>
        </w:rPr>
        <w:t xml:space="preserve">[255] </w:t>
      </w:r>
      <w:hyperlink r:id="rId837">
        <w:r>
          <w:rPr>
            <w:color w:val="1155CC"/>
            <w:u w:val="single"/>
          </w:rPr>
          <w:t>作者更正：物种特异性和变体特异性 ACE2 兼容性决定了 SARS-CoV-2 在北美鹿科动物中的溢出潜力</w:t>
        </w:r>
      </w:hyperlink>
    </w:p>
    <w:p>
      <w:pPr>
        <w:spacing w:before="0" w:after="80"/>
      </w:pPr>
      <w:r>
        <w:rPr>
          <w:i/>
          <w:sz w:val="20"/>
        </w:rPr>
        <w:t>EN: Author Correction: Species- and variant-specific ACE2 compatibility shapes SARS-CoV-2 spillover potential in North American cervids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838">
        <w:r>
          <w:rPr>
            <w:color w:val="1155CC"/>
            <w:u w:val="single"/>
          </w:rPr>
          <w:t>癌症中靶向线粒体过氧化还原蛋白 3 的临床前表征和 1 期临床测试</w:t>
        </w:r>
      </w:hyperlink>
    </w:p>
    <w:p>
      <w:pPr>
        <w:spacing w:before="0" w:after="80"/>
      </w:pPr>
      <w:r>
        <w:rPr>
          <w:i/>
          <w:sz w:val="20"/>
        </w:rPr>
        <w:t>EN: Preclinical characterization and phase 1 clinical testing of targeting mitochondrial peroxiredoxin 3 in cancer</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癌细胞通过抗氧化网络的上调来抵消氧化应激。过氧化还原蛋白 3 (PRX3) 是一种线粒体抗氧化酶，可调节活性氧稳态并促进肿瘤细胞存活。天然化合物硫链丝菌素 (TS) 共价抑制 PRX3，破坏氧化还原平衡并选择性诱导肿瘤细胞死亡。间皮瘤是一种侵袭性恶性肿瘤，治疗选择有限，特别是在复发或难治性情况下。在这里，我们证明 PRX3 的基因缺失会损害线粒体生物能并抑制间皮瘤生长，而用 TS 对 PRX3 进行药理学抑制会诱导患者来源的间皮瘤外植体发生细胞凋亡。在治疗复发性胸膜间皮瘤和恶性胸腔积液患者的 1 期试验 (NCT05278975) 中，每周使用 90 mg TS 配制的药品 RSO-021 进行局部胸腔内治疗具有良好的耐受性，导致 67% 的患者在 12 周时疾病得到控制，并且与肿瘤缩小相关。满足了安全性、耐受性和剂量发现的主要终点，并探讨了药代动力学、客观缓解率、疾病控制率和无进展生存期的次要终点。基因组筛选发现溶质载体家族 7 成员 11 (SLC7A11) 是 TS 抗性的介质，表明联合靶向可能进一步增强 RSO-021 的促氧化活性。</w:t>
      </w:r>
    </w:p>
    <w:p>
      <w:pPr>
        <w:spacing w:before="0" w:after="200" w:lineRule="auto" w:line="276"/>
      </w:pPr>
      <w:r>
        <w:rPr>
          <w:b/>
        </w:rPr>
        <w:t xml:space="preserve">Abstract (EN): </w:t>
      </w:r>
      <w:r>
        <w:t>Cancer cells counteract oxidative stress through upregulation of antioxidant networks. Peroxiredoxin 3 (PRX3), a mitochondrial antioxidant enzyme, regulates reactive oxygen species homeostasis and promotes tumor cell survival. The natural compound thiostrepton (TS) covalently inhibits PRX3, disrupting redox balance and selectively induces tumor cell death. Mesothelioma, an aggressive malignancy, has limited therapeutic options, particularly in relapsed or refractory settings. Here, we demonstrate genetic deletion of PRX3 impairs mitochondrial bioenergetics and suppresses mesothelioma growth, while pharmacological inhibition of PRX3 with TS induces apoptosis in patient-derived mesothelioma explants. In a phase 1 trial treating patients with relapsed pleural mesothelioma and malignant pleural effusion (NCT05278975), weekly local intrapleural treatment with the TS formulated drug product RSO-021 at 90 mg is well tolerated leading to disease control in 67% of patients at 12 weeks and is associated with tumor reductions. Primary endpoints of safety, tolerability and dose finding were met, and secondary endpoints of pharmacokinetics, objective response rate, disease control rate, and progression free survival are explored. Genomic screening identified Solute Carrier Family 7 member 11 (SLC7A11) as a mediator of TS resistance, suggesting combined targeting may further enhance the pro-oxidant activity of RSO-021.</w:t>
      </w:r>
    </w:p>
    <w:p>
      <w:pPr>
        <w:spacing w:before="120" w:after="120"/>
      </w:pPr>
      <w:r>
        <w:rPr>
          <w:sz w:val="18"/>
        </w:rPr>
        <w:t>——————————————————————————————————————————————————————————————————————</w:t>
      </w:r>
    </w:p>
    <w:p>
      <w:pPr>
        <w:spacing w:before="160" w:after="40" w:line="240" w:lineRule="auto"/>
      </w:pPr>
      <w:r>
        <w:rPr>
          <w:b/>
        </w:rPr>
        <w:t xml:space="preserve">[257] </w:t>
      </w:r>
      <w:hyperlink r:id="rId839">
        <w:r>
          <w:rPr>
            <w:color w:val="1155CC"/>
            <w:u w:val="single"/>
          </w:rPr>
          <w:t>奥兹泰拉、卡戎构造中记录的早期潮汐脱旋历史</w:t>
        </w:r>
      </w:hyperlink>
    </w:p>
    <w:p>
      <w:pPr>
        <w:spacing w:before="0" w:after="80"/>
      </w:pPr>
      <w:r>
        <w:rPr>
          <w:i/>
          <w:sz w:val="20"/>
        </w:rPr>
        <w:t>EN: Early tidal despinning history recorded in the tectonics of Oz Terra, Charon</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行星吸积后的早期地质和热演化记录很少保存在太阳系的冰冷卫星上。冥卫一大约 4.0 Ga 的表面年龄表明早期轨道演化引起的地貌可能得到保存。在这里，我们表明，从压缩构造特征推断出的脱旋引起的应力解释了卡戎北部高地 Oz Terra 构造特征的方向和类型的纬度变化。除了全球伸展特征之外，我们还确定了 Oz Terra 中北向的弧形山脉，这被解释为起源于挤压。使用弹性位错模型，我们通过拟合观测到的构造诱发地形来推断两个逆冲断层的几何形状和运动学。推断的几何形状得出当时弹性冰壳厚度的下限为 30-36 公里。推力可容纳赤道地区约 1% 的东西向压缩应变。相应的扁平化变化表明卡戎的初始自转周期约为 14.3 小时。模拟的应力模式还考虑了东西向的伸展特征。我们的工作表明，卡戎表面提供了一个记录行星旋转历史的例子，该历史早于提议的全球扩张和卡戎上的低温火山活动。解旋和全球收缩的共同演化有利于卡戎的冷启动，为了解太阳系外冰卫星的早期热演化提供了见解。</w:t>
      </w:r>
    </w:p>
    <w:p>
      <w:pPr>
        <w:spacing w:before="0" w:after="200" w:lineRule="auto" w:line="276"/>
      </w:pPr>
      <w:r>
        <w:rPr>
          <w:b/>
        </w:rPr>
        <w:t xml:space="preserve">Abstract (EN): </w:t>
      </w:r>
      <w:r>
        <w:t>Records of early geologic and thermal evolution after planetary accretion are rarely preserved on icy moons in the Solar System. Charon’s ~ 4.0 Ga surface age suggests the potential preservation of landforms induced from early orbital evolution. Here we show that despinning-induced stress inferred from compressive tectonic features explains latitudinal variations in the orientations and types of tectonic features in Charon’s northern highland, Oz Terra. In addition to global extensional features, we identify north-trending arcuate ranges in Oz Terra, interpreted as compressional in origin. Using an elastic dislocation model, we infer the geometry and kinematics of two thrust faults by fitting the observed tectonically induced topography. The inferred geometry yields a lower bound of 30–36 km for the elastic ice shell thickness at the time. The thrusts accommodate ~ 1% east-west compressive strain in the equatorial area. The corresponding flattening change suggests an initial rotation period of ~ 14.3 h for Charon. The modeled stress patterns also account for the east-west extensional features. Our work suggests that Charon’s surface presents an example that records the planetary despinning history, which predates the proposed global extension and cryovolcanism on Charon. The coevolution of despinning and global contraction favors a cold start for Charon, offering insights into the early thermal evolution of icy satellites in the outer Solar System.</w:t>
      </w:r>
    </w:p>
    <w:p>
      <w:pPr>
        <w:spacing w:before="120" w:after="120"/>
      </w:pPr>
      <w:r>
        <w:rPr>
          <w:sz w:val="18"/>
        </w:rPr>
        <w:t>——————————————————————————————————————————————————————————————————————</w:t>
      </w:r>
    </w:p>
    <w:p>
      <w:pPr>
        <w:spacing w:before="160" w:after="40" w:line="240" w:lineRule="auto"/>
      </w:pPr>
      <w:r>
        <w:rPr>
          <w:b/>
        </w:rPr>
        <w:t xml:space="preserve">[258] </w:t>
      </w:r>
      <w:hyperlink r:id="rId840">
        <w:r>
          <w:rPr>
            <w:color w:val="1155CC"/>
            <w:u w:val="single"/>
          </w:rPr>
          <w:t>可编程芳烃开环解锁酚类的多样化</w:t>
        </w:r>
      </w:hyperlink>
    </w:p>
    <w:p>
      <w:pPr>
        <w:spacing w:before="0" w:after="80"/>
      </w:pPr>
      <w:r>
        <w:rPr>
          <w:i/>
          <w:sz w:val="20"/>
        </w:rPr>
        <w:t>EN: Programmable arene ring opening unlocks the diversification of phenols</w:t>
      </w:r>
    </w:p>
    <w:p>
      <w:pPr>
        <w:spacing w:before="0" w:after="120"/>
      </w:pPr>
      <w:r>
        <w:rPr>
          <w:b/>
        </w:rPr>
        <w:t xml:space="preserve">Source: </w:t>
      </w:r>
      <w:r>
        <w:t>Nature Chemistry</w:t>
      </w:r>
      <w:r>
        <w:t xml:space="preserve">    </w:t>
      </w:r>
      <w:r>
        <w:rPr>
          <w:b/>
        </w:rPr>
        <w:t xml:space="preserve">Pub date: </w:t>
      </w:r>
      <w:r>
        <w:t>2026-07-14 00:00:00+00:00</w:t>
      </w:r>
      <w:r>
        <w:t xml:space="preserve">    </w:t>
      </w:r>
      <w:r>
        <w:rPr>
          <w:b/>
        </w:rPr>
        <w:t xml:space="preserve">DOI: </w:t>
      </w:r>
      <w:hyperlink r:id="rId841">
        <w:r>
          <w:rPr>
            <w:color w:val="1155CC"/>
            <w:u w:val="single"/>
          </w:rPr>
          <w:t>10.1038/s41557-026-02204-8</w:t>
        </w:r>
      </w:hyperlink>
    </w:p>
    <w:p>
      <w:pPr>
        <w:spacing w:before="0" w:after="120"/>
      </w:pPr>
      <w:r>
        <w:rPr>
          <w:b/>
        </w:rPr>
        <w:t xml:space="preserve">Notes: </w:t>
      </w:r>
      <w:r>
        <w:t>abstract_source=nature_html</w:t>
      </w:r>
    </w:p>
    <w:p>
      <w:pPr>
        <w:spacing w:before="0" w:after="80" w:lineRule="auto" w:line="276"/>
      </w:pPr>
      <w:r>
        <w:rPr>
          <w:b/>
        </w:rPr>
        <w:t xml:space="preserve">摘要（ZH）: </w:t>
      </w:r>
      <w:r>
        <w:t>芳香族体系的惰性碳-碳键长期以来一直阻碍酚类原料直接多样化为增值支架。尽管酶促或能量密集型策略可以实现有限的芳烃修饰，但通过受控和可编程的苯酚开环来解锁骨架和功能组多样性仍然是一个基本挑战。在这里，我们报告了一种操作简单且有效的氮化策略，用于裂解酚芳烃环，将酚转化为独特结构的无环含氮产物，包括氰基戊二烯酸酯、氰基戊二烯酰胺和氰基戊二烯酸。该方法还能够实现相应芳烃环的支架跳跃，从而产生重要的五元、六元和七元N-杂环。该策略在生物活性分子的后期修饰、酚类原料的多样化骨架重塑以及开环产品在聚合物开发中的应用方面展示了广泛的实用性。这种方法将苯酚转化为可编程的关键，以进入尚未开发的化学空间，为合成化学和材料科学提供了广阔的潜力。</w:t>
      </w:r>
    </w:p>
    <w:p>
      <w:pPr>
        <w:spacing w:before="0" w:after="200" w:lineRule="auto" w:line="276"/>
      </w:pPr>
      <w:r>
        <w:rPr>
          <w:b/>
        </w:rPr>
        <w:t xml:space="preserve">Abstract (EN): </w:t>
      </w:r>
      <w:r>
        <w:t>The inert carbon–carbon bonds of aromatic systems have long impeded the direct diversification of phenolic feedstocks into value-added scaffolds. Although enzymatic or energy-intensive strategies enable limited arene modifications, the controlled and programmable ring opening of phenols to unlock both skeletal and functional group diversity remains a fundamental challenge. Here we report an operationally simple and efficient nitrogenation strategy for cleaving phenolic arene rings, converting phenols into uniquely structured acyclic N-containing products including cyanopenta-dienoates, cyanopenta-dienamides and cyanopenta-dienoic acids. The method also enables scaffold hopping of corresponding arene rings, leading to important five-, six- and seven-membered N-heterocycles. The strategy demonstrates broad utility in late-stage modification of bioactive molecules, diversified skeletal remodelling of phenolic feedstocks, and the application of ring-opening products in polymer development. This approach transforms phenols into programmable linchpins for accessing underexplored chemical space, offering broad potential for synthetic chemistry and materials science.</w:t>
      </w:r>
    </w:p>
    <w:p>
      <w:pPr>
        <w:spacing w:before="120" w:after="120"/>
      </w:pPr>
      <w:r>
        <w:rPr>
          <w:sz w:val="18"/>
        </w:rPr>
        <w:t>——————————————————————————————————————————————————————————————————————</w:t>
      </w:r>
    </w:p>
    <w:p>
      <w:pPr>
        <w:spacing w:before="160" w:after="40" w:line="240" w:lineRule="auto"/>
      </w:pPr>
      <w:r>
        <w:rPr>
          <w:b/>
        </w:rPr>
        <w:t xml:space="preserve">[259] </w:t>
      </w:r>
      <w:hyperlink r:id="rId842">
        <w:r>
          <w:rPr>
            <w:color w:val="1155CC"/>
            <w:u w:val="single"/>
          </w:rPr>
          <w:t>Ge(100) 扣合二聚体的分子模型</w:t>
        </w:r>
      </w:hyperlink>
    </w:p>
    <w:p>
      <w:pPr>
        <w:spacing w:before="0" w:after="80"/>
      </w:pPr>
      <w:r>
        <w:rPr>
          <w:i/>
          <w:sz w:val="20"/>
        </w:rPr>
        <w:t>EN: A molecular model for the Ge(100) buckled dimer</w:t>
      </w:r>
    </w:p>
    <w:p>
      <w:pPr>
        <w:spacing w:before="0" w:after="120"/>
      </w:pPr>
      <w:r>
        <w:rPr>
          <w:b/>
        </w:rPr>
        <w:t xml:space="preserve">Source: </w:t>
      </w:r>
      <w:r>
        <w:t>Nature Chemistry</w:t>
      </w:r>
      <w:r>
        <w:t xml:space="preserve">    </w:t>
      </w:r>
      <w:r>
        <w:rPr>
          <w:b/>
        </w:rPr>
        <w:t xml:space="preserve">Pub date: </w:t>
      </w:r>
      <w:r>
        <w:t>2026-07-14 00:00:00+00:00</w:t>
      </w:r>
      <w:r>
        <w:t xml:space="preserve">    </w:t>
      </w:r>
      <w:r>
        <w:rPr>
          <w:b/>
        </w:rPr>
        <w:t xml:space="preserve">DOI: </w:t>
      </w:r>
      <w:hyperlink r:id="rId843">
        <w:r>
          <w:rPr>
            <w:color w:val="1155CC"/>
            <w:u w:val="single"/>
          </w:rPr>
          <w:t>10.1038/s41557-026-02208-4</w:t>
        </w:r>
      </w:hyperlink>
    </w:p>
    <w:p>
      <w:pPr>
        <w:spacing w:before="0" w:after="120"/>
      </w:pPr>
      <w:r>
        <w:rPr>
          <w:b/>
        </w:rPr>
        <w:t xml:space="preserve">Notes: </w:t>
      </w:r>
      <w:r>
        <w:t>abstract_source=nature_html</w:t>
      </w:r>
    </w:p>
    <w:p>
      <w:pPr>
        <w:spacing w:before="0" w:after="80" w:lineRule="auto" w:line="276"/>
      </w:pPr>
      <w:r>
        <w:rPr>
          <w:b/>
        </w:rPr>
        <w:t xml:space="preserve">摘要（ZH）: </w:t>
      </w:r>
      <w:r>
        <w:t>“屈曲二聚体”定义了硅和锗 (100) 半导体表面的关键特性，并控制着它们在钝化、功能化和器件制造过程中的行为。每个二聚体将路易斯酸性“下”原子与路易斯碱性“上”原子结合在一起，形成难以分离或量化的极化基序。因此，它们的原子解析化学仍然具有挑战性。在这里，我们表明结构约束可以将这种表面基序转化为分子系统。杯[4]吡咯配体在双核Ge(II)配合物中强化了独特的顺式弯曲几何形状，生成了模拟Ge(100)弯曲二聚体的两亲性特征的极化Ge-Ge单元。结构分析、定量路易斯酸度/碱度测量和溶液相反应性揭示了明显的表面特征，但与传统的二聚烯明显不同。刚性的几何形状产生了空间上分离的、异常强的路易斯酸性和碱性位点，控制着不同的反应模式。因此，这项工作建立了受限主族配合物作为分子替代物，用于研究溶液中的固-真空界面化学。</w:t>
      </w:r>
    </w:p>
    <w:p>
      <w:pPr>
        <w:spacing w:before="0" w:after="200" w:lineRule="auto" w:line="276"/>
      </w:pPr>
      <w:r>
        <w:rPr>
          <w:b/>
        </w:rPr>
        <w:t xml:space="preserve">Abstract (EN): </w:t>
      </w:r>
      <w:r>
        <w:t>The ‘buckled dimer’ defines the key properties of silicon and germanium(100) semiconductor surfaces and governs their behaviour during passivation, functionalization and device fabrication. Each dimer combines a Lewis-acidic ‘down’ atom with a Lewis-basic ‘up’ atom, creating a polarized motif that is difficult to isolate or to quantify. Accordingly, their atomically resolved chemistry remains challenging to interrogate. Here we show that structural constraint can translate this surface motif into a molecular system. A calix[4]pyrrolato ligand enforces a unique cis-bent geometry in a dinuclear Ge(II) complex, generating a polarized Ge–Ge unit that emulates the ambiphilic character of a Ge(100) buckled dimer. Structural analysis, quantitative Lewis acidity/basicity measurements and solution-phase reactivity reveal pronounced surface-like features, but clear divergence from conventional digermenes. The rigid geometry creates spatially separated, exceptionally strong Lewis acidic and basic sites that govern distinct reactivity patterns. Accordingly, this work establishes constrained main-group complexes as molecular surrogates for interrogating solid–vacuum interface chemistry in solution.</w:t>
      </w:r>
    </w:p>
    <w:p>
      <w:pPr>
        <w:spacing w:before="120" w:after="120"/>
      </w:pPr>
      <w:r>
        <w:rPr>
          <w:sz w:val="18"/>
        </w:rPr>
        <w:t>——————————————————————————————————————————————————————————————————————</w:t>
      </w:r>
    </w:p>
    <w:p>
      <w:pPr>
        <w:spacing w:before="160" w:after="40" w:line="240" w:lineRule="auto"/>
      </w:pPr>
      <w:r>
        <w:rPr>
          <w:b/>
        </w:rPr>
        <w:t xml:space="preserve">[260] </w:t>
      </w:r>
      <w:hyperlink r:id="rId844">
        <w:r>
          <w:rPr>
            <w:color w:val="1155CC"/>
            <w:u w:val="single"/>
          </w:rPr>
          <w:t>聚合中化学控制反应的链长依赖性</w:t>
        </w:r>
      </w:hyperlink>
    </w:p>
    <w:p>
      <w:pPr>
        <w:spacing w:before="0" w:after="80"/>
      </w:pPr>
      <w:r>
        <w:rPr>
          <w:i/>
          <w:sz w:val="20"/>
        </w:rPr>
        <w:t>EN: Chain Length Dependence of Chemically Controlled Reactions in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45">
        <w:r>
          <w:rPr>
            <w:color w:val="1155CC"/>
            <w:u w:val="single"/>
          </w:rPr>
          <w:t>10.1021/jacs.6c04542</w:t>
        </w:r>
      </w:hyperlink>
    </w:p>
    <w:p>
      <w:pPr>
        <w:spacing w:before="0" w:after="120"/>
      </w:pPr>
      <w:r>
        <w:rPr>
          <w:b/>
        </w:rPr>
        <w:t xml:space="preserve">Notes: </w:t>
      </w:r>
      <w:r>
        <w:t>abstract_source=pubmed</w:t>
      </w:r>
    </w:p>
    <w:p>
      <w:pPr>
        <w:spacing w:before="0" w:after="80" w:lineRule="auto" w:line="276"/>
      </w:pPr>
      <w:r>
        <w:rPr>
          <w:b/>
        </w:rPr>
        <w:t xml:space="preserve">摘要（ZH）: </w:t>
      </w:r>
      <w:r>
        <w:t>聚合过程中的化学控制反应传统上被认为具有与链长无关的速率系数。然而，这项工作通过使用多尺度建模来证明化学控制的聚合物-聚合物反应可以表现出显着的链长效应，从而挑战了这一假设。以可逆加成-断裂链转移（RAFT）聚合为案例研究，我们比较了两个过程的反应熵的链长收敛：将增长的聚合物自由基加成到同时增长的聚合RAFT剂中，以及涉及低分子量RAFT剂的类似反应。后者在 10 次单体添加内达到平衡，而前者表现出延迟收敛，且聚合度 (DP) 达到 100 或更高时效果仍持续。在 Diels-Alder 逐步增长聚合中观察到类似的趋势，其中当一个链长度固定且短时发生快速收敛，但当两个反应链长度同时增加时观察到明显较慢的收敛。这些结果表明，熵贡献随链长度呈对数缩放，导致平衡常数 (Keq) 显着依赖于链长度。由于这些效应源于基本的熵考虑，而不是反应物质的特定特征，因此预计它们将在其他化学控制的聚合物-聚合物反应的动力学和热力学中广泛体现。我们的研究结果为解决差异提供了机制基础</w:t>
      </w:r>
    </w:p>
    <w:p>
      <w:pPr>
        <w:spacing w:before="0" w:after="200" w:lineRule="auto" w:line="276"/>
      </w:pPr>
      <w:r>
        <w:rPr>
          <w:b/>
        </w:rPr>
        <w:t xml:space="preserve">Abstract (EN): </w:t>
      </w:r>
      <w:r>
        <w:t>Chemically controlled reactions in polymerization processes are traditionally assumed to have chain-length-independent rate coefficients. However, this work challenges that assumption by using multiscale modeling to demonstrate that chemically controlled polymer-polymer reactions can exhibit significant chain length effects. Taking reversible addition-fragmentation chain transfer (RAFT) polymerization as a case study, we compare the chain length convergence of the reaction entropy for two processes: the addition of a growing polymer radical to a simultaneously growing polymeric RAFT agent, and the analogous reaction involving a low molecular weight RAFT agent. While the latter reaches equilibrium within 10 monomer additions, the former shows delayed convergence, with effects persisting to degrees of polymerization (DP) of 100 or more. A similar trend was observed in the Diels-Alder step-growth polymerization, where rapid convergence occurred when one chain length was fixed and short, but markedly slower convergence was observed when both reacting chain lengths increased simultaneously. These results reveal that entropy contributions, which scale logarithmically with chain length, lead to significant chain length dependence in the equilibrium constants (Keq). Because these effects arise from fundamental entropic considerations rather than specific features of the reacting species, they are expected to manifest broadly in the kinetics and thermodynamics of other chemically controlled polymer-polymer reactions. Our findings provide a mechanistic basis for resolving discrepancies in experimental estimates of fragmentation rate coefficients, shedding light on debate surrounding rate retardation in RAFT systems. More broadly, this work underscores the importance of chain length effects in the kinetics and thermodynamics of chemically controlled polymer-polymer reactions.</w:t>
      </w:r>
    </w:p>
    <w:p>
      <w:pPr>
        <w:spacing w:before="120" w:after="120"/>
      </w:pPr>
      <w:r>
        <w:rPr>
          <w:sz w:val="18"/>
        </w:rPr>
        <w:t>——————————————————————————————————————————————————————————————————————</w:t>
      </w:r>
    </w:p>
    <w:p>
      <w:pPr>
        <w:spacing w:before="160" w:after="40" w:line="240" w:lineRule="auto"/>
      </w:pPr>
      <w:r>
        <w:rPr>
          <w:b/>
        </w:rPr>
        <w:t xml:space="preserve">[261] </w:t>
      </w:r>
      <w:hyperlink r:id="rId846">
        <w:r>
          <w:rPr>
            <w:color w:val="1155CC"/>
            <w:u w:val="single"/>
          </w:rPr>
          <w:t>撤回“纳米级共价有机框架与交错堆积的酞菁用于线粒体靶向光动力疗法”</w:t>
        </w:r>
      </w:hyperlink>
    </w:p>
    <w:p>
      <w:pPr>
        <w:spacing w:before="0" w:after="80"/>
      </w:pPr>
      <w:r>
        <w:rPr>
          <w:i/>
          <w:sz w:val="20"/>
        </w:rPr>
        <w:t>EN: Retraction of “Nanoscale Covalent Organic Framework with Staggered Stacking of Phthalocyanines for Mitochondria-Targeted Photodynamic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47">
        <w:r>
          <w:rPr>
            <w:color w:val="1155CC"/>
            <w:u w:val="single"/>
          </w:rPr>
          <w:t>10.1021/jacs.6c07366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848">
        <w:r>
          <w:rPr>
            <w:color w:val="1155CC"/>
            <w:u w:val="single"/>
          </w:rPr>
          <w:t>从手工研磨镜片到西河太阳空间任务：程方教授专访</w:t>
        </w:r>
      </w:hyperlink>
    </w:p>
    <w:p>
      <w:pPr>
        <w:spacing w:before="0" w:after="80"/>
      </w:pPr>
      <w:r>
        <w:rPr>
          <w:i/>
          <w:sz w:val="20"/>
        </w:rPr>
        <w:t>EN: From hand-ground lenses to Xihe solar space missions: an interview of Professor Cheng Fang</w:t>
      </w:r>
    </w:p>
    <w:p>
      <w:pPr>
        <w:spacing w:before="0" w:after="120"/>
      </w:pPr>
      <w:r>
        <w:rPr>
          <w:b/>
        </w:rPr>
        <w:t xml:space="preserve">Source: </w:t>
      </w:r>
      <w:r>
        <w:t>National Science Review Advance Access</w:t>
      </w:r>
      <w:r>
        <w:t xml:space="preserve">    </w:t>
      </w:r>
      <w:r>
        <w:rPr>
          <w:b/>
        </w:rPr>
        <w:t xml:space="preserve">Pub date: </w:t>
      </w:r>
      <w:r>
        <w:t>2026-07-14 00:00:00+00:00</w:t>
      </w:r>
      <w:r>
        <w:t xml:space="preserve">    </w:t>
      </w:r>
      <w:r>
        <w:rPr>
          <w:b/>
        </w:rPr>
        <w:t xml:space="preserve">DOI: </w:t>
      </w:r>
      <w:hyperlink r:id="rId849">
        <w:r>
          <w:rPr>
            <w:color w:val="1155CC"/>
            <w:u w:val="single"/>
          </w:rPr>
          <w:t>10.1093/nsr/nwag430</w:t>
        </w:r>
      </w:hyperlink>
    </w:p>
    <w:p>
      <w:pPr>
        <w:spacing w:before="0" w:after="120"/>
      </w:pPr>
      <w:r>
        <w:rPr>
          <w:b/>
        </w:rPr>
        <w:t xml:space="preserve">Notes: </w:t>
      </w:r>
      <w:r>
        <w:t>abstract_source=crossref</w:t>
      </w:r>
    </w:p>
    <w:p>
      <w:pPr>
        <w:spacing w:before="0" w:after="80" w:lineRule="auto" w:line="276"/>
      </w:pPr>
      <w:r>
        <w:rPr>
          <w:b/>
        </w:rPr>
        <w:t xml:space="preserve">摘要（ZH）: </w:t>
      </w:r>
      <w:r>
        <w:t>中国太阳观测史.</w:t>
      </w:r>
    </w:p>
    <w:p>
      <w:pPr>
        <w:spacing w:before="0" w:after="200" w:lineRule="auto" w:line="276"/>
      </w:pPr>
      <w:r>
        <w:rPr>
          <w:b/>
        </w:rPr>
        <w:t xml:space="preserve">Abstract (EN): </w:t>
      </w:r>
      <w:r>
        <w:t>The history of China's solar observation.</w:t>
      </w:r>
    </w:p>
    <w:p>
      <w:pPr>
        <w:spacing w:before="120" w:after="120"/>
      </w:pPr>
      <w:r>
        <w:rPr>
          <w:sz w:val="18"/>
        </w:rPr>
        <w:t>——————————————————————————————————————————————————————————————————————</w:t>
      </w:r>
    </w:p>
    <w:p>
      <w:pPr>
        <w:spacing w:before="160" w:after="40" w:line="240" w:lineRule="auto"/>
      </w:pPr>
      <w:r>
        <w:rPr>
          <w:b/>
        </w:rPr>
        <w:t xml:space="preserve">[263] </w:t>
      </w:r>
      <w:hyperlink r:id="rId850">
        <w:r>
          <w:rPr>
            <w:color w:val="1155CC"/>
            <w:u w:val="single"/>
          </w:rPr>
          <w:t>通过溶剂诱导（反）芳香性来停用甘菊环中的发射</w:t>
        </w:r>
      </w:hyperlink>
    </w:p>
    <w:p>
      <w:pPr>
        <w:spacing w:before="0" w:after="80"/>
      </w:pPr>
      <w:r>
        <w:rPr>
          <w:i/>
          <w:sz w:val="20"/>
        </w:rPr>
        <w:t>EN: Deactivating Emission in Azulene via Solvent-Induced (Anti)Aromaticity</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51">
        <w:r>
          <w:rPr>
            <w:color w:val="1155CC"/>
            <w:u w:val="single"/>
          </w:rPr>
          <w:t>10.1021/jacs.6c09744</w:t>
        </w:r>
      </w:hyperlink>
    </w:p>
    <w:p>
      <w:pPr>
        <w:spacing w:before="0" w:after="120"/>
      </w:pPr>
      <w:r>
        <w:rPr>
          <w:b/>
        </w:rPr>
        <w:t xml:space="preserve">Notes: </w:t>
      </w:r>
      <w:r>
        <w:t>abstract_source=pubmed</w:t>
      </w:r>
    </w:p>
    <w:p>
      <w:pPr>
        <w:spacing w:before="0" w:after="80" w:lineRule="auto" w:line="276"/>
      </w:pPr>
      <w:r>
        <w:rPr>
          <w:b/>
        </w:rPr>
        <w:t xml:space="preserve">摘要（ZH）: </w:t>
      </w:r>
      <w:r>
        <w:t>抗 Kasha 发射是光电子领域令人垂涎的一项功能，在成像、传感和通过双光子发射生产白光 LED 等领域具有广阔的前景。尽管反Kasha发射在有机系统中是一个罕见的特征，但在看似简单的分子甘菊中很容易观察到，它在紫外-可见光谱中拥有两个明亮的单线态，并且很容易从S2态发射。凭借占主导地位的抗 Kasha 发射和数十年的合成研究，甘菊环是新型材料制造的完美候选者；然而，即使是简单的母体化合物的光物理学的理解仍然存在巨大差距。这些范围从竞争性的、未经实验验证的甘菊环反应性和芳香性模型，到许多甘菊环衍生物中反卡莎发射的无法解释的失活。在这里，我们使用荧光和瞬态吸收光谱来探索甘菊光物理的详细溶剂依赖性。我们发现通过与芳香族溶剂的弱络合作用可调节地缩短 S2 寿命。有趣的是，我们的结果与极性无关，突出了外围离域 10-π Hückel 芳香性相对于两性离子特征的首要性。当通过化学官能化增强偶极特性时，我们观察到对溶剂芳香性的更大敏感性和更快的猝灭，揭示了具有两性离子激发态的甘菊环中圆锥交叉的作用。总的来说，这项工作提供了对甘菊环光物理学的基本机制洞察，并揭示了一种简单的新方法</w:t>
      </w:r>
    </w:p>
    <w:p>
      <w:pPr>
        <w:spacing w:before="0" w:after="200" w:lineRule="auto" w:line="276"/>
      </w:pPr>
      <w:r>
        <w:rPr>
          <w:b/>
        </w:rPr>
        <w:t xml:space="preserve">Abstract (EN): </w:t>
      </w:r>
      <w:r>
        <w:t>Anti-Kasha emission is a coveted feature in optoelectronics, with promise in areas such as imaging, sensing, and the production of white-light LEDs via dual-photon emission. Despite being a rare feature in organic systems, anti-Kasha emission is readily observed in the deceptively simple molecule azulene, which possesses two bright singlet states in the UV-visible spectrum and readily emits from the S2 state. With dominant anti-Kasha emission and decades of synthetic study, azulene is a perfect candidate for novel material fabrication; however, large gaps persist in understanding the photophysics of even the simple parent compound. These range from competing, experimentally unverified models of azulene reactivity and aromaticity to the unexplained deactivation of anti-Kasha emission in a host of azulene derivatives. Herein, we use fluorescence and transient absorption spectroscopies to explore the detailed solvent dependence of azulene photophysics. We discover a tunable reduction in the S2 lifetime via weak complexation with aromatic solvents. Interestingly, our results are independent of polarity, highlighting the primacy of peripherally delocalized 10-π Hückel aromaticity over zwitterionic character. When the dipolar character is enhanced through chemical functionalization, we observe even greater sensitivity to solvent aromaticity and more rapid quenching, revealing the role of conical intersections in azulenes with zwitterionic excited states. Overall, this work provides essential mechanistic insight into the photophysics of azulene and reveals a simple new approach to control the excited-state aromaticity and anti-Kasha emission in this class of materials.</w:t>
      </w:r>
    </w:p>
    <w:p>
      <w:pPr>
        <w:spacing w:before="120" w:after="120"/>
      </w:pPr>
      <w:r>
        <w:rPr>
          <w:sz w:val="18"/>
        </w:rPr>
        <w:t>——————————————————————————————————————————————————————————————————————</w:t>
      </w:r>
    </w:p>
    <w:p>
      <w:pPr>
        <w:spacing w:before="160" w:after="40" w:line="240" w:lineRule="auto"/>
      </w:pPr>
      <w:r>
        <w:rPr>
          <w:b/>
        </w:rPr>
        <w:t xml:space="preserve">[264] </w:t>
      </w:r>
      <w:hyperlink r:id="rId852">
        <w:r>
          <w:rPr>
            <w:color w:val="1155CC"/>
            <w:u w:val="single"/>
          </w:rPr>
          <w:t>细菌湍流驱动相分离液滴中的界面波和形状动力学</w:t>
        </w:r>
      </w:hyperlink>
    </w:p>
    <w:p>
      <w:pPr>
        <w:spacing w:before="0" w:after="80"/>
      </w:pPr>
      <w:r>
        <w:rPr>
          <w:i/>
          <w:sz w:val="20"/>
        </w:rPr>
        <w:t>EN: Bacterial turbulence drives interfacial waves and shape dynamics in phase-separated droplets</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液-液相分离在生物学、物理学和材料科学中都很重要。尽管通常在平衡状态下进行研究，但活性成分（例如运动蛋白、酶和合成微型游泳器）越来越被认为是重塑相分离动力学的关键参与者。然而，内部产生的主动应力如何传递到毛细管界面以重塑三维液滴动力学仍然知之甚少。在这里，我们将运动细菌的密集悬浮液封装在相分离的水滴内，形成一个封闭的液滴，其界面由细菌湍流从内部驱动。通过改变细菌密度，我们控制液滴界面处的主动应力。在低细菌密度下，我们观察到以波的形式传播的与尺度相关的界面波动。在这种低雷诺数状态下，这些波由有效的惯性响应产生，当主动细菌应力平衡界面的被动粘性阻尼时产生。在较高的细菌密度下，液滴会强烈变形，超过高原瑞利不稳定性阈值，甚至形成细菌规模的细丝，这是一种没有被动对应物的形态。这些形状变化伴随着液滴运动性的增强和粗化的加速。我们的工作展示了主动应力如何重塑多相系统的形态和动力学，为内部驱动的相分离流体的物理学提供了新的见解。</w:t>
      </w:r>
    </w:p>
    <w:p>
      <w:pPr>
        <w:spacing w:before="0" w:after="200" w:lineRule="auto" w:line="276"/>
      </w:pPr>
      <w:r>
        <w:rPr>
          <w:b/>
        </w:rPr>
        <w:t xml:space="preserve">Abstract (EN): </w:t>
      </w:r>
      <w:r>
        <w:t>Liquid-liquid phase separation is important across biology, physics, and materials science. Although usually studied at equilibrium, active components-such as motor proteins, enzymes, and synthetic microswimmers-are increasingly recognized as key players in reshaping phase separation dynamics. Yet how internally generated active stresses are transmitted to capillary interfaces to reshape three-dimensional droplet dynamics remains poorly understood. Here, we encapsulate dense suspensions of motile bacteria inside phase-separated aqueous droplets, creating a closed droplet whose interface is driven from within by bacterial turbulence. By varying bacterial density, we control the active stress at the droplet interface. At low bacterial density, we observe scale-dependent interfacial fluctuations that propagate as waves. In this low Reynolds number regime, these waves arise from an effective inertial response, generated when active bacterial stresses balance passive viscous damping of the interface. At higher bacterial density, droplets deform strongly-exceeding the Plateau-Rayleigh instability threshold-and even form bacteria-scale filaments-a morphology without a passive counterpart. Enhanced droplet motility and accelerated coarsening accompany these shape changes. Our work shows how active stresses can reshape the morphology and dynamics of multiphase systems, offering new insight into the physics of internally driven phase-separated fluids.</w:t>
      </w:r>
    </w:p>
    <w:p>
      <w:pPr>
        <w:spacing w:before="120" w:after="120"/>
      </w:pPr>
      <w:r>
        <w:rPr>
          <w:sz w:val="18"/>
        </w:rPr>
        <w:t>——————————————————————————————————————————————————————————————————————</w:t>
      </w:r>
    </w:p>
    <w:p>
      <w:pPr>
        <w:spacing w:before="160" w:after="40" w:line="240" w:lineRule="auto"/>
      </w:pPr>
      <w:r>
        <w:rPr>
          <w:b/>
        </w:rPr>
        <w:t xml:space="preserve">[265] </w:t>
      </w:r>
      <w:hyperlink r:id="rId853">
        <w:r>
          <w:rPr>
            <w:color w:val="1155CC"/>
            <w:u w:val="single"/>
          </w:rPr>
          <w:t>由 π 堆叠有机节点和多金属氧酸盐无机连接体组装的库仑金属有机框架</w:t>
        </w:r>
      </w:hyperlink>
    </w:p>
    <w:p>
      <w:pPr>
        <w:spacing w:before="0" w:after="80"/>
      </w:pPr>
      <w:r>
        <w:rPr>
          <w:i/>
          <w:sz w:val="20"/>
        </w:rPr>
        <w:t>EN: Coulombic Metal–Organic Frameworks Assembled from π-Stacked Organic Nodes and Polyoxometalate Inorganic Linkers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54">
        <w:r>
          <w:rPr>
            <w:color w:val="1155CC"/>
            <w:u w:val="single"/>
          </w:rPr>
          <w:t>10.1021/jacs.6c06322</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金属有机框架（MOF）通常是通过在无机节点和有机连接体之间形成配位键来构建的。在这里，我们提出了一种替代框架化学，它不依赖于配位键合，而是利用质子转移促进的库仑和氢键相互作用。酸性 Keggin 型多金属氧酸盐 (POM) 对碱性胺分子进行质子化，产生互补的有机阳离子和无机阴离子，在室温下通过简单的溶液混合即可快速自组装成晶体框架。溶剂酸度调节质子转移和电荷平衡，从而控制胺-POM化学计量和堆积模式，并驱动从π堆叠有机阵列（CouMOF-1）到类MOF节点连接网络（CouMOF-2）并最终到连续POM堆叠相（CouMOF-3）的结构演化。中间相 CouMOF-2 包含一个原始立方 (pcu) 网，其中 π 堆叠有机分子作为由 2 个连接的 POM 簇桥接的 6 个连接的超分子有机节点，产生没有配位键合的类 MOF 拓扑，代表了 MOF 传统无机节点/有机连接体结构的罕见反转。这些材料表现出不同的硫化物氧化活性和选择性，凸显了溶剂控制组装作为调整结构-功能关系的途径。这种组装策略扩展到多种胺单体和多金属氧酸盐，并且合成简单性以及胺-POM组合的大化学空间突出或</w:t>
      </w:r>
    </w:p>
    <w:p>
      <w:pPr>
        <w:spacing w:before="0" w:after="200" w:lineRule="auto" w:line="276"/>
      </w:pPr>
      <w:r>
        <w:rPr>
          <w:b/>
        </w:rPr>
        <w:t xml:space="preserve">Abstract (EN): </w:t>
      </w:r>
      <w:r>
        <w:t>Metal-organic frameworks (MOFs) are typically constructed by forming coordination bonds between inorganic nodes and organic linkers. Here we present an alternative framework chemistry that does not rely on coordination bonding but instead exploits proton-transfer-facilitated Coulombic and hydrogen-bonding interactions. Protonation of basic amine molecules by acidic Keggin-type polyoxometalates (POMs) generates complementary organic cations and inorganic anions that rapidly self-assemble into crystalline frameworks at room temperature upon simple solution mixing. Solvent acidity modulates proton transfer and charge balance, thereby controlling amine-POM stoichiometry and packing modes and driving a structural evolution from π-stacked organic arrays (CouMOF-1) to a MOF-like node-linker network (CouMOF-2) and ultimately to a continuous POM-stacked phase (CouMOF-3). The intermediate phase, CouMOF-2, comprises a primitive cubic (pcu) net in which π-stacked organic molecules serve as 6-connected supramolecular organic nodes bridged by 2-connected POM clusters, producing a MOF-like topology without coordination bonding and representing a rare inversion of the conventional inorganic-node/organic-linker architecture of MOFs. These materials exhibit different sulfide oxidation activities and selectivities, highlighting solvent-controlled assembly as a route to tuning structure-function relationships. This assembly strategy extends to diverse amine monomers and polyoxometalates, and the synthetic simplicity together with the large chemical space of amine-POM combinations highlights organic-inorganic acid-base assembly as a versatile route to crystalline ionic frameworks that use nondirectional Coulombic interactions to generate ordered framework architectures, without resorting to coordination chemistry.</w:t>
      </w:r>
    </w:p>
    <w:p>
      <w:pPr>
        <w:spacing w:before="120" w:after="120"/>
      </w:pPr>
      <w:r>
        <w:rPr>
          <w:sz w:val="18"/>
        </w:rPr>
        <w:t>——————————————————————————————————————————————————————————————————————</w:t>
      </w:r>
    </w:p>
    <w:p>
      <w:pPr>
        <w:spacing w:before="160" w:after="40" w:line="240" w:lineRule="auto"/>
      </w:pPr>
      <w:r>
        <w:rPr>
          <w:b/>
        </w:rPr>
        <w:t xml:space="preserve">[266] </w:t>
      </w:r>
      <w:hyperlink r:id="rId855">
        <w:r>
          <w:rPr>
            <w:color w:val="1155CC"/>
            <w:u w:val="single"/>
          </w:rPr>
          <w:t>纳米粒子结构对V 2 O 5 质子耦合电子转移反应热力学和动力学的影响</w:t>
        </w:r>
      </w:hyperlink>
    </w:p>
    <w:p>
      <w:pPr>
        <w:spacing w:before="0" w:after="80"/>
      </w:pPr>
      <w:r>
        <w:rPr>
          <w:i/>
          <w:sz w:val="20"/>
        </w:rPr>
        <w:t>EN: The Effect of Nanoparticle Structure on the Thermodynamics and Kinetics of Proton-Coupled Electron Transfer Reactions to V 2 O 5</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56">
        <w:r>
          <w:rPr>
            <w:color w:val="1155CC"/>
            <w:u w:val="single"/>
          </w:rPr>
          <w:t>10.1021/jacs.6c08557</w:t>
        </w:r>
      </w:hyperlink>
    </w:p>
    <w:p>
      <w:pPr>
        <w:spacing w:before="0" w:after="120"/>
      </w:pPr>
      <w:r>
        <w:rPr>
          <w:b/>
        </w:rPr>
        <w:t xml:space="preserve">Notes: </w:t>
      </w:r>
      <w:r>
        <w:t>abstract_source=pubmed</w:t>
      </w:r>
    </w:p>
    <w:p>
      <w:pPr>
        <w:spacing w:before="0" w:after="80" w:lineRule="auto" w:line="276"/>
      </w:pPr>
      <w:r>
        <w:rPr>
          <w:b/>
        </w:rPr>
        <w:t xml:space="preserve">摘要（ZH）: </w:t>
      </w:r>
      <w:r>
        <w:t>质子耦合电子转移（PCET）到金属氧化物是可持续催化和能量存储过程的关键反应。然而，控制金属氧化物上 PCET 反应的因素尚不清楚，颗粒形态/表面刻面对 PCET 热力学和动力学的影响基本上尚未测试。我们测量了从 CpCr(CO)3H 到五个不同形态/表面刻面的 V2O5 样品的 PCET 热力学和动力学。它们的纳米结构通过 Rietveld 细化评估了优选的微晶取向，从而对表面刻面进行了半定量测量。 PCET 到 V2O5 是通过质子插入耦合电子转移 (PICET) 发生的，其中 H· 扩散到粒子的主体中。 PICET 的热力学受颗粒结构控制，非平衡形态需要在 PICET 过程中进行结构重排。 PICET 的动力学由 H· 扩散到本体中的速率控制，沿着互连的 V2O5 层的扩散速度比层之间的扩散速度快 10 倍。 H· 扩散受阻的样品在甲醇氧化中也表现出低活性，这表明在催化过程中发生了 H· 扩散到本体中。这项工作表明，颗粒形态对于 PCET 与各向异性金属氧化物的反应至关重要，在检查其反应性时必须予以考虑。</w:t>
      </w:r>
    </w:p>
    <w:p>
      <w:pPr>
        <w:spacing w:before="0" w:after="200" w:lineRule="auto" w:line="276"/>
      </w:pPr>
      <w:r>
        <w:rPr>
          <w:b/>
        </w:rPr>
        <w:t xml:space="preserve">Abstract (EN): </w:t>
      </w:r>
      <w:r>
        <w:t>Proton-coupled electron transfers (PCETs) to metal oxides are key reactions for sustainable catalytic and energy storage processes. The factors that control PCET reactions on metal oxides are, however, not well understood, with the effect of particle morphology/surface faceting on the thermodynamics and kinetics of PCET being essentially untested. We measured the thermodynamics and kinetics of PCET from CpCr(CO)3H to five V2O5 samples of varying morphologies/surface faceting. Their nanostructures were assessed by Rietveld refinement accounting for preferred crystallite orientation, giving a semiquantitative measurement of surface faceting. PCET to V2O5 occurs via proton insertion-coupled electron transfer (PICET), where H· diffuses into the bulk of the particle. The thermodynamics of PICET are controlled by particle structure, with nonequilibrium morphologies requiring structural rearrangement during PICET. The kinetics of PICET are controlled by the rate of H· diffusion into the bulk, with diffusion along the interconnected V2O5 layers being 10x faster than between the layers. Samples with hindered H· diffusion also show low activity in the oxidation of methanol, demonstrating that diffusion of H· into the bulk occurs during catalysis. This work demonstrates that particle morphology is critical for PCET reactions to anisotropic metal oxides and must be considered when examining their reactivity.</w:t>
      </w:r>
    </w:p>
    <w:p>
      <w:pPr>
        <w:spacing w:before="120" w:after="120"/>
      </w:pPr>
      <w:r>
        <w:rPr>
          <w:sz w:val="18"/>
        </w:rPr>
        <w:t>——————————————————————————————————————————————————————————————————————</w:t>
      </w:r>
    </w:p>
    <w:p>
      <w:pPr>
        <w:spacing w:before="160" w:after="40" w:line="240" w:lineRule="auto"/>
      </w:pPr>
      <w:r>
        <w:rPr>
          <w:b/>
        </w:rPr>
        <w:t xml:space="preserve">[267] </w:t>
      </w:r>
      <w:hyperlink r:id="rId857">
        <w:r>
          <w:rPr>
            <w:color w:val="1155CC"/>
            <w:u w:val="single"/>
          </w:rPr>
          <w:t>双核钴(II)配合物中过硫亚硝酸盐诱导的过硫化</w:t>
        </w:r>
      </w:hyperlink>
    </w:p>
    <w:p>
      <w:pPr>
        <w:spacing w:before="0" w:after="80"/>
      </w:pPr>
      <w:r>
        <w:rPr>
          <w:i/>
          <w:sz w:val="20"/>
        </w:rPr>
        <w:t>EN: Perthionitrite-Induced Persulfidation in Binuclear Cobalt(II)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2026-07-14 00:00:00+00:00</w:t>
      </w:r>
      <w:r>
        <w:t xml:space="preserve">    </w:t>
      </w:r>
      <w:r>
        <w:rPr>
          <w:b/>
        </w:rPr>
        <w:t xml:space="preserve">DOI: </w:t>
      </w:r>
      <w:hyperlink r:id="rId858">
        <w:r>
          <w:rPr>
            <w:color w:val="1155CC"/>
            <w:u w:val="single"/>
          </w:rPr>
          <w:t>10.1021/jacs.6c05445</w:t>
        </w:r>
      </w:hyperlink>
    </w:p>
    <w:p>
      <w:pPr>
        <w:spacing w:before="0" w:after="120"/>
      </w:pPr>
      <w:r>
        <w:rPr>
          <w:b/>
        </w:rPr>
        <w:t xml:space="preserve">Notes: </w:t>
      </w:r>
      <w:r>
        <w:t>abstract_source=pubmed</w:t>
      </w:r>
    </w:p>
    <w:p>
      <w:pPr>
        <w:spacing w:before="0" w:after="80" w:lineRule="auto" w:line="276"/>
      </w:pPr>
      <w:r>
        <w:rPr>
          <w:b/>
        </w:rPr>
        <w:t xml:space="preserve">摘要（ZH）: </w:t>
      </w:r>
      <w:r>
        <w:t>蛋白质和非蛋白质硫醇中的巯基官能团（-SH）的过硫化是一个重要的生理过程，通常涉及通过完全还原的硫来还原部分氧化的硫。在目前的工作中，两种二钴(II)-亚硝基配合物，[Co2(PhBIMP)(μ-NO2)(DMF)]2+ (2) 和 [Co2(PhBIMP)(μ-NO2)2]1+ (3)，已被证明可以与 RC(O)SH (R = Me, Ph) 反应生成过硫化配合物，[Co2(PhBIMP)(μ-SSC(O)R)]2+ (R = Me, 5a; Ph, 5b) 与一氧化氮 (71-80%) 的高产率 (65-72%)。通过结构和光谱方法对所有产物和中间体进行表征，并将结果与对照实验获得的结果进行比较，确定在 2/3 与 RC(O)SH 的反应中生成 [Co2(PhBIMP)(μ-SC(O)R)(MeCN)]2+ (R = Me, 4a; Ph, 4b) 和过硫亚硝酸盐 (SSNO-)，然后对配位硫代羧酸盐进行过硫化4a 和 4b 中的 (RC(O)S-) 通过原位生成的 SSNO- 分别生成过硫化复合物 5a 和 5b。因此，本工作首次证明 SSNO- 作为一种生理相关的 S/N 串扰物种，可以有效介导巯基官能团的过硫化，并可能暗示 SSNO- 在生物过硫化过程中具有类似但迄今为止未知的作用。</w:t>
      </w:r>
    </w:p>
    <w:p>
      <w:pPr>
        <w:spacing w:before="0" w:after="200" w:lineRule="auto" w:line="276"/>
      </w:pPr>
      <w:r>
        <w:rPr>
          <w:b/>
        </w:rPr>
        <w:t xml:space="preserve">Abstract (EN): </w:t>
      </w:r>
      <w:r>
        <w:t>Persulfidation of sulfhydryl functional group (-SH) in protein and nonprotein thiols is a physiologically important process and generally involves the reduction of a partially oxidized sulfur by a fully reduced sulfur. In the present work, two dicobalt(II)-nitrito complexes, [Co2(PhBIMP)(μ-NO2)(DMF)]2+ (2) and [Co2(PhBIMP)(μ-NO2)2]1+ (3), have been demonstrated to react with RC(O)SH (R = Me, Ph) to generate the persulfidated complexes, [Co2(PhBIMP)(μ-SSC(O)R)]2+ (R = Me, 5a; Ph, 5b) in high yields (65-72%) along with nitric oxide (71-80%). Characterization of all the products and intermediates by structural and spectroscopic methods, and comparison of the results with those obtained from control experiments, established the generation of [Co2(PhBIMP)(μ-SC(O)R)(MeCN)]2+ (R = Me, 4a; Ph, 4b) and perthionitrite (SSNO-) in the reactions of 2/3 with RC(O)SH, followed by persulfidation of the coordinated thiocarboxylate (RC(O)S-) in 4a and 4b by the in situ generated SSNO- to produce the persulfidated complexes, 5a and 5b, respectively. The present work thus demonstrates, for the first time, that SSNO-, a physiologically relevant S/N-crosstalk species, can effectively mediate the persulfidation of sulfhydryl functional groups and may implicate a similar, but hitherto unknown, role of SSNO- in biological persulfidation processes.</w:t>
      </w:r>
    </w:p>
    <w:p>
      <w:pPr>
        <w:spacing w:before="120" w:after="120"/>
      </w:pPr>
      <w:r>
        <w:rPr>
          <w:sz w:val="18"/>
        </w:rPr>
        <w:t>——————————————————————————————————————————————————————————————————————</w:t>
      </w:r>
    </w:p>
    <w:p>
      <w:pPr>
        <w:spacing w:before="160" w:after="40" w:line="240" w:lineRule="auto"/>
      </w:pPr>
      <w:r>
        <w:rPr>
          <w:b/>
        </w:rPr>
        <w:t xml:space="preserve">[268] </w:t>
      </w:r>
      <w:hyperlink r:id="rId859">
        <w:r>
          <w:rPr>
            <w:color w:val="1155CC"/>
            <w:u w:val="single"/>
          </w:rPr>
          <w:t>面对恶劣的气候：不断变化的世界中陆生植物的功能策略</w:t>
        </w:r>
      </w:hyperlink>
    </w:p>
    <w:p>
      <w:pPr>
        <w:spacing w:before="0" w:after="80"/>
      </w:pPr>
      <w:r>
        <w:rPr>
          <w:i/>
          <w:sz w:val="20"/>
        </w:rPr>
        <w:t>EN: Facing a harsh climate: terrestrial plant functional strategies in a changing world</w:t>
      </w:r>
    </w:p>
    <w:p>
      <w:pPr>
        <w:spacing w:before="0" w:after="120"/>
      </w:pPr>
      <w:r>
        <w:rPr>
          <w:b/>
        </w:rPr>
        <w:t xml:space="preserve">Source: </w:t>
      </w:r>
      <w:r>
        <w:t>National Science Review Advance Access</w:t>
      </w:r>
      <w:r>
        <w:t xml:space="preserve">    </w:t>
      </w:r>
      <w:r>
        <w:rPr>
          <w:b/>
        </w:rPr>
        <w:t xml:space="preserve">Pub date: </w:t>
      </w:r>
      <w:r>
        <w:t>2026-07-14 00:00:00+00:00</w:t>
      </w:r>
      <w:r>
        <w:t xml:space="preserve">    </w:t>
      </w:r>
      <w:r>
        <w:rPr>
          <w:b/>
        </w:rPr>
        <w:t xml:space="preserve">DOI: </w:t>
      </w:r>
      <w:hyperlink r:id="rId860">
        <w:r>
          <w:rPr>
            <w:color w:val="1155CC"/>
            <w:u w:val="single"/>
          </w:rPr>
          <w:t>10.1093/nsr/nwag416</w:t>
        </w:r>
      </w:hyperlink>
    </w:p>
    <w:p>
      <w:pPr>
        <w:spacing w:before="0" w:after="120"/>
      </w:pPr>
      <w:r>
        <w:rPr>
          <w:b/>
        </w:rPr>
        <w:t xml:space="preserve">Notes: </w:t>
      </w:r>
      <w:r>
        <w:t>abstract_source=rss_oup</w:t>
      </w:r>
    </w:p>
    <w:p>
      <w:pPr>
        <w:spacing w:before="0" w:after="80" w:lineRule="auto" w:line="276"/>
      </w:pPr>
      <w:r>
        <w:rPr>
          <w:b/>
        </w:rPr>
        <w:t xml:space="preserve">摘要（ZH）: </w:t>
      </w:r>
      <w:r>
        <w:t>了解陆地植物功能策略（竞争性、耐压性、Ruderal；企业社会责任）如何响应环境条件对于预测全球气候变化下的生态系统动态至关重要，但在全球社区层面仍未得到探索。利用机器学习方法，并利用多源卫星遥感和现场收集的 sPlotOpen 测量数据，我们生成了第一个全球社区层面的企业社会责任功能战略变化地图。结果表明，S 选择的策略在全球范围内占主导地位 (C:S:R = 23.66 : 62.40 : 13.94%)，不同生物群落之间存在显着的空间差异。这种变异性受到气候变量（例如年平均降水量、昼夜温差）和土壤特性（例如阳离子交换能力、总氮）的强烈影响。未来的预测显示，气候变化有利于 S-（+0.33%）和 R-（+0.31%），但会牺牲 C-选择的策略（-0.64%），同时还会出现明显的生物群落特定变化。尽管可能低估了局部气候的不确定性，但这些发现为了解具有挑战性的非生物条件下的全球植物群落动态提供了重要的见解。</w:t>
      </w:r>
    </w:p>
    <w:p>
      <w:pPr>
        <w:spacing w:before="0" w:after="200" w:lineRule="auto" w:line="276"/>
      </w:pPr>
      <w:r>
        <w:rPr>
          <w:b/>
        </w:rPr>
        <w:t xml:space="preserve">Abstract (EN): </w:t>
      </w:r>
      <w:r>
        <w:t>Understanding how terrestrial plant functional strategies (Competitive, Stress-tolerant, Ruderal; CSR) respond to environmental conditions is crucial for predicting ecosystem dynamics under global climate change, yet remains unexplored at the global community level. Leveraging a machine learning approach, and utilizing multi-source satellite remote-sensing and field-collected sPlotOpen measurements data, we generated the first global community-level map of CSR functional strategy variations. Results show that S-selected strategies are globally dominant (C: S: R = 23.66 : 62.40 : 13.94%), with substantial spatial variations across biomes. This variability is strongly influenced by climatic variables (e.g. mean annual precipitation, diurnal temperature range) and soil properties (e.g. cation exchange capacity, total nitrogen). Future projections show that climate change favours S- (+0.33%) and R- (+0.31%) at the expense of C-selected strategy (-0.64%), alongside marked biome-specific shifts. Despite potential underestimation of localized climate uncertainties, these findings provide critical insights into global plant community dynamics under challenging abiotic conditions.</w:t>
      </w:r>
    </w:p>
    <w:p>
      <w:pPr>
        <w:spacing w:before="120" w:after="120"/>
      </w:pPr>
      <w:r>
        <w:rPr>
          <w:sz w:val="18"/>
        </w:rPr>
        <w:t>——————————————————————————————————————————————————————————————————————</w:t>
      </w:r>
    </w:p>
    <w:p>
      <w:pPr>
        <w:spacing w:before="160" w:after="40" w:line="240" w:lineRule="auto"/>
      </w:pPr>
      <w:r>
        <w:rPr>
          <w:b/>
        </w:rPr>
        <w:t xml:space="preserve">[269] </w:t>
      </w:r>
      <w:hyperlink r:id="rId861">
        <w:r>
          <w:rPr>
            <w:color w:val="1155CC"/>
            <w:u w:val="single"/>
          </w:rPr>
          <w:t>永久更换玻璃体</w:t>
        </w:r>
      </w:hyperlink>
    </w:p>
    <w:p>
      <w:pPr>
        <w:spacing w:before="0" w:after="80"/>
      </w:pPr>
      <w:r>
        <w:rPr>
          <w:i/>
          <w:sz w:val="20"/>
        </w:rPr>
        <w:t>EN: Replace the vitreous permanently</w:t>
      </w:r>
    </w:p>
    <w:p>
      <w:pPr>
        <w:spacing w:before="0" w:after="120"/>
      </w:pPr>
      <w:r>
        <w:rPr>
          <w:b/>
        </w:rPr>
        <w:t xml:space="preserve">Source: </w:t>
      </w:r>
      <w:r>
        <w:t>Nature Reviews Materials</w:t>
      </w:r>
      <w:r>
        <w:t xml:space="preserve">    </w:t>
      </w:r>
      <w:r>
        <w:rPr>
          <w:b/>
        </w:rPr>
        <w:t xml:space="preserve">Pub date: </w:t>
      </w:r>
      <w:r>
        <w:t>2026-07-14 00:00:00+00:00</w:t>
      </w:r>
      <w:r>
        <w:t xml:space="preserve">    </w:t>
      </w:r>
      <w:r>
        <w:rPr>
          <w:b/>
        </w:rPr>
        <w:t xml:space="preserve">DOI: </w:t>
      </w:r>
      <w:hyperlink r:id="rId862">
        <w:r>
          <w:rPr>
            <w:color w:val="1155CC"/>
            <w:u w:val="single"/>
          </w:rPr>
          <w:t>10.1038/s41578-026-00948-w</w:t>
        </w:r>
      </w:hyperlink>
    </w:p>
    <w:p>
      <w:pPr>
        <w:spacing w:before="0" w:after="120"/>
      </w:pPr>
      <w:r>
        <w:rPr>
          <w:b/>
        </w:rPr>
        <w:t xml:space="preserve">Notes: </w:t>
      </w:r>
      <w:r>
        <w:t>abstract_source=nature_html</w:t>
      </w:r>
    </w:p>
    <w:p>
      <w:pPr>
        <w:spacing w:before="0" w:after="80" w:lineRule="auto" w:line="276"/>
      </w:pPr>
      <w:r>
        <w:rPr>
          <w:b/>
        </w:rPr>
        <w:t xml:space="preserve">摘要（ZH）: </w:t>
      </w:r>
      <w:r>
        <w:t>玻璃体替代品仍然是再生医学中未满足的基本需求：当前的填塞剂、气体和硅油解决了眼前的手术挑战，但忽视了它们所替代的组织的长期功能作用。向耐用的仿生水凝胶替代品的范式转变并不是一个遥远的目标，而是临床的必然。</w:t>
      </w:r>
    </w:p>
    <w:p>
      <w:pPr>
        <w:spacing w:before="0" w:after="200" w:lineRule="auto" w:line="276"/>
      </w:pPr>
      <w:r>
        <w:rPr>
          <w:b/>
        </w:rPr>
        <w:t xml:space="preserve">Abstract (EN): </w:t>
      </w:r>
      <w:r>
        <w:t>Vitreous substitutes remain a fundamental unmet need in regenerative medicine: current tamponade agents, gases and silicone oil, address immediate surgical challenges but neglect the long-term functional role of the tissue they replace. A paradigm shift towards durable, biomimetic hydrogel substitutes is not a distant ambition, but a clinical necessity.</w:t>
      </w:r>
    </w:p>
    <w:p>
      <w:pPr>
        <w:spacing w:before="120" w:after="120"/>
      </w:pPr>
      <w:r>
        <w:rPr>
          <w:sz w:val="18"/>
        </w:rPr>
        <w:t>——————————————————————————————————————————————————————————————————————</w:t>
      </w:r>
    </w:p>
    <w:p>
      <w:pPr>
        <w:spacing w:before="160" w:after="40" w:line="240" w:lineRule="auto"/>
      </w:pPr>
      <w:r>
        <w:rPr>
          <w:b/>
        </w:rPr>
        <w:t xml:space="preserve">[270] </w:t>
      </w:r>
      <w:hyperlink r:id="rId863">
        <w:r>
          <w:rPr>
            <w:color w:val="1155CC"/>
            <w:u w:val="single"/>
          </w:rPr>
          <w:t>附加等温核苷酸扩增可实现探针引导扩增并在环境温度下直接检测</w:t>
        </w:r>
      </w:hyperlink>
    </w:p>
    <w:p>
      <w:pPr>
        <w:spacing w:before="0" w:after="80"/>
      </w:pPr>
      <w:r>
        <w:rPr>
          <w:i/>
          <w:sz w:val="20"/>
        </w:rPr>
        <w:t>EN: Annexing isothermal nucleotide amplification enables probe-guided amplification and direct detection at ambient temperature</w:t>
      </w:r>
    </w:p>
    <w:p>
      <w:pPr>
        <w:spacing w:before="0" w:after="120"/>
      </w:pPr>
      <w:r>
        <w:rPr>
          <w:b/>
        </w:rPr>
        <w:t xml:space="preserve">Source: </w:t>
      </w:r>
      <w:r>
        <w:t>Biological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等温核酸扩增在分散式诊断方面比 qPCR 具有优势，但仍然受到严格的引物设计、检测复杂性和设备依赖性的限制。基于重组酶的系统在比其他等温方法更低的温度下运行，但需要长引物和辅助酶处理进行检测。在这里，我们介绍附加等温核苷酸扩增 (ANINA)，这是一种基于探针引导的重组酶的框架，在单个冻干反应中集成了环境温度下的扩增和检测。附件探针通过空间附件招募短引物，可在 25°C 下 30 分钟内进行有效扩增，并可直接进行侧流检测，无需辅助酶处理。我们展示了该框架可以检测丰富的宿主 gDNA 中的阿托摩尔 WSSV 和 EBV DNA，支持对人工基质中的 DNA 和 RNA 病毒和细菌进行目标特异性检测，实现与 qPCR 相当的定量实时检测，并促进完全无需设备的 45 分钟样本到答案工作流程，以 qPCR 水平的灵敏度检测自然宿主模型中的早期病毒感染，并比商业抗原测试提高性能。</w:t>
      </w:r>
    </w:p>
    <w:p>
      <w:pPr>
        <w:spacing w:before="0" w:after="200" w:lineRule="auto" w:line="276"/>
      </w:pPr>
      <w:r>
        <w:rPr>
          <w:b/>
        </w:rPr>
        <w:t xml:space="preserve">Abstract (EN): </w:t>
      </w:r>
      <w:r>
        <w:t>Isothermal nucleic acid amplification offers advantages over qPCR for decentralized diagnostics but remains constrained by rigid primer design, detection complexity, and equipment dependence. Recombinase-based systems operate at lower temperatures than other isothermal methods but require long primers and auxiliary enzymatic processing for detection. Here we introduce Annexing Isothermal Nucleotide Amplification (ANINA), a probe-guided recombinase-based framework integrating amplification and detection at ambient temperatures within a single lyophilized reaction. An Annexing Probe recruits short primers through spatial annexation, enabling efficient amplification at 25 °C within 30 minutes and direct lateral flow detection without auxiliary enzymatic processing. We show this framework detects attomolar WSSV and EBV DNA in abundant host gDNA, supports target-specific detection of DNA and RNA viruses and bacteria in contrived matrices, enables quantitative real-time detection comparable to qPCR, and facilitates a fully equipment-free 45-minute sample-to-answer workflow that detects early viral infection in a natural host model with qPCR-level sensitivity and improved performance over a commercial antigen test.</w:t>
      </w:r>
    </w:p>
    <w:p>
      <w:pPr>
        <w:spacing w:before="120" w:after="120"/>
      </w:pPr>
      <w:r>
        <w:rPr>
          <w:sz w:val="18"/>
        </w:rPr>
        <w:t>——————————————————————————————————————————————————————————————————————</w:t>
      </w:r>
    </w:p>
    <w:p>
      <w:pPr>
        <w:spacing w:before="160" w:after="40" w:line="240" w:lineRule="auto"/>
      </w:pPr>
      <w:r>
        <w:rPr>
          <w:b/>
        </w:rPr>
        <w:t xml:space="preserve">[271] </w:t>
      </w:r>
      <w:hyperlink r:id="rId864">
        <w:r>
          <w:rPr>
            <w:color w:val="1155CC"/>
            <w:u w:val="single"/>
          </w:rPr>
          <w:t>催化剂控制的位点选择性脱氢，复杂萜烯合成中 C-H 氧化的垫脚石</w:t>
        </w:r>
      </w:hyperlink>
    </w:p>
    <w:p>
      <w:pPr>
        <w:spacing w:before="0" w:after="80"/>
      </w:pPr>
      <w:r>
        <w:rPr>
          <w:i/>
          <w:sz w:val="20"/>
        </w:rPr>
        <w:t>EN: Catalyst-controlled site-selective dehydrogenation, a stepping stone for C–H oxidations in complex terpenes synthesis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烯烃是天然产物和药物中存在的特殊主题，是全合成中氧气装置的可靠入口点。虽然脱氢是在复杂有机分子中形成烯烃的有效策略，但当前方法的局限性限制了其作为净位点选择性氧化的垫脚石的更广泛用途。在这里，我们表明，通过不同的钯和铜催化剂，催化剂控制的多个 β,γ- 和 γ,δ-C-H 键的位点选择性脱氢可以实现多个位点的氧化。这种方法能够实现 C-H 和 C-C 双键的立体和/或区域选择性氧化，包括二萜中更容易接近的空间位阻 C-H 键的氧化。使用现有的化学或酶促方法不容易实现这些转化。通过十种天然产物的合成证明了该策略的实用性。</w:t>
      </w:r>
    </w:p>
    <w:p>
      <w:pPr>
        <w:spacing w:before="0" w:after="200" w:lineRule="auto" w:line="276"/>
      </w:pPr>
      <w:r>
        <w:rPr>
          <w:b/>
        </w:rPr>
        <w:t xml:space="preserve">Abstract (EN): </w:t>
      </w:r>
      <w:r>
        <w:t>Olefins are a privileged motif present in natural products and pharmaceuticals and serve as reliable entry points for oxygen installation in total synthesis. While dehydrogenation is an efficient strategy to forge olefins in complex organic molecules, limitations of current methods restrict its broader use as a stepping stone toward net site-selective oxidation. Here, we show that catalyst-controlled, site-selective dehydrogenation of multiple β,γ- and γ,δ-C–H bonds, enabled by distinct palladium and copper catalysts, allows oxidation at multiple sites. This approach enables stereo- and/or regioselective oxidation of C–H and C–C double bonds, including oxidation of sterically hindered C–H bonds over more accessible ones in diterpenes. These transformations are not readily achieved using existing chemical or enzymatic methods. The utility of this strategy is demonstrated through the synthesis of ten natural products.</w:t>
      </w:r>
    </w:p>
    <w:p>
      <w:pPr>
        <w:spacing w:before="120" w:after="120"/>
      </w:pPr>
      <w:r>
        <w:rPr>
          <w:sz w:val="18"/>
        </w:rPr>
        <w:t>——————————————————————————————————————————————————————————————————————</w:t>
      </w:r>
    </w:p>
    <w:p>
      <w:pPr>
        <w:spacing w:before="160" w:after="40" w:line="240" w:lineRule="auto"/>
      </w:pPr>
      <w:r>
        <w:rPr>
          <w:b/>
        </w:rPr>
        <w:t xml:space="preserve">[272] </w:t>
      </w:r>
      <w:hyperlink r:id="rId865">
        <w:r>
          <w:rPr>
            <w:color w:val="1155CC"/>
            <w:u w:val="single"/>
          </w:rPr>
          <w:t>使用支架架构的剥离掩模在 3D 结构上对保形薄膜进行光刻图案化</w:t>
        </w:r>
      </w:hyperlink>
    </w:p>
    <w:p>
      <w:pPr>
        <w:spacing w:before="0" w:after="80"/>
      </w:pPr>
      <w:r>
        <w:rPr>
          <w:i/>
          <w:sz w:val="20"/>
        </w:rPr>
        <w:t>EN: Lithographic patterning of conformal thin films on 3D structures using Scaffold-architected Lift-off masks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复杂三维 (3D) 结构外表面上的保形薄膜涂层的微米级和纳米级图案对于软机器人、光子学和功能性 3D 打印 MEMS 设备等新兴应用至关重要。然而，现有的方法很难在复杂的 3D 结构上提供高分辨率图案，并且经常遇到厚度控制不佳和薄膜涂层表面一致性不足的问题。在这里，我们提出了一种在复杂 3D 结构上进行保形薄膜涂层图案化的强大方法，包括在角度高达 90° 的倾斜表面上，多尺度尺寸从 100 μm 到 100 nm，甚至在使用掩模收缩技术时可低至 30 nm 以下尺度。这种图案化方法在剥离过程中利用光刻定义的 3D 支架架构剥离 (SALO) 掩模。它与所使用的薄膜沉积工艺无关，甚至可以实现原子层沉积 (ALD) 保形涂层的剥离图案化，这是传统基于阴影的剥离工艺无法完成的任务。我们的方法通过在任意 3D 结构的外表面实现光刻图案，为制造微米级和纳米级复杂 3D 结构提供了机会。</w:t>
      </w:r>
    </w:p>
    <w:p>
      <w:pPr>
        <w:spacing w:before="0" w:after="200" w:lineRule="auto" w:line="276"/>
      </w:pPr>
      <w:r>
        <w:rPr>
          <w:b/>
        </w:rPr>
        <w:t xml:space="preserve">Abstract (EN): </w:t>
      </w:r>
      <w:r>
        <w:t>Micro- and nanoscale patterning of conformal thin-film coatings on the exterior surfaces of complex three-dimensional (3D) structures is essential for emerging applications such as soft robotics, photonics, and functional 3D-printed MEMS devices. However, existing methods struggle to deliver high-resolution patterning on complex 3D structures and often suffer from poor thickness control, and inadequate surface conformity of the thin-film coatings. Here we present a robust approach for patterning of conformal thin-film coatings on complex 3D structures, including on sloped surfaces with angles up to 90°, with multiscale dimensions from 100 μm to 100 nm, and even down to the sub-30 nm scale when mask shrinkage techniques are used. This patterning approach utilizes a lithographically defined 3D Scaffold-Architected Lift-Off (SALO) mask in the lift-off process. It is agnostic to the used thin-film deposition process and enables even lift-off patterning of atomic layer deposited (ALD) conformal coatings, a task infeasible for conventional shadowing-based lift-off processes. Our approach opens opportunities for manufacturing complex 3D structures at the micro- and nanoscale by enabling lithographic patterning on the exterior surfaces of arbitrary 3D structures.</w:t>
      </w:r>
    </w:p>
    <w:p>
      <w:pPr>
        <w:spacing w:before="120" w:after="120"/>
      </w:pPr>
      <w:r>
        <w:rPr>
          <w:sz w:val="18"/>
        </w:rPr>
        <w:t>——————————————————————————————————————————————————————————————————————</w:t>
      </w:r>
    </w:p>
    <w:p>
      <w:pPr>
        <w:spacing w:before="160" w:after="40" w:line="240" w:lineRule="auto"/>
      </w:pPr>
      <w:r>
        <w:rPr>
          <w:b/>
        </w:rPr>
        <w:t xml:space="preserve">[273] </w:t>
      </w:r>
      <w:hyperlink r:id="rId866">
        <w:r>
          <w:rPr>
            <w:color w:val="1155CC"/>
            <w:u w:val="single"/>
          </w:rPr>
          <w:t>对抗性动态系统表征数据驱动学习成功或失败的时间</w:t>
        </w:r>
      </w:hyperlink>
    </w:p>
    <w:p>
      <w:pPr>
        <w:spacing w:before="0" w:after="80"/>
      </w:pPr>
      <w:r>
        <w:rPr>
          <w:i/>
          <w:sz w:val="20"/>
        </w:rPr>
        <w:t>EN: Adversarial dynamical systems characterize when data-driven learning succeeds or fails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许多系统抵制分析建模，这使得数据驱动的动力学推断变得非常重要。然而，数据驱动的方法可能无法收敛或泛化，从而留下一个核心问题：什么时候可以从数据中可靠地学习系统行为，什么时候这种学习是不可能的？我们使用对抗性动力系统来回答这个问题，以确定可访问和不可访问政权之间的边界。在库普曼算子学习（一种通过线性谱对象表示非线性动力学的领先框架）中，我们设计了最佳的数据驱动谱算法，在物理系统中广泛出现的条件下具有收敛和认证保证。这产生了库普曼算子近似的收敛理论，并解决了库普曼谱分析中长期存在的开放问题。相反，通过构建对抗性系统，我们证明了匹配不可能的结果：如果没有这些条件，无论数据质量如何，任何单序列限制程序都无法保证学习。这些结果清楚地表明了数据驱动的光谱学习何时可以成功，何时必须失败。我们验证了振荡器、混沌流体流和北极海冰浓度预测的框架。在后者中，我们发现了北极海冰下降的隐藏模式，提供了具有地理误差范围的长期预测，并以低得多的计算成本超越了最先进的动态和深度学习模型，从而实现了在标准 CPU 上的实时部署。</w:t>
      </w:r>
    </w:p>
    <w:p>
      <w:pPr>
        <w:spacing w:before="0" w:after="200" w:lineRule="auto" w:line="276"/>
      </w:pPr>
      <w:r>
        <w:rPr>
          <w:b/>
        </w:rPr>
        <w:t xml:space="preserve">Abstract (EN): </w:t>
      </w:r>
      <w:r>
        <w:t>Many systems resist analytical modeling, making data-driven inference of dynamics important. Yet data-driven methods can fail to converge or generalize, leaving open a central question: When can system behavior be learned reliably from data, and when is such learning impossible? We answer this question using adversarial dynamical systems to identify the boundary between accessible and inaccessible regimes. In Koopman operator learning, a leading framework for representing nonlinear dynamics through linear spectral objects, we design optimal data-driven spectral algorithms with convergence and certification guarantees under conditions arising broadly in physical systems. This yields a convergence theory for Koopman-operator approximations and resolves a longstanding open problem in Koopman spectral analysis. Conversely, by constructing adversarial systems, we prove matching impossibility results: without these conditions, no single-sequence limiting procedure can guarantee learning, regardless of data quality. These results sharply characterize when data-driven spectral learning can succeed and when it must fail. We validate the framework on oscillators, chaotic fluid flows and Arctic sea ice concentration forecasting. In the latter, we uncover hidden modes of Arctic sea ice decline, deliver long-range forecasts with geographic error bounds, and outperform state-of-the-art dynamical and deep learning models at substantially lower computational cost, enabling real-time deployment on standard CPUs.</w:t>
      </w:r>
    </w:p>
    <w:p>
      <w:pPr>
        <w:spacing w:before="120" w:after="120"/>
      </w:pPr>
      <w:r>
        <w:rPr>
          <w:sz w:val="18"/>
        </w:rPr>
        <w:t>——————————————————————————————————————————————————————————————————————</w:t>
      </w:r>
    </w:p>
    <w:p>
      <w:pPr>
        <w:spacing w:before="160" w:after="40" w:line="240" w:lineRule="auto"/>
      </w:pPr>
      <w:r>
        <w:rPr>
          <w:b/>
        </w:rPr>
        <w:t xml:space="preserve">[274] </w:t>
      </w:r>
      <w:hyperlink r:id="rId867">
        <w:r>
          <w:rPr>
            <w:color w:val="1155CC"/>
            <w:u w:val="single"/>
          </w:rPr>
          <w:t>具有悬浮光力学的热机械压缩多模声子激光器</w:t>
        </w:r>
      </w:hyperlink>
    </w:p>
    <w:p>
      <w:pPr>
        <w:spacing w:before="0" w:after="80"/>
      </w:pPr>
      <w:r>
        <w:rPr>
          <w:i/>
          <w:sz w:val="20"/>
        </w:rPr>
        <w:t>EN: Thermomechanically squeezed multi-mode phonon lasers with levitated optomechanics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压缩是一种减少一个正交噪声同时增加正交正交噪声的有效方法，它已引起广泛关注，以提高机械振荡器在热态或基态下的性能。然而，声子激光器（光学激光器的机械类似物）的经典压缩尚未实现。在这里，我们报告了悬浮光机械系统中带有微尺度球体的热机械压缩声子激光器的实验演示。通过脉冲调制捕获激光器引起的非绝热频移，基模声子激光器被压缩了 3.15 ± 0.35 dB。通过这种方式，我们发现声子激光器的二次谐波模式可以被同时压缩，证明了我们的系统在多模声子激光器并发相干控制方面的独特优势。这项工作给出了低真空下具有较大质量的压缩非线性声子激光器的第一个例子，从而为探索非线性声子学和利用这种系统进行精密计量提供了一个有前途的平台。</w:t>
      </w:r>
    </w:p>
    <w:p>
      <w:pPr>
        <w:spacing w:before="0" w:after="200" w:lineRule="auto" w:line="276"/>
      </w:pPr>
      <w:r>
        <w:rPr>
          <w:b/>
        </w:rPr>
        <w:t xml:space="preserve">Abstract (EN): </w:t>
      </w:r>
      <w:r>
        <w:t>Squeezing, an effective approach to reduce noise in one quadrature while increasing it in the orthogonal quadrature, has attracted broad attention to enhance the performance of mechanical oscillators in their thermal or ground states. However, the classical squeezing of phonon lasers, mechanical analogs of optical lasers, has not been achieved. Here, we report an experimental demonstration of a thermomechanically squeezed phonon laser with a microscale sphere in a levitated optomechanical system. Through non-adiabatic frequency shifts induced by a pulse-modulated trapping laser, the fundamental-mode phonon laser has been squeezed by 3.15 ± 0.35 dB. In such a way, we found that the second-harmonic mode of phonon lasers could be simultaneously squeezed, demonstrating the unique advantage of our system for concurrent coherent control of multi-mode phonon lasers. This work gives the first example of a squeezed nonlinear phonon laser with a larger mass under low vacuum, thus providing a promising platform for exploring nonlinear phononics and harnessing such a system for precision metrology.</w:t>
      </w:r>
    </w:p>
    <w:p>
      <w:pPr>
        <w:spacing w:before="120" w:after="120"/>
      </w:pPr>
      <w:r>
        <w:rPr>
          <w:sz w:val="18"/>
        </w:rPr>
        <w:t>——————————————————————————————————————————————————————————————————————</w:t>
      </w:r>
    </w:p>
    <w:p>
      <w:pPr>
        <w:spacing w:before="160" w:after="40" w:line="240" w:lineRule="auto"/>
      </w:pPr>
      <w:r>
        <w:rPr>
          <w:b/>
        </w:rPr>
        <w:t xml:space="preserve">[275] </w:t>
      </w:r>
      <w:hyperlink r:id="rId868">
        <w:r>
          <w:rPr>
            <w:color w:val="1155CC"/>
            <w:u w:val="single"/>
          </w:rPr>
          <w:t>多层铜氧化物外层金属屏蔽增强超导相干性</w:t>
        </w:r>
      </w:hyperlink>
    </w:p>
    <w:p>
      <w:pPr>
        <w:spacing w:before="0" w:after="80"/>
      </w:pPr>
      <w:r>
        <w:rPr>
          <w:i/>
          <w:sz w:val="20"/>
        </w:rPr>
        <w:t>EN: Superconducting coherence boosted by outer-layer metallic screening in multilayered cuprates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在多层高 Tc 铜酸盐中，内部 CuO2 平面 (IP) 在空间上与掺杂剂层分离，因此比外平面 (OP) 更清洁。在这里，我们使用角分辨光电子能谱 (ARPES) 研究五层 (Cu,C)Ba2Ca4Cu5Oy (Cu1245) 和三层 Ba2Ca2Cu3O6(F,O)2 (F0223)，并发现了前所未有的情况，其中只有 IP 变得超导，而 OP 在低温下保持金属状态。我们的模型计算表明，超过 95% 的 OP 波函数仍然局限于 OP 本身，使得超导邻近性可以忽略不计。这种层间去耦实现了一种理想的配置——单个超导 CuO2 层，可免受重度过掺杂金属 OP 引起的掺杂层引起的无序影响。干净的 CuO2 层表现出大的超导能隙，具有延伸到反铁磁区边界之外的相干 Bogoliubov 峰，以及在布里渊区边缘广泛延伸的相干平带。这些发现引入了“筛选度”作为物理参数，用于探测赝能隙和超导之间的竞争，以及将典型无序的真实材料与理想化的理论模型联系起来。</w:t>
      </w:r>
    </w:p>
    <w:p>
      <w:pPr>
        <w:spacing w:before="0" w:after="200" w:lineRule="auto" w:line="276"/>
      </w:pPr>
      <w:r>
        <w:rPr>
          <w:b/>
        </w:rPr>
        <w:t xml:space="preserve">Abstract (EN): </w:t>
      </w:r>
      <w:r>
        <w:t>In multilayered high-Tc cuprates, the inner CuO2 planes (IPs) are spatially separated from dopant layers and thus remain cleaner than the outer planes (OPs). Here, we investigate five-layer (Cu,C)Ba2Ca4Cu5Oy (Cu1245) and three-layer Ba2Ca2Cu3O6(F,O)2 (F0223) using angle-resolved photoemission spectroscopy (ARPES) and uncover an unprecedented situation, in which only the IPs become superconducting while the OPs remain metallic at low temperatures. Our model calculations indicate that over 95% of the OP wavefunction remains confined to OP itself, rendering superconducting proximity negligible. This interlayer decoupling realizes an ideal configuration—a single superconducting CuO2 layer screened from the dopant layer-induced disorder by heavily overdoped metallic OPs. The clean CuO2 layer exhibits a large superconducting gap with coherent Bogoliubov peaks extending beyond the antiferromagnetic zone boundary, and a widely extended coherent flat band at the Brillouin zone edge. These findings introduce the “degree of screening” as a physical parameter for probing competition between pseudogap and superconductivity, and for bridging typically disordered real materials with the idealized theoretical models.</w:t>
      </w:r>
    </w:p>
    <w:p>
      <w:pPr>
        <w:spacing w:before="120" w:after="120"/>
      </w:pPr>
      <w:r>
        <w:rPr>
          <w:sz w:val="18"/>
        </w:rPr>
        <w:t>——————————————————————————————————————————————————————————————————————</w:t>
      </w:r>
    </w:p>
    <w:p>
      <w:pPr>
        <w:spacing w:before="160" w:after="40" w:line="240" w:lineRule="auto"/>
      </w:pPr>
      <w:r>
        <w:rPr>
          <w:b/>
        </w:rPr>
        <w:t xml:space="preserve">[276] </w:t>
      </w:r>
      <w:hyperlink r:id="rId869">
        <w:r>
          <w:rPr>
            <w:color w:val="1155CC"/>
            <w:u w:val="single"/>
          </w:rPr>
          <w:t>CLC 通道和转运蛋白的折叠和寡聚化</w:t>
        </w:r>
      </w:hyperlink>
    </w:p>
    <w:p>
      <w:pPr>
        <w:spacing w:before="0" w:after="80"/>
      </w:pPr>
      <w:r>
        <w:rPr>
          <w:i/>
          <w:sz w:val="20"/>
        </w:rPr>
        <w:t>EN: Folding and Oligomerization of CLC Channels and Transporters</w:t>
      </w:r>
    </w:p>
    <w:p>
      <w:pPr>
        <w:spacing w:before="0" w:after="120"/>
      </w:pPr>
      <w:r>
        <w:rPr>
          <w:b/>
        </w:rPr>
        <w:t xml:space="preserve">Source: </w:t>
      </w:r>
      <w:r>
        <w:t>Chemical Reviews: Latest Articles (ACS Publications)</w:t>
      </w:r>
      <w:r>
        <w:t xml:space="preserve">    </w:t>
      </w:r>
      <w:r>
        <w:rPr>
          <w:b/>
        </w:rPr>
        <w:t xml:space="preserve">Pub date: </w:t>
      </w:r>
      <w:r>
        <w:t>2026-07-14 00:00:00+00:00</w:t>
      </w:r>
      <w:r>
        <w:t xml:space="preserve">    </w:t>
      </w:r>
      <w:r>
        <w:rPr>
          <w:b/>
        </w:rPr>
        <w:t xml:space="preserve">DOI: </w:t>
      </w:r>
      <w:hyperlink r:id="rId870">
        <w:r>
          <w:rPr>
            <w:color w:val="1155CC"/>
            <w:u w:val="single"/>
          </w:rPr>
          <w:t>10.1021/acs.chemrev.6c00294</w:t>
        </w:r>
      </w:hyperlink>
    </w:p>
    <w:p>
      <w:pPr>
        <w:spacing w:before="0" w:after="120"/>
      </w:pPr>
      <w:r>
        <w:rPr>
          <w:b/>
        </w:rPr>
        <w:t xml:space="preserve">Notes: </w:t>
      </w:r>
      <w:r>
        <w:t>abstract_source=pubmed</w:t>
      </w:r>
    </w:p>
    <w:p>
      <w:pPr>
        <w:spacing w:before="0" w:after="80" w:lineRule="auto" w:line="276"/>
      </w:pPr>
      <w:r>
        <w:rPr>
          <w:b/>
        </w:rPr>
        <w:t xml:space="preserve">摘要（ZH）: </w:t>
      </w:r>
      <w:r>
        <w:t>CLC 被认为是最复杂的膜蛋白折叠之一，形成了一个膜蛋白大家族，充当阴离子通道和次级活性阴离子/质子转运蛋白。尽管序列相似性较低，但可用的结构非常相似，保持相同的倒置拓扑和折叠，亚基在野生型结构中组装为二聚体。由于这些强大的结构特征，来自大肠杆菌的原核同源物 CLC-ec1 已成为研究膜蛋白折叠和寡聚组装的非常有价值的模型系统。通过膜嵌入的二聚化界面缔合，亚基参与脂质双层中单体和二聚体之间的动态平衡，从而能够研究形成稳定膜复合物的物理驱动力。与可溶性蛋白质组装一样，研究表明 CLC-ec1 二聚化是由疏溶剂力驱动的，该疏溶剂力是通过掩埋脂质双层缺陷获得的自由能而产生的。二聚化稳定性受脂质组成和 pH 值的影响，这反过来又提供了通过寡聚化进行功能调节的机制。在这篇综述中，我概述了 CLC 折叠和寡聚化的探索如何增进我们对膜蛋白自组装的一般理解以及寡聚化在调节功能中的作用。</w:t>
      </w:r>
    </w:p>
    <w:p>
      <w:pPr>
        <w:spacing w:before="0" w:after="200" w:lineRule="auto" w:line="276"/>
      </w:pPr>
      <w:r>
        <w:rPr>
          <w:b/>
        </w:rPr>
        <w:t xml:space="preserve">Abstract (EN): </w:t>
      </w:r>
      <w:r>
        <w:t>Regarded as one of the most complex membrane protein folds, CLCs form a large family of membrane proteins that function as anion channels and secondary active anion/proton transporters. Despite low sequence similarity, available structures are remarkably similar, maintaining the same inverted topology and fold, with subunits assembled as dimers in wild-type structures. Because of these strong structural features, CLC-ec1, a prokaryotic homologue from E. coli, has become a highly valuable model system for studying membrane protein folding and oligomerization assembly. Associating via a membrane-embedded dimerization interface, the subunits participate in a dynamic equilibrium between monomers and dimers in lipid bilayers, enabling investigation of the physical driving forces underlying the formation of stable membrane complexes. Like soluble protein assembly, studies indicate that CLC-ec1 dimerization is driven by a solvophobic force arising from the free energy gained by burying lipid bilayer defects. Dimerization stability is influenced by lipid composition and pH, which, in turn, provide a mechanism for functional regulation through oligomerization. In this review, I provide an overview of how the exploration of CLC folding and oligomerization advances our understanding of membrane protein self-assembly in general and the role of oligomerization in regulating function.</w:t>
      </w:r>
    </w:p>
    <w:p>
      <w:pPr>
        <w:spacing w:before="120" w:after="120"/>
      </w:pPr>
      <w:r>
        <w:rPr>
          <w:sz w:val="18"/>
        </w:rPr>
        <w:t>——————————————————————————————————————————————————————————————————————</w:t>
      </w:r>
    </w:p>
    <w:p>
      <w:pPr>
        <w:spacing w:before="160" w:after="40" w:line="240" w:lineRule="auto"/>
      </w:pPr>
      <w:r>
        <w:rPr>
          <w:b/>
        </w:rPr>
        <w:t xml:space="preserve">[277] </w:t>
      </w:r>
      <w:hyperlink r:id="rId871">
        <w:r>
          <w:rPr>
            <w:color w:val="1155CC"/>
            <w:u w:val="single"/>
          </w:rPr>
          <w:t>撤回“通过电吸附去除 Ni 2+ /Mn 2+ 离子的纳米结构 α-MnO 2 /碳纸复合材料的开发”</w:t>
        </w:r>
      </w:hyperlink>
    </w:p>
    <w:p>
      <w:pPr>
        <w:spacing w:before="0" w:after="80"/>
      </w:pPr>
      <w:r>
        <w:rPr>
          <w:i/>
          <w:sz w:val="20"/>
        </w:rPr>
        <w:t>EN: Retraction of “Development of a Nanostructured α-MnO 2 /Carbon Paper Composite for Removal of Ni 2+ /Mn 2+ Ions by Electrosorption”</w:t>
      </w:r>
    </w:p>
    <w:p>
      <w:pPr>
        <w:spacing w:before="0" w:after="120"/>
      </w:pPr>
      <w:r>
        <w:rPr>
          <w:b/>
        </w:rPr>
        <w:t xml:space="preserve">Source: </w:t>
      </w:r>
      <w:r>
        <w:t>ACS Applied Materials &amp; Interfaces: Latest Articles (ACS Publications)</w:t>
      </w:r>
      <w:r>
        <w:t xml:space="preserve">    </w:t>
      </w:r>
      <w:r>
        <w:rPr>
          <w:b/>
        </w:rPr>
        <w:t xml:space="preserve">Pub date: </w:t>
      </w:r>
      <w:r>
        <w:t>2026-07-14 00:00:00+00:00</w:t>
      </w:r>
      <w:r>
        <w:t xml:space="preserve">    </w:t>
      </w:r>
      <w:r>
        <w:rPr>
          <w:b/>
        </w:rPr>
        <w:t xml:space="preserve">DOI: </w:t>
      </w:r>
      <w:hyperlink r:id="rId872">
        <w:r>
          <w:rPr>
            <w:color w:val="1155CC"/>
            <w:u w:val="single"/>
          </w:rPr>
          <w:t>10.1021/acsami.6c13034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873">
        <w:r>
          <w:rPr>
            <w:color w:val="1155CC"/>
            <w:u w:val="single"/>
          </w:rPr>
          <w:t>“气候自由落体”：为什么我们经济面临的最大风险尚未得到认识</w:t>
        </w:r>
      </w:hyperlink>
    </w:p>
    <w:p>
      <w:pPr>
        <w:spacing w:before="0" w:after="80"/>
      </w:pPr>
      <w:r>
        <w:rPr>
          <w:i/>
          <w:sz w:val="20"/>
        </w:rPr>
        <w:t>EN: ‘Climate free fall’: why the biggest risk to our economies is yet to be recognized</w:t>
      </w:r>
    </w:p>
    <w:p>
      <w:pPr>
        <w:spacing w:before="0" w:after="120"/>
      </w:pPr>
      <w:r>
        <w:rPr>
          <w:b/>
        </w:rPr>
        <w:t xml:space="preserve">Source: </w:t>
      </w:r>
      <w:r>
        <w:t>Nature</w:t>
      </w:r>
      <w:r>
        <w:t xml:space="preserve">    </w:t>
      </w:r>
      <w:r>
        <w:rPr>
          <w:b/>
        </w:rPr>
        <w:t xml:space="preserve">Pub date: </w:t>
      </w:r>
      <w:r>
        <w:t>2026-07-14 00:00:00+00:00</w:t>
      </w:r>
      <w:r>
        <w:t xml:space="preserve">    </w:t>
      </w:r>
      <w:r>
        <w:rPr>
          <w:b/>
        </w:rPr>
        <w:t xml:space="preserve">DOI: </w:t>
      </w:r>
      <w:hyperlink r:id="rId874">
        <w:r>
          <w:rPr>
            <w:color w:val="1155CC"/>
            <w:u w:val="single"/>
          </w:rPr>
          <w:t>10.1038/d41586-026-02154-8</w:t>
        </w:r>
      </w:hyperlink>
    </w:p>
    <w:p>
      <w:pPr>
        <w:spacing w:before="0" w:after="120"/>
      </w:pPr>
      <w:r>
        <w:rPr>
          <w:b/>
        </w:rPr>
        <w:t xml:space="preserve">Notes: </w:t>
      </w:r>
      <w:r>
        <w:t>abstract_source=nature_html</w:t>
      </w:r>
    </w:p>
    <w:p>
      <w:pPr>
        <w:spacing w:before="0" w:after="80" w:lineRule="auto" w:line="276"/>
      </w:pPr>
      <w:r>
        <w:rPr>
          <w:b/>
        </w:rPr>
        <w:t xml:space="preserve">摘要（ZH）: </w:t>
      </w:r>
      <w:r>
        <w:t>海洋、冰层和大气层日益不稳定威胁着农业、金融和社会。我们都需要清醒地认识到这个事实。海洋、冰层和大气层日益不稳定威胁着农业、金融和社会。我们都需要清醒地认识到这个事实。</w:t>
      </w:r>
    </w:p>
    <w:p>
      <w:pPr>
        <w:spacing w:before="0" w:after="200" w:lineRule="auto" w:line="276"/>
      </w:pPr>
      <w:r>
        <w:rPr>
          <w:b/>
        </w:rPr>
        <w:t xml:space="preserve">Abstract (EN): </w:t>
      </w:r>
      <w:r>
        <w:t>Increasing instability of the ocean, ice and atmosphere threatens farming, finance and society. We all need to wake up to that fact. Increasing instability of the ocean, ice and atmosphere threatens farming, finance and society. We all need to wake up to that fact.</w:t>
      </w:r>
    </w:p>
    <w:p>
      <w:pPr>
        <w:spacing w:before="120" w:after="120"/>
      </w:pPr>
      <w:r>
        <w:rPr>
          <w:sz w:val="18"/>
        </w:rPr>
        <w:t>——————————————————————————————————————————————————————————————————————</w:t>
      </w:r>
    </w:p>
    <w:p>
      <w:pPr>
        <w:spacing w:before="160" w:after="40" w:line="240" w:lineRule="auto"/>
      </w:pPr>
      <w:r>
        <w:rPr>
          <w:b/>
        </w:rPr>
        <w:t xml:space="preserve">[279] </w:t>
      </w:r>
      <w:hyperlink r:id="rId875">
        <w:r>
          <w:rPr>
            <w:color w:val="1155CC"/>
            <w:u w:val="single"/>
          </w:rPr>
          <w:t>验证者通过量子零知识证明发起的量子消息认证</w:t>
        </w:r>
      </w:hyperlink>
    </w:p>
    <w:p>
      <w:pPr>
        <w:spacing w:before="0" w:after="80"/>
      </w:pPr>
      <w:r>
        <w:rPr>
          <w:i/>
          <w:sz w:val="20"/>
        </w:rPr>
        <w:t>EN: Verifier-initiated quantum message-authentication via quantum zero-knowledge proofs</w:t>
      </w:r>
    </w:p>
    <w:p>
      <w:pPr>
        <w:spacing w:before="0" w:after="120"/>
      </w:pPr>
      <w:r>
        <w:rPr>
          <w:b/>
        </w:rPr>
        <w:t xml:space="preserve">Source: </w:t>
      </w:r>
      <w:r>
        <w:t>Physical sciences : Nature Communications subject feeds</w:t>
      </w:r>
      <w:r>
        <w:t xml:space="preserve">    </w:t>
      </w:r>
      <w:r>
        <w:rPr>
          <w:b/>
        </w:rPr>
        <w:t xml:space="preserve">Pub date: </w:t>
      </w:r>
      <w:r>
        <w:t>2026-07-14 00:00:00+00:00</w:t>
      </w:r>
    </w:p>
    <w:p>
      <w:pPr>
        <w:spacing w:before="0" w:after="120"/>
      </w:pPr>
      <w:r>
        <w:rPr>
          <w:b/>
        </w:rPr>
        <w:t xml:space="preserve">Notes: </w:t>
      </w:r>
      <w:r>
        <w:t>abstract_source=nature_html</w:t>
      </w:r>
    </w:p>
    <w:p>
      <w:pPr>
        <w:spacing w:before="0" w:after="80" w:lineRule="auto" w:line="276"/>
      </w:pPr>
      <w:r>
        <w:rPr>
          <w:b/>
        </w:rPr>
        <w:t xml:space="preserve">摘要（ZH）: </w:t>
      </w:r>
      <w:r>
        <w:t>按需身份验证对于可扩展的量子系统至关重要，但许多现有的量子签名和消息身份验证方案都是由签名者发起的，即使在没有进行验证的情况下也需要提前分发身份验证材料。我们引入验证者发起的量子数字签名（VIQDS），其中验证者仅在需要时请求身份验证，签名者响应一次；发布后，验证继续进行，无需进一步交互。实际上，将身份验证转变为验证者驱动的按需工作流程可以减少可避免的通信和存储开销，并与验证不定期的部署（例如分布式服务和面向审计的基础设施）保持一致。我们的方法利用量子零知识技术，以便验证除了签名有效之外，不会透露任何有关签名者密钥的信息。我们提出了从合适的量子证明协议到 VIQDS 的一般转换原理，以及基于基本量子比特平台的具体实现。在这里，我们展示了针对伪造的信息论安全性和针对好奇验证者的隐私，而无需计算难度假设。</w:t>
      </w:r>
    </w:p>
    <w:p>
      <w:pPr>
        <w:spacing w:before="0" w:after="200" w:lineRule="auto" w:line="276"/>
      </w:pPr>
      <w:r>
        <w:rPr>
          <w:b/>
        </w:rPr>
        <w:t xml:space="preserve">Abstract (EN): </w:t>
      </w:r>
      <w:r>
        <w:t>On-demand authentication is critical for scalable quantum systems, yet many existing quantum signature and message-authentication schemes are signer-initiated, requiring advance distribution of authentication material even when no verification occurs. We introduce verifier-initiated quantum digital signatures (VIQDS), in which the verifier requests authentication only when needed and the signer responds once; after issuance, verification proceeds without further interaction. Practically, shifting authentication to a verifier-driven, on-demand workflow reduces avoidable communication and storage overhead and aligns with deployments where verification is sporadic, such as distributed services and audit-oriented infrastructures. Our approach leverages quantum zero-knowledge techniques so that verification reveals nothing about the signer’s secret key beyond the fact that the signature is valid. We present a general conversion principle from suitable quantum proof protocols to VIQDS, together with a concrete realization based on elementary qubit platforms. Here, we show information-theoretic security against forgery and privacy against curious verifiers without computational hardness assumptions.</w:t>
      </w:r>
    </w:p>
    <w:p>
      <w:pPr>
        <w:spacing w:before="120" w:after="120"/>
      </w:pPr>
      <w:r>
        <w:rPr>
          <w:sz w:val="18"/>
        </w:rPr>
        <w:t>——————————————————————————————————————————————————————————————————————</w:t>
      </w:r>
    </w:p>
    <w:p>
      <w:pPr>
        <w:spacing w:before="160" w:after="40" w:line="240" w:lineRule="auto"/>
      </w:pPr>
      <w:r>
        <w:rPr>
          <w:b/>
        </w:rPr>
        <w:t xml:space="preserve">[280] </w:t>
      </w:r>
      <w:hyperlink r:id="rId876">
        <w:r>
          <w:rPr>
            <w:color w:val="1155CC"/>
            <w:u w:val="single"/>
          </w:rPr>
          <w:t>用于强大介观生物操纵的介电悬浮光镊</w:t>
        </w:r>
      </w:hyperlink>
    </w:p>
    <w:p>
      <w:pPr>
        <w:spacing w:before="0" w:after="80"/>
      </w:pPr>
      <w:r>
        <w:rPr>
          <w:i/>
          <w:sz w:val="20"/>
        </w:rPr>
        <w:t>EN: Dielectric levitation optical tweezers for powerful mesoscale biomanipulation</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77">
        <w:r>
          <w:rPr>
            <w:color w:val="1155CC"/>
            <w:u w:val="single"/>
          </w:rPr>
          <w:t>10.1073/pnas.2533103123</w:t>
        </w:r>
      </w:hyperlink>
    </w:p>
    <w:p>
      <w:pPr>
        <w:spacing w:before="0" w:after="120"/>
      </w:pPr>
      <w:r>
        <w:rPr>
          <w:b/>
        </w:rPr>
        <w:t xml:space="preserve">Notes: </w:t>
      </w:r>
      <w:r>
        <w:t>abstract_source=crossref</w:t>
      </w:r>
    </w:p>
    <w:p>
      <w:pPr>
        <w:spacing w:before="0" w:after="80" w:lineRule="auto" w:line="276"/>
      </w:pPr>
      <w:r>
        <w:rPr>
          <w:b/>
        </w:rPr>
        <w:t xml:space="preserve">摘要（ZH）: </w:t>
      </w:r>
      <w:r>
        <w:t>光镊（OT）是显微操作的基石，从根本上受到基质引起的粘附和摩擦的限制，限制了它们在中尺度物体和脆弱生物样本中的应用，而克服这些阻力需要具有生理破坏性的激光功率。在这里，我们通过引入介电悬浮光镊（DL-OT）来克服这一长期存在的挑战，这是一个将交流介电悬浮与光陷阱无缝集成的多物理场平台。通过使用负介电电泳 (n-DEP) 主动中和法向力，DL-OT 消除了固体</w:t>
      </w:r>
      <w:r>
        <w:t xml:space="preserve"> </w:t>
      </w:r>
      <w:r>
        <w:t>–</w:t>
      </w:r>
      <w:r>
        <w:t xml:space="preserve"> </w:t>
      </w:r>
      <w:r>
        <w:t>固体接触和近壁粘性阻力。至关重要的是，我们证明了这种主动物理悬浮相对于传统被动防粘涂层的根本优势。这种物理解耦使得大型生物样品能够使用低的、生物安全的光功率（约 15 mW）而不是非活性水平（&gt; 150 mW）顺利转换。这种无摩擦环境的创建不仅将标准微目标的最大操纵速度提高了40%，而且还能够实现以前难以处理的中尺度物体（100至260微米）的稳定光学传输，包括微型齿轮和虾卵。通过防止光热损伤和机械变形，DL-OT 表现出非常好的生物相容性，显着增强细胞后处理的活力。基于这些优势，我们通过有针对性的高精度评估展示了先进的片上生物制造协议</w:t>
      </w:r>
    </w:p>
    <w:p>
      <w:pPr>
        <w:spacing w:before="0" w:after="200" w:lineRule="auto" w:line="276"/>
      </w:pPr>
      <w:r>
        <w:rPr>
          <w:b/>
        </w:rPr>
        <w:t xml:space="preserve">Abstract (EN): </w:t>
      </w:r>
      <w:r>
        <w:t>Optical tweezers (OT), a cornerstone of micromanipulation, are fundamentally constrained by substrate-induced adhesion and friction, limiting their application to mesoscale objects and fragile biological specimens where overcoming these resistive forces requires physiologically damaging laser powers. Here, we overcome this long-standing challenge by introducing dielectric levitation optical tweezers (DL-OT), a multiphysics platform that seamlessly integrates alternating-current dielectric levitation with optical traps. By using negative dielectrophoresis (n-DEP) to actively neutralize the normal force, DL-OT eliminates solid</w:t>
      </w:r>
      <w:r>
        <w:t xml:space="preserve"> </w:t>
      </w:r>
      <w:r>
        <w:t>–</w:t>
      </w:r>
      <w:r>
        <w:t xml:space="preserve"> </w:t>
      </w:r>
      <w:r>
        <w:t>solid contact and near-wall viscous drag. Crucially, we demonstrate the fundamental superiority of this active physical levitation over traditional passive antiadhesion coatings. This physical decoupling enables the smooth translation of large biological samples using low, biologically safe optical powers (~15 mW) rather than nonviable levels (&amp;gt;150 mW). The creation of this frictionless environment not only boosts the maximum manipulation speed of standard microtargets by 40% but also enables the stable optical transport of previously intractable mesoscale objects (100 to 260 μm), including microgears and shrimp eggs. By preventing photothermal damage and mechanical deformation, DL-OT demonstrates very good biocompatibility, significantly enhancing cell viability postmanipulation. Building upon these advantages, we demonstrate advanced on-chip biofabrication protocols through the targeted, high-precision assembly of multicellular spheroids and the safe transport of patient-derived organoids, followed by their success in situ culture. By transforming OT from a microscale tool into a mesoscale assembly platform, DL-OT paves the way for breakthroughs in tissue engineering, regenerative medicine, and the bottom</w:t>
      </w:r>
      <w:r>
        <w:t xml:space="preserve"> </w:t>
      </w:r>
      <w:r>
        <w:t>–</w:t>
      </w:r>
      <w:r>
        <w:t xml:space="preserve"> </w:t>
      </w:r>
      <w:r>
        <w:t>up assembly of living systems.</w:t>
      </w:r>
    </w:p>
    <w:p>
      <w:pPr>
        <w:spacing w:before="120" w:after="120"/>
      </w:pPr>
      <w:r>
        <w:rPr>
          <w:sz w:val="18"/>
        </w:rPr>
        <w:t>——————————————————————————————————————————————————————————————————————</w:t>
      </w:r>
    </w:p>
    <w:p>
      <w:pPr>
        <w:spacing w:before="160" w:after="40" w:line="240" w:lineRule="auto"/>
      </w:pPr>
      <w:r>
        <w:rPr>
          <w:b/>
        </w:rPr>
        <w:t xml:space="preserve">[281] </w:t>
      </w:r>
      <w:hyperlink r:id="rId878">
        <w:r>
          <w:rPr>
            <w:color w:val="1155CC"/>
            <w:u w:val="single"/>
          </w:rPr>
          <w:t>多巴胺能神经元优先积累线粒体 DNA 重排</w:t>
        </w:r>
      </w:hyperlink>
    </w:p>
    <w:p>
      <w:pPr>
        <w:spacing w:before="0" w:after="80"/>
      </w:pPr>
      <w:r>
        <w:rPr>
          <w:i/>
          <w:sz w:val="20"/>
        </w:rPr>
        <w:t>EN: Dopaminergic neurons preferentially accumulate mtDNA rearrangements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79">
        <w:r>
          <w:rPr>
            <w:color w:val="1155CC"/>
            <w:u w:val="single"/>
          </w:rPr>
          <w:t>10.1073/pnas.2601897123</w:t>
        </w:r>
      </w:hyperlink>
    </w:p>
    <w:p>
      <w:pPr>
        <w:spacing w:before="0" w:after="120"/>
      </w:pPr>
      <w:r>
        <w:rPr>
          <w:b/>
        </w:rPr>
        <w:t xml:space="preserve">Notes: </w:t>
      </w:r>
      <w:r>
        <w:t>abstract_source=crossref</w:t>
      </w:r>
    </w:p>
    <w:p>
      <w:pPr>
        <w:spacing w:before="0" w:after="80" w:lineRule="auto" w:line="276"/>
      </w:pPr>
      <w:r>
        <w:rPr>
          <w:b/>
        </w:rPr>
        <w:t xml:space="preserve">摘要（ZH）: </w:t>
      </w:r>
      <w:r>
        <w:t>黑质中存在高水平的线粒体 DNA (mtDNA) 缺失。然而，人们对其中涉及的机制知之甚少。我们发现，小鼠体内线粒体靶向限制性内切酶 (mitoPstI) 的瞬时表达会导致 mtDNA 重排的积累，这些重排涉及 PstI 切割位点和 mtDNA 的不相关特定区域，包括 MTERF1 结合位点和 D 环边缘。双链断裂后的这种重排模式支持线粒体 DNA 中重组热点的存在。 mitoPstI 在多巴胺能神经元中的瞬时表达导致在表达受到抑制后，多巴胺能神经元中 mtDNA 重排进一步积累，这种模式在谷氨酸能神经元中未观察到。当线粒体DNA复制体因子缺失时，这种积累也会减弱，这表明随着时间的推移，多巴胺能神经元中预先存在的线粒体DNA重排的积累需要强大的线粒体DNA复制。</w:t>
      </w:r>
    </w:p>
    <w:p>
      <w:pPr>
        <w:spacing w:before="0" w:after="200" w:lineRule="auto" w:line="276"/>
      </w:pPr>
      <w:r>
        <w:rPr>
          <w:b/>
        </w:rPr>
        <w:t xml:space="preserve">Abstract (EN): </w:t>
      </w:r>
      <w:r>
        <w:t>High levels of mitochondrial DNA (mtDNA) deletions have been described in the substantia nigra. However, the mechanisms involved are poorly understood. We found that transient expression of a mitochondrial targeted restriction endonuclease (mitoPstI) in mice leads to an accumulation of mtDNA rearrangements that involve both the PstI cleavage sites and unrelated specific regions of the mtDNA, including the MTERF1 binding site and the edge of the D-loop. This pattern of rearrangements after double-strand breaks supports the presence of recombination hotspots in the mtDNA. Transient expression of mitoPstI in dopaminergic neurons led to further accumulation of mtDNA rearrangements in dopaminergic neurons after expression was suppressed, a pattern that was not observed in glutamatergic neurons. This accumulation was also blunted when a mtDNA replisome factor was absent, suggesting that robust mtDNA replication is required for the accumulation of preexisting mtDNA rearrangements in dopaminergic neurons over time.</w:t>
      </w:r>
    </w:p>
    <w:p>
      <w:pPr>
        <w:spacing w:before="120" w:after="120"/>
      </w:pPr>
      <w:r>
        <w:rPr>
          <w:sz w:val="18"/>
        </w:rPr>
        <w:t>——————————————————————————————————————————————————————————————————————</w:t>
      </w:r>
    </w:p>
    <w:p>
      <w:pPr>
        <w:spacing w:before="160" w:after="40" w:line="240" w:lineRule="auto"/>
      </w:pPr>
      <w:r>
        <w:rPr>
          <w:b/>
        </w:rPr>
        <w:t xml:space="preserve">[282] </w:t>
      </w:r>
      <w:hyperlink r:id="rId880">
        <w:r>
          <w:rPr>
            <w:color w:val="1155CC"/>
            <w:u w:val="single"/>
          </w:rPr>
          <w:t>NMDA 受体依赖性突触前稳态可塑性的重新评估</w:t>
        </w:r>
      </w:hyperlink>
    </w:p>
    <w:p>
      <w:pPr>
        <w:spacing w:before="0" w:after="80"/>
      </w:pPr>
      <w:r>
        <w:rPr>
          <w:i/>
          <w:sz w:val="20"/>
        </w:rPr>
        <w:t>EN: A reassessment of NMDA receptor–dependent presynaptic homeostatic plasticity</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81">
        <w:r>
          <w:rPr>
            <w:color w:val="1155CC"/>
            <w:u w:val="single"/>
          </w:rPr>
          <w:t>10.1073/pnas.2617982123</w:t>
        </w:r>
      </w:hyperlink>
    </w:p>
    <w:p>
      <w:pPr>
        <w:spacing w:before="0" w:after="120"/>
      </w:pPr>
      <w:r>
        <w:rPr>
          <w:b/>
        </w:rPr>
        <w:t xml:space="preserve">Notes: </w:t>
      </w:r>
      <w:r>
        <w:t>abstract_source=crossref</w:t>
      </w:r>
    </w:p>
    <w:p>
      <w:pPr>
        <w:spacing w:before="0" w:after="80" w:lineRule="auto" w:line="276"/>
      </w:pPr>
      <w:r>
        <w:rPr>
          <w:b/>
        </w:rPr>
        <w:t xml:space="preserve">摘要（ZH）: </w:t>
      </w:r>
      <w:r>
        <w:t>大脑中的兴奋性谷氨酸突触具有显着的可塑性。两种形式的可塑性受到了最多的关注：长时程增强（LTP）和突触稳态。虽然 LTP 需要激活 NMDA 受体，但突触稳态不需要。然而，这两种现象都是由突触后 AMPA 受体 (AMPAR) 募集到突触介导的。最近，一种新形式的可塑性被描述为突触前稳态可塑性（PHP）。 CA1 海马锥体细胞中 AMPAR 突触反应的药理学抑制会引发快速稳态反应，导致在抑制剂持续存在的情况下 AMPAR 反应恢复至正常值。伴随这种恢复的是 NMDA 受体反应加倍，这被解释为谷氨酸释放的增加。这是具有挑战性的，因为声称 AMPAR 反应的减少会引发 NMDA 受体反应的增强。使用三种不同的方案来监测突触反应，我们未能观察到在 AMPAR 抑制剂存在的情况下突触反应的任何恢复。此外，NMDA 受体反应没有增强。因此，我们没有发现 CA1 海马突触存在 PHP 的证据。</w:t>
      </w:r>
    </w:p>
    <w:p>
      <w:pPr>
        <w:spacing w:before="0" w:after="200" w:lineRule="auto" w:line="276"/>
      </w:pPr>
      <w:r>
        <w:rPr>
          <w:b/>
        </w:rPr>
        <w:t xml:space="preserve">Abstract (EN): </w:t>
      </w:r>
      <w:r>
        <w:t>Excitatory glutamatergic synapses in the brain are remarkably plastic. Two forms of plasticity have received the most attention: long-term potentiation (LTP) and synaptic homeostasis. While LTP requires the activation of NMDA receptors, synaptic homeostasis does not. However, both phenomena are mediated by the recruitment of postsynaptic AMPA receptors (AMPAR) to the synapse. Recently a new form of plasticity has been described referred to as presynaptic homeostatic plasticity (PHP). Pharmacological inhibition of AMPAR synaptic responses in CA1 hippocampal pyramidal cells initiates a rapid homeostatic response that results in the recovery of the AMPAR responses to normal values in the continued presence of the inhibitor. Accompanying this recovery is a doubling of the NMDA receptor response which is interpreted as an increase in the release of glutamate. This is provocative since claiming that a reduction in AMPAR responses triggers an enhancement in NMDA receptor responses. Using three different protocols to monitor synaptic responses we fail to observe any recovery of synaptic responses in the presence of an AMPAR inhibitor. Furthermore, there was no enhancement in NMDA receptor responses. Thus, we find no evidence for the presence of PHP at CA1 hippocampal synapses.</w:t>
      </w:r>
    </w:p>
    <w:p>
      <w:pPr>
        <w:spacing w:before="120" w:after="120"/>
      </w:pPr>
      <w:r>
        <w:rPr>
          <w:sz w:val="18"/>
        </w:rPr>
        <w:t>——————————————————————————————————————————————————————————————————————</w:t>
      </w:r>
    </w:p>
    <w:p>
      <w:pPr>
        <w:spacing w:before="160" w:after="40" w:line="240" w:lineRule="auto"/>
      </w:pPr>
      <w:r>
        <w:rPr>
          <w:b/>
        </w:rPr>
        <w:t xml:space="preserve">[283] </w:t>
      </w:r>
      <w:hyperlink r:id="rId882">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83">
        <w:r>
          <w:rPr>
            <w:color w:val="1155CC"/>
            <w:u w:val="single"/>
          </w:rPr>
          <w:t>10.1073/iti2826123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884">
        <w:r>
          <w:rPr>
            <w:color w:val="1155CC"/>
            <w:u w:val="single"/>
          </w:rPr>
          <w:t>基于 PMO 的 RNA 降解嵌合体靶向 α-突触核蛋白 mRNA 降解</w:t>
        </w:r>
      </w:hyperlink>
    </w:p>
    <w:p>
      <w:pPr>
        <w:spacing w:before="0" w:after="80"/>
      </w:pPr>
      <w:r>
        <w:rPr>
          <w:i/>
          <w:sz w:val="20"/>
        </w:rPr>
        <w:t>EN: Targeted α-synuclein mRNA degradation by PMO-based RNA-degrading chimeras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85">
        <w:r>
          <w:rPr>
            <w:color w:val="1155CC"/>
            <w:u w:val="single"/>
          </w:rPr>
          <w:t>10.1073/pnas.2526461123</w:t>
        </w:r>
      </w:hyperlink>
    </w:p>
    <w:p>
      <w:pPr>
        <w:spacing w:before="0" w:after="120"/>
      </w:pPr>
      <w:r>
        <w:rPr>
          <w:b/>
        </w:rPr>
        <w:t xml:space="preserve">Notes: </w:t>
      </w:r>
      <w:r>
        <w:t>abstract_source=crossref</w:t>
      </w:r>
    </w:p>
    <w:p>
      <w:pPr>
        <w:spacing w:before="0" w:after="80" w:lineRule="auto" w:line="276"/>
      </w:pPr>
      <w:r>
        <w:rPr>
          <w:b/>
        </w:rPr>
        <w:t xml:space="preserve">摘要（ZH）: </w:t>
      </w:r>
      <w:r>
        <w:t>α-突触核蛋白病是一种毁灭性的神经退行性疾病，其特征是神经元蛋白 α-突触核蛋白 (αSyn) 的病理性积累。降低可溶性αSyn水平是限制聚集和神经毒性的一种有前景的治疗策略，但直接靶向该蛋白质受到其固有无序结构和其他因素的阻碍，例如其构象异质性和细胞内药物递送障碍。因此，越来越多的注意力集中在针对</w:t>
      </w:r>
      <w:r>
        <w:t xml:space="preserve"> </w:t>
      </w:r>
      <w:r>
        <w:t>SNCA</w:t>
      </w:r>
      <w:r>
        <w:t xml:space="preserve"> </w:t>
      </w:r>
      <w:r>
        <w:t>转录本，编码αSyn。在这里，我们开发了基于磷酸二酰胺吗啉寡核苷酸（PMO）的RNA降解嵌合体（RDC），它选择性地结合RNA的5'非翻译区</w:t>
      </w:r>
      <w:r>
        <w:t xml:space="preserve"> </w:t>
      </w:r>
      <w:r>
        <w:t>SNCA</w:t>
      </w:r>
      <w:r>
        <w:t xml:space="preserve"> </w:t>
      </w:r>
      <w:r>
        <w:t>信使 RNA (mRNA) 并招募 RNase L 进行靶向 RNA 降解。通过对9个RDC的系统评估，我们识别并优化了4-D1，有效降低了</w:t>
      </w:r>
      <w:r>
        <w:t xml:space="preserve"> </w:t>
      </w:r>
      <w:r>
        <w:t>SNCA</w:t>
      </w:r>
      <w:r>
        <w:t xml:space="preserve"> </w:t>
      </w:r>
      <w:r>
        <w:t>HEK293T 细胞中 mRNA 和 αSyn 蛋白以 RNase L 依赖性方式表达。 4-D1 降低</w:t>
      </w:r>
      <w:r>
        <w:t xml:space="preserve"> </w:t>
      </w:r>
      <w:r>
        <w:t>SNCA</w:t>
      </w:r>
      <w:r>
        <w:t xml:space="preserve"> </w:t>
      </w:r>
      <w:r>
        <w:t>人源化原代皮质神经元中的转录物和 αSyn 蛋白水平</w:t>
      </w:r>
      <w:r>
        <w:t xml:space="preserve"> </w:t>
      </w:r>
      <w:r>
        <w:t>SNCA</w:t>
      </w:r>
      <w:r>
        <w:t xml:space="preserve"> </w:t>
      </w:r>
      <w:r>
        <w:t>小鼠和人类诱导多能干细胞衍生的皮质神经元。这种减少可以防止由患者来源的 αSyn 原纤维诱导的朊病毒样播种，并保护神经元免受原纤维诱导的细胞毒性。最后，体内研究证实了 4-D1 在降低 h αSyn mRNA 表达方面的功效。</w:t>
      </w:r>
    </w:p>
    <w:p>
      <w:pPr>
        <w:spacing w:before="0" w:after="200" w:lineRule="auto" w:line="276"/>
      </w:pPr>
      <w:r>
        <w:rPr>
          <w:b/>
        </w:rPr>
        <w:t xml:space="preserve">Abstract (EN): </w:t>
      </w:r>
      <w:r>
        <w:t>α-Synucleinopathies are devastating neurodegenerative diseases characterized by pathological accumulation of a neuronal protein, α-synuclein (αSyn). Lowering soluble αSyn levels is a promising therapeutic strategy to limit aggregation and neurotoxicity, but directly targeting this protein is hindered by its intrinsically disordered structure and other factors, such as its conformational heterogeneity and intracellular drug delivery barriers. Consequently, increasing attention has been directed toward targeting the</w:t>
      </w:r>
      <w:r>
        <w:t xml:space="preserve"> </w:t>
      </w:r>
      <w:r>
        <w:t>SNCA</w:t>
      </w:r>
      <w:r>
        <w:t xml:space="preserve"> </w:t>
      </w:r>
      <w:r>
        <w:t>transcript, which encodes αSyn. Here, we developed phosphorodiamidate morpholino oligonucleotide (PMO)-based RNA-degrading chimeras (RDCs) that selectively bind the 5′ untranslated region of</w:t>
      </w:r>
      <w:r>
        <w:t xml:space="preserve"> </w:t>
      </w:r>
      <w:r>
        <w:t>SNCA</w:t>
      </w:r>
      <w:r>
        <w:t xml:space="preserve"> </w:t>
      </w:r>
      <w:r>
        <w:t>messenger RNA (mRNA) and recruit RNase L for targeted RNA degradation. Through the systematic evaluation of nine RDCs, we identified and optimized 4-D1, which effectively reduced</w:t>
      </w:r>
      <w:r>
        <w:t xml:space="preserve"> </w:t>
      </w:r>
      <w:r>
        <w:t>SNCA</w:t>
      </w:r>
      <w:r>
        <w:t xml:space="preserve"> </w:t>
      </w:r>
      <w:r>
        <w:t>mRNA and αSyn protein expression in HEK293T cells in an RNase L-dependent manner. 4-D1 lowered</w:t>
      </w:r>
      <w:r>
        <w:t xml:space="preserve"> </w:t>
      </w:r>
      <w:r>
        <w:t>SNCA</w:t>
      </w:r>
      <w:r>
        <w:t xml:space="preserve"> </w:t>
      </w:r>
      <w:r>
        <w:t>transcript and αSyn protein levels in both primary cortical neurons from humanized</w:t>
      </w:r>
      <w:r>
        <w:t xml:space="preserve"> </w:t>
      </w:r>
      <w:r>
        <w:t>SNCA</w:t>
      </w:r>
      <w:r>
        <w:t xml:space="preserve"> </w:t>
      </w:r>
      <w:r>
        <w:t>mice and in human induced pluripotent stem cell–derived cortical neurons. This reduction prevented prion-like seeding induced by patient-derived αSyn fibrils and protected neurons from fibril-induced cytotoxicity. Finally, in vivo studies confirmed the efficacy of 4-D1 in reducing αSyn mRNA expression in humanized</w:t>
      </w:r>
      <w:r>
        <w:t xml:space="preserve"> </w:t>
      </w:r>
      <w:r>
        <w:t>SNCA</w:t>
      </w:r>
      <w:r>
        <w:t xml:space="preserve"> </w:t>
      </w:r>
      <w:r>
        <w:t>mice. These findings indicate that PMO-based RDCs may represent a promising therapeutic modality for α-synucleinopathies.</w:t>
      </w:r>
    </w:p>
    <w:p>
      <w:pPr>
        <w:spacing w:before="120" w:after="120"/>
      </w:pPr>
      <w:r>
        <w:rPr>
          <w:sz w:val="18"/>
        </w:rPr>
        <w:t>——————————————————————————————————————————————————————————————————————</w:t>
      </w:r>
    </w:p>
    <w:p>
      <w:pPr>
        <w:spacing w:before="160" w:after="40" w:line="240" w:lineRule="auto"/>
      </w:pPr>
      <w:r>
        <w:rPr>
          <w:b/>
        </w:rPr>
        <w:t xml:space="preserve">[285] </w:t>
      </w:r>
      <w:hyperlink r:id="rId886">
        <w:r>
          <w:rPr>
            <w:color w:val="1155CC"/>
            <w:u w:val="single"/>
          </w:rPr>
          <w:t>致癌 snoRNA SNORD78 通过保护 m6A 阅读器 IMP2 增强磷脂代谢，从而加剧结直肠癌</w:t>
        </w:r>
      </w:hyperlink>
    </w:p>
    <w:p>
      <w:pPr>
        <w:spacing w:before="0" w:after="80"/>
      </w:pPr>
      <w:r>
        <w:rPr>
          <w:i/>
          <w:sz w:val="20"/>
        </w:rPr>
        <w:t>EN: Oncogenic snoRNA SNORD78 fuels colorectal cancer by protecting the m6A reader IMP2 to enhance phospholipid metabolism</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87">
        <w:r>
          <w:rPr>
            <w:color w:val="1155CC"/>
            <w:u w:val="single"/>
          </w:rPr>
          <w:t>10.1073/pnas.2531283123</w:t>
        </w:r>
      </w:hyperlink>
    </w:p>
    <w:p>
      <w:pPr>
        <w:spacing w:before="0" w:after="120"/>
      </w:pPr>
      <w:r>
        <w:rPr>
          <w:b/>
        </w:rPr>
        <w:t xml:space="preserve">Notes: </w:t>
      </w:r>
      <w:r>
        <w:t>abstract_source=crossref</w:t>
      </w:r>
    </w:p>
    <w:p>
      <w:pPr>
        <w:spacing w:before="0" w:after="80" w:lineRule="auto" w:line="276"/>
      </w:pPr>
      <w:r>
        <w:rPr>
          <w:b/>
        </w:rPr>
        <w:t xml:space="preserve">摘要（ZH）: </w:t>
      </w:r>
      <w:r>
        <w:t>小核仁 RNA (snoRNA) 在各种癌症中发挥着至关重要的调节作用。然而，snoRNA 调节 N6-甲基腺苷 (m</w:t>
      </w:r>
      <w:r>
        <w:rPr>
          <w:vertAlign w:val="subscript"/>
        </w:rPr>
        <w:t>6</w:t>
      </w:r>
      <w:r>
        <w:t>A) 结直肠癌 (CRC) 的改变仍不清楚。本研究系统地破译了两者之间的精确相互作用机制</w:t>
      </w:r>
      <w:r>
        <w:t xml:space="preserve"> </w:t>
      </w:r>
      <w:r>
        <w:t>斯诺德78</w:t>
      </w:r>
      <w:r>
        <w:t xml:space="preserve"> </w:t>
      </w:r>
      <w:r>
        <w:t>和米</w:t>
      </w:r>
      <w:r>
        <w:rPr>
          <w:vertAlign w:val="subscript"/>
        </w:rPr>
        <w:t>6</w:t>
      </w:r>
      <w:r>
        <w:t>CRC 中的读取器 IMP2。我们证明</w:t>
      </w:r>
      <w:r>
        <w:t xml:space="preserve"> </w:t>
      </w:r>
      <w:r>
        <w:t>斯诺德78</w:t>
      </w:r>
      <w:r>
        <w:t xml:space="preserve"> </w:t>
      </w:r>
      <w:r>
        <w:t>特异性稳定 IMP2 以激活 PIK3CD-CHKA-Kennedy 通路</w:t>
      </w:r>
      <w:r>
        <w:rPr>
          <w:vertAlign w:val="subscript"/>
        </w:rPr>
        <w:t>6</w:t>
      </w:r>
      <w:r>
        <w:t>A依赖性方式，促进内质网应激（ERS）和磷脂酰胆碱（PC）生物合成，从而驱动CRC。相反，</w:t>
      </w:r>
      <w:r>
        <w:t xml:space="preserve"> </w:t>
      </w:r>
      <w:r>
        <w:t>斯诺德78</w:t>
      </w:r>
      <w:r>
        <w:t xml:space="preserve"> </w:t>
      </w:r>
      <w:r>
        <w:t>-靶向反义寡核苷酸（ASO）ASO-78，有效抑制ERS和PC水平，抑制CRC进展。从机械上来说，</w:t>
      </w:r>
      <w:r>
        <w:t xml:space="preserve"> </w:t>
      </w:r>
      <w:r>
        <w:t>斯诺德78</w:t>
      </w:r>
      <w:r>
        <w:t xml:space="preserve"> </w:t>
      </w:r>
      <w:r>
        <w:t>依靠其C-D盒区域中的“UAAUGA”元件，特异性结合IMP2的Lys221泛素化位点，阻断TRIM25介导的IMP2降解并维持其稳定性。 IMP2 增强靶标 mRNA 的稳定性和翻译</w:t>
      </w:r>
      <w:r>
        <w:t xml:space="preserve"> </w:t>
      </w:r>
      <w:r>
        <w:t>PIK3CD</w:t>
      </w:r>
      <w:r>
        <w:t xml:space="preserve"> </w:t>
      </w:r>
      <w:r>
        <w:t>和</w:t>
      </w:r>
      <w:r>
        <w:t xml:space="preserve"> </w:t>
      </w:r>
      <w:r>
        <w:t>CHKA</w:t>
      </w:r>
      <w:r>
        <w:t xml:space="preserve"> </w:t>
      </w:r>
      <w:r>
        <w:t>通过识别它们对应的 m</w:t>
      </w:r>
      <w:r>
        <w:rPr>
          <w:vertAlign w:val="subscript"/>
        </w:rPr>
        <w:t>6</w:t>
      </w:r>
      <w:r>
        <w:t>A 位置，米</w:t>
      </w:r>
      <w:r>
        <w:rPr>
          <w:vertAlign w:val="subscript"/>
        </w:rPr>
        <w:t>6</w:t>
      </w:r>
      <w:r>
        <w:t>A-3208和米</w:t>
      </w:r>
      <w:r>
        <w:rPr>
          <w:vertAlign w:val="subscript"/>
        </w:rPr>
        <w:t>6</w:t>
      </w:r>
      <w:r>
        <w:t>A-1619分别重新</w:t>
      </w:r>
    </w:p>
    <w:p>
      <w:pPr>
        <w:spacing w:before="0" w:after="200" w:lineRule="auto" w:line="276"/>
      </w:pPr>
      <w:r>
        <w:rPr>
          <w:b/>
        </w:rPr>
        <w:t xml:space="preserve">Abstract (EN): </w:t>
      </w:r>
      <w:r>
        <w:t>Small nucleolar RNAs (snoRNAs) play crucial regulatory roles in various cancers. However, the mechanisms by which snoRNAs regulate N6-methyladenosine (m</w:t>
      </w:r>
      <w:r>
        <w:rPr>
          <w:vertAlign w:val="subscript"/>
        </w:rPr>
        <w:t>6</w:t>
      </w:r>
      <w:r>
        <w:t>A) modifications in colorectal cancer (CRC) remain unclear. This study systematically deciphered the precise interaction mechanism between</w:t>
      </w:r>
      <w:r>
        <w:t xml:space="preserve"> </w:t>
      </w:r>
      <w:r>
        <w:t>SNORD78</w:t>
      </w:r>
      <w:r>
        <w:t xml:space="preserve"> </w:t>
      </w:r>
      <w:r>
        <w:t>and the m</w:t>
      </w:r>
      <w:r>
        <w:rPr>
          <w:vertAlign w:val="subscript"/>
        </w:rPr>
        <w:t>6</w:t>
      </w:r>
      <w:r>
        <w:t>A reader IMP2 in CRC. We demonstrate that</w:t>
      </w:r>
      <w:r>
        <w:t xml:space="preserve"> </w:t>
      </w:r>
      <w:r>
        <w:t>SNORD78</w:t>
      </w:r>
      <w:r>
        <w:t xml:space="preserve"> </w:t>
      </w:r>
      <w:r>
        <w:t>specifically stabilizes IMP2 to activate the PIK3CD-CHKA-Kennedy pathway in an m</w:t>
      </w:r>
      <w:r>
        <w:rPr>
          <w:vertAlign w:val="subscript"/>
        </w:rPr>
        <w:t>6</w:t>
      </w:r>
      <w:r>
        <w:t>A-dependent manner, promoting endoplasmic reticulum stress (ERS) and phosphatidylcholine (PC) biosynthesis, thereby driving CRC. Conversely, the</w:t>
      </w:r>
      <w:r>
        <w:t xml:space="preserve"> </w:t>
      </w:r>
      <w:r>
        <w:t>SNORD78</w:t>
      </w:r>
      <w:r>
        <w:t xml:space="preserve"> </w:t>
      </w:r>
      <w:r>
        <w:t>-targeting antisense oligonucleotide (ASO), ASO-78, effectively suppresses ERS and PC levels, inhibiting CRC progression. Mechanistically,</w:t>
      </w:r>
      <w:r>
        <w:t xml:space="preserve"> </w:t>
      </w:r>
      <w:r>
        <w:t>SNORD78</w:t>
      </w:r>
      <w:r>
        <w:t xml:space="preserve"> </w:t>
      </w:r>
      <w:r>
        <w:t>, relying on the “UAAUGA” element in its C-D box region, specifically binds to the Lys221 ubiquitination site of IMP2, blocking TRIM25-mediated degradation of IMP2 and maintaining its stability. IMP2 enhanced the stability and translation of the target mRNAs</w:t>
      </w:r>
      <w:r>
        <w:t xml:space="preserve"> </w:t>
      </w:r>
      <w:r>
        <w:t>PIK3CD</w:t>
      </w:r>
      <w:r>
        <w:t xml:space="preserve"> </w:t>
      </w:r>
      <w:r>
        <w:t>and</w:t>
      </w:r>
      <w:r>
        <w:t xml:space="preserve"> </w:t>
      </w:r>
      <w:r>
        <w:t>CHKA</w:t>
      </w:r>
      <w:r>
        <w:t xml:space="preserve"> </w:t>
      </w:r>
      <w:r>
        <w:t>by recognizing their corresponding m</w:t>
      </w:r>
      <w:r>
        <w:rPr>
          <w:vertAlign w:val="subscript"/>
        </w:rPr>
        <w:t>6</w:t>
      </w:r>
      <w:r>
        <w:t>A positions, m</w:t>
      </w:r>
      <w:r>
        <w:rPr>
          <w:vertAlign w:val="subscript"/>
        </w:rPr>
        <w:t>6</w:t>
      </w:r>
      <w:r>
        <w:t>A-3208 and m</w:t>
      </w:r>
      <w:r>
        <w:rPr>
          <w:vertAlign w:val="subscript"/>
        </w:rPr>
        <w:t>6</w:t>
      </w:r>
      <w:r>
        <w:t>A-1619, respectively, to reshape the phosphatidylcholine metabolite profile in CRC cells. In terms of potential therapeutic strategies, the ASO-78 can significantly inhibit CRC cell proliferation, reduce ERS levels, and decrease phosphatidylcholine content. The combination of ASO-78 and IMP2 inhibitor IMP2-IN1, by dual blocking of the</w:t>
      </w:r>
      <w:r>
        <w:t xml:space="preserve"> </w:t>
      </w:r>
      <w:r>
        <w:t>SNORD78</w:t>
      </w:r>
      <w:r>
        <w:t xml:space="preserve"> </w:t>
      </w:r>
      <w:r>
        <w:t>–IMP2 axis, exhibits an excellent proliferation-inhibiting effect in CRC organoids. This study not only reveals a mechanism by which the</w:t>
      </w:r>
      <w:r>
        <w:t xml:space="preserve"> </w:t>
      </w:r>
      <w:r>
        <w:t>SNORD78</w:t>
      </w:r>
      <w:r>
        <w:t xml:space="preserve"> </w:t>
      </w:r>
      <w:r>
        <w:t>–IMP2 interaction regulates CRC occurrence and development but also provides theoretical basis for innovative therapeutic strategies for precise targeting of tumor snoRNA-m</w:t>
      </w:r>
      <w:r>
        <w:rPr>
          <w:vertAlign w:val="subscript"/>
        </w:rPr>
        <w:t>6</w:t>
      </w:r>
      <w:r>
        <w:t>A reader interactions.</w:t>
      </w:r>
    </w:p>
    <w:p>
      <w:pPr>
        <w:spacing w:before="120" w:after="120"/>
      </w:pPr>
      <w:r>
        <w:rPr>
          <w:sz w:val="18"/>
        </w:rPr>
        <w:t>——————————————————————————————————————————————————————————————————————</w:t>
      </w:r>
    </w:p>
    <w:p>
      <w:pPr>
        <w:spacing w:before="160" w:after="40" w:line="240" w:lineRule="auto"/>
      </w:pPr>
      <w:r>
        <w:rPr>
          <w:b/>
        </w:rPr>
        <w:t xml:space="preserve">[286] </w:t>
      </w:r>
      <w:hyperlink r:id="rId888">
        <w:r>
          <w:rPr>
            <w:color w:val="1155CC"/>
            <w:u w:val="single"/>
          </w:rPr>
          <w:t>时空控制的基质软化促进人类肠道类器官的确定性隐窝形成</w:t>
        </w:r>
      </w:hyperlink>
    </w:p>
    <w:p>
      <w:pPr>
        <w:spacing w:before="0" w:after="80"/>
      </w:pPr>
      <w:r>
        <w:rPr>
          <w:i/>
          <w:sz w:val="20"/>
        </w:rPr>
        <w:t>EN: Spatiotemporally controlled matrix softening facilitates deterministic crypt formation in human intestinal organoids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89">
        <w:r>
          <w:rPr>
            <w:color w:val="1155CC"/>
            <w:u w:val="single"/>
          </w:rPr>
          <w:t>10.1073/pnas.2533029123</w:t>
        </w:r>
      </w:hyperlink>
    </w:p>
    <w:p>
      <w:pPr>
        <w:spacing w:before="0" w:after="120"/>
      </w:pPr>
      <w:r>
        <w:rPr>
          <w:b/>
        </w:rPr>
        <w:t xml:space="preserve">Notes: </w:t>
      </w:r>
      <w:r>
        <w:t>abstract_source=crossref</w:t>
      </w:r>
    </w:p>
    <w:p>
      <w:pPr>
        <w:spacing w:before="0" w:after="80" w:lineRule="auto" w:line="276"/>
      </w:pPr>
      <w:r>
        <w:rPr>
          <w:b/>
        </w:rPr>
        <w:t xml:space="preserve">摘要（ZH）: </w:t>
      </w:r>
      <w:r>
        <w:t>空间控制形态发生对许多类器官系统来说是一个挑战，表现为对分化细胞自组织的理解有限，并导致类器官形态测量的高度异质性。目前培养类器官的方法依赖于不可控制地传递的可溶性信号的时间呈现，并且对于细胞外微环境在此过程中的作用知之甚少。在这里，我们提出了一种基于材料的策略，通过可预测的隐窝形态测量和与体内组织对应物相匹配的细胞组成来时空控制人类肠道类器官（HIO）的形态发生。我们首先优化培养条件，以在光可调聚乙二醇水凝胶中产生更多可重复的 HIO，并可预测生长，然后系统地研究光介导的基质软化在引导隐窝形成中的作用。传递到与正在生长的类器官相邻的隐窝大小区域的光剂量是维持类器官细胞活力以及隐窝出芽和伸长的关键因素。通过优化的光剂量，可预测的上皮形状变化会导致可编程的隐窝形成，这通过增殖 (Ki67+) 和利基定义潘氏 (Lyz+) 细胞的存在得到证实。这种方法可以很容易地应用于其他出芽和分支的类器官，以促进形态发生或细胞迁移的可控变化。顺序图案化方法和更复杂的图案设计可以进一步开放参数空间，以方便对各种对象进行建模。</w:t>
      </w:r>
    </w:p>
    <w:p>
      <w:pPr>
        <w:spacing w:before="0" w:after="200" w:lineRule="auto" w:line="276"/>
      </w:pPr>
      <w:r>
        <w:rPr>
          <w:b/>
        </w:rPr>
        <w:t xml:space="preserve">Abstract (EN): </w:t>
      </w:r>
      <w:r>
        <w:t>Spatially controlling morphogenesis is a challenge for many organoid systems that manifests as a limited understanding of self-organization of differentiating cells and leads to a high degree of heterogeneity in organoid morphometrics. Current methods to grow organoids rely on temporal presentation of soluble cues that are not controllably delivered, and little is known about the role of the extracellular microenvironment in this process. Here, we present a material-based strategy to spatiotemporally control morphogenesis of human intestinal organoids (HIOs) with predictable crypt morphometrics and cell composition that match their in vivo tissue counterparts. We first optimize culture conditions to generate more reproducible HIOs with predictable growth in phototunable poly (ethylene glycol)-based hydrogels, and then systematically investigate the role of light-mediated matrix softening in guiding crypt formation. The light dose delivered to crypt-sized regions adjacent to growing organoids is a key factor in maintaining organoid cell viability, as well as crypt budding and elongation. With optimized light doses, predictable epithelial shape changes result in programmable crypt formation, confirmed by the presence of proliferative (Ki67+) and niche-defining Paneth (Lyz+) cells. This methodology could be readily adopted for other budding and branching organoids to facilitate controllable changes in morphogenesis or cell migration. Sequential patterning approaches and more complex pattern designs could further open the parameter space to facilitate modeling of a wide array of engineered tissues for applications ranging from fundamental biology to disease modeling and translational medicine.</w:t>
      </w:r>
    </w:p>
    <w:p>
      <w:pPr>
        <w:spacing w:before="120" w:after="120"/>
      </w:pPr>
      <w:r>
        <w:rPr>
          <w:sz w:val="18"/>
        </w:rPr>
        <w:t>——————————————————————————————————————————————————————————————————————</w:t>
      </w:r>
    </w:p>
    <w:p>
      <w:pPr>
        <w:spacing w:before="160" w:after="40" w:line="240" w:lineRule="auto"/>
      </w:pPr>
      <w:r>
        <w:rPr>
          <w:b/>
        </w:rPr>
        <w:t xml:space="preserve">[287] </w:t>
      </w:r>
      <w:hyperlink r:id="rId890">
        <w:r>
          <w:rPr>
            <w:color w:val="1155CC"/>
            <w:u w:val="single"/>
          </w:rPr>
          <w:t>重新利用曲唑酮治疗阿尔茨海默病，调节可溶性 ST2 水平并缓解阿尔茨海默病病理</w:t>
        </w:r>
      </w:hyperlink>
    </w:p>
    <w:p>
      <w:pPr>
        <w:spacing w:before="0" w:after="80"/>
      </w:pPr>
      <w:r>
        <w:rPr>
          <w:i/>
          <w:sz w:val="20"/>
        </w:rPr>
        <w:t>EN: Repurposing trazodone for Alzheimer’s disease to modulate soluble ST2 levels and alleviate Alzheimer’s pathology</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91">
        <w:r>
          <w:rPr>
            <w:color w:val="1155CC"/>
            <w:u w:val="single"/>
          </w:rPr>
          <w:t>10.1073/pnas.2536489123</w:t>
        </w:r>
      </w:hyperlink>
    </w:p>
    <w:p>
      <w:pPr>
        <w:spacing w:before="0" w:after="120"/>
      </w:pPr>
      <w:r>
        <w:rPr>
          <w:b/>
        </w:rPr>
        <w:t xml:space="preserve">Notes: </w:t>
      </w:r>
      <w:r>
        <w:t>abstract_source=crossref</w:t>
      </w:r>
    </w:p>
    <w:p>
      <w:pPr>
        <w:spacing w:before="0" w:after="80" w:lineRule="auto" w:line="276"/>
      </w:pPr>
      <w:r>
        <w:rPr>
          <w:b/>
        </w:rPr>
        <w:t xml:space="preserve">摘要（ZH）: </w:t>
      </w:r>
      <w:r>
        <w:t>阿尔茨海默病（AD）是一种多因素疾病，涉及多种病理机制，如淀粉样变性、免疫功能障碍和突触损伤，是重要的治疗靶点。针对这些机制重新利用药物为降低药物开发成本和缩短时间提供了一种有前途的方法。遗传学研究强调了小胶质细胞清除β-淀粉样蛋白 (Aβ) 在 AD 发病机制中的关键作用。具体来说，可溶性 ST2 (sST2)——由 IL1RL1（白细胞介素 1 受体样 1）基因编码的 ST2 蛋白的两种主要亚型之一——充当干扰 IL-33/ST2 信号传导的诱饵受体亚型，并已被确定为损害小胶质细胞 Aβ 清除功能的疾病调节因子。在这项研究中，我们研究了调节 sST2 水平和缓解 AD 病理的药物再利用机会。对 AD 患者常用药物进行公正筛选，然后在模型系统中进行验证，确定曲唑酮（一种用于治疗重度抑郁症的抗抑郁药）是 sST2 的主要负调节剂。曲唑酮主要通过其对肾上腺素能信号传导的拮抗作用来抑制 sST2 表达。在 AD 的 APP/PS1 转基因小鼠模型中，曲唑酮治疗增强了小胶质细胞与 Aβ 的相互作用并减轻了 Aβ 病理。此外，曲唑酮可减少 APP/PS1 小鼠的神经变性并挽救突触缺陷。 APP/PS1 小鼠大脑的全面分子分析表明，曲唑酮恢复了对突触完整性和平面至关重要的突触蛋白的表达。</w:t>
      </w:r>
    </w:p>
    <w:p>
      <w:pPr>
        <w:spacing w:before="0" w:after="200" w:lineRule="auto" w:line="276"/>
      </w:pPr>
      <w:r>
        <w:rPr>
          <w:b/>
        </w:rPr>
        <w:t xml:space="preserve">Abstract (EN): </w:t>
      </w:r>
      <w:r>
        <w:t>Alzheimer’s disease (AD) is a multifactorial disorder involving various pathological mechanisms, such as amyloidosis, immune dysfunctions, and synaptic impairments, which are important therapeutic targets. Repurposing drugs to target these mechanisms offers a promising approach to reduce the costs and duration of drug development. Genetic studies underscore the critical role of microglial clearance of amyloid-beta (Aβ) in AD pathogenesis. Specifically, soluble ST2 (sST2)—one of the two major isoforms of the ST2 protein encoded by the IL1RL1 (interleukin-1 receptor-like 1) gene—acts as a decoy receptor isoform that interferes with IL-33/ST2 signaling and has been identified as a disease-modifying factor that impairs microglial Aβ clearance functions. In this study, we investigated drug repurposing opportunities to modulate sST2 levels and alleviate AD pathologies. Unbiased screening of commonly used medications in AD patients, followed by validation in model systems, identified trazodone—an antidepressant used to treat major depressive disorder—as a leading negative regulator of sST2. Trazodone primarily suppresses sST2 expression through its antagonistic effects on adrenergic signaling. In the APP/PS1 transgenic mouse model of AD, trazodone treatment enhanced microglial interaction with Aβ and alleviated Aβ pathology. Furthermore, trazodone reduced neurodegeneration and rescued synaptic deficits in APP/PS1 mice. Comprehensive molecular profiling of APP/PS1 mouse brains showed that trazodone restored the expression of synaptic proteins critical for synaptic integrity and plasticity. Overall, these findings demonstrate that trazodone is a promising repurposing candidate for AD that targets underlying immune dysfunctions and synaptic impairment.</w:t>
      </w:r>
    </w:p>
    <w:p>
      <w:pPr>
        <w:spacing w:before="120" w:after="120"/>
      </w:pPr>
      <w:r>
        <w:rPr>
          <w:sz w:val="18"/>
        </w:rPr>
        <w:t>——————————————————————————————————————————————————————————————————————</w:t>
      </w:r>
    </w:p>
    <w:p>
      <w:pPr>
        <w:spacing w:before="160" w:after="40" w:line="240" w:lineRule="auto"/>
      </w:pPr>
      <w:r>
        <w:rPr>
          <w:b/>
        </w:rPr>
        <w:t xml:space="preserve">[288] </w:t>
      </w:r>
      <w:hyperlink r:id="rId892">
        <w:r>
          <w:rPr>
            <w:color w:val="1155CC"/>
            <w:u w:val="single"/>
          </w:rPr>
          <w:t>幼虫蜜蜂的社会进化和嗅觉功能减弱</w:t>
        </w:r>
      </w:hyperlink>
    </w:p>
    <w:p>
      <w:pPr>
        <w:spacing w:before="0" w:after="80"/>
      </w:pPr>
      <w:r>
        <w:rPr>
          <w:i/>
          <w:sz w:val="20"/>
        </w:rPr>
        <w:t>EN: Social evolution and diminished olfactory function in larval honey bees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93">
        <w:r>
          <w:rPr>
            <w:color w:val="1155CC"/>
            <w:u w:val="single"/>
          </w:rPr>
          <w:t>10.1073/pnas.2615678123</w:t>
        </w:r>
      </w:hyperlink>
    </w:p>
    <w:p>
      <w:pPr>
        <w:spacing w:before="0" w:after="120"/>
      </w:pPr>
      <w:r>
        <w:rPr>
          <w:b/>
        </w:rPr>
        <w:t xml:space="preserve">Notes: </w:t>
      </w:r>
      <w:r>
        <w:t>abstract_source=crossref</w:t>
      </w:r>
    </w:p>
    <w:p>
      <w:pPr>
        <w:spacing w:before="0" w:after="80" w:lineRule="auto" w:line="276"/>
      </w:pPr>
      <w:r>
        <w:rPr>
          <w:b/>
        </w:rPr>
        <w:t xml:space="preserve">摘要（ZH）: </w:t>
      </w:r>
      <w:r>
        <w:t>社会进化使幼虫蜜蜂依赖成年蜂群成员来进食；它们被限制在蜡质蜂巢中，成年“护士”蜂每天会拜访它们约 100 次。根据生物资源保护理论，我们预测幼虫在分子和行为水平上都会减弱嗅觉能力。与理论一致，幼虫表达的水平非常低</w:t>
      </w:r>
      <w:r>
        <w:t xml:space="preserve"> </w:t>
      </w:r>
      <w:r>
        <w:t>奥尔科</w:t>
      </w:r>
      <w:r>
        <w:t xml:space="preserve"> </w:t>
      </w:r>
      <w:r>
        <w:t>，嗅觉受体（OR）功能的必需基因。相比之下，他们表现出更高的表达</w:t>
      </w:r>
      <w:r>
        <w:t xml:space="preserve"> </w:t>
      </w:r>
      <w:r>
        <w:t>红外25a，</w:t>
      </w:r>
      <w:r>
        <w:t xml:space="preserve"> </w:t>
      </w:r>
      <w:r>
        <w:t>对于其他形式的感官知觉（包括味觉）至关重要。同样与理论一致的是，行为分析表明幼虫无法通过嗅觉找到食物，这表明它们利用味觉来进食。相比之下，众所周知，成年蜜蜂广泛使用基于 OR 的嗅觉来实现各种行为功能，并且蜜蜂基因组包含许多 OR 编码基因。对社会性和非社会性昆虫的比较转录组分析表明，这种发育调节的嗅觉功能抑制与社会进化有关，尤其是后代照顾系统。</w:t>
      </w:r>
    </w:p>
    <w:p>
      <w:pPr>
        <w:spacing w:before="0" w:after="200" w:lineRule="auto" w:line="276"/>
      </w:pPr>
      <w:r>
        <w:rPr>
          <w:b/>
        </w:rPr>
        <w:t xml:space="preserve">Abstract (EN): </w:t>
      </w:r>
      <w:r>
        <w:t>Social evolution made larval honey bees dependent on adult colony members for feeding; they are confined to cells in waxen honeycombs and visited about 100 times per day by adult “nurse” bees. Based on organismal resource conservation theory, we predicted larvae have diminished olfactory capabilities at both the molecular and behavioral levels. Consistent with theory, larvae expressed very low levels of</w:t>
      </w:r>
      <w:r>
        <w:t xml:space="preserve"> </w:t>
      </w:r>
      <w:r>
        <w:t>Orco</w:t>
      </w:r>
      <w:r>
        <w:t xml:space="preserve"> </w:t>
      </w:r>
      <w:r>
        <w:t>, an essential gene for olfactory receptor (OR) function. By contrast, they showed higher expression of</w:t>
      </w:r>
      <w:r>
        <w:t xml:space="preserve"> </w:t>
      </w:r>
      <w:r>
        <w:t>Ir25a,</w:t>
      </w:r>
      <w:r>
        <w:t xml:space="preserve"> </w:t>
      </w:r>
      <w:r>
        <w:t>essential for other forms of sensory perception including gustation. Also consistent with theory, behavioral assays demonstrated that larvae cannot find food via olfaction, suggesting they use taste for feeding. By contrast, it is known that adult honey bees use OR-based olfaction extensively for a variety of behavioral functions, and the honey bee genome contains many OR-encoding genes. Comparative transcriptomic analyses of social and nonsocial insects suggest that this developmentally regulated suppression of olfactory function is related to social evolution, especially systems of offspring care.</w:t>
      </w:r>
    </w:p>
    <w:p>
      <w:pPr>
        <w:spacing w:before="120" w:after="120"/>
      </w:pPr>
      <w:r>
        <w:rPr>
          <w:sz w:val="18"/>
        </w:rPr>
        <w:t>——————————————————————————————————————————————————————————————————————</w:t>
      </w:r>
    </w:p>
    <w:p>
      <w:pPr>
        <w:spacing w:before="160" w:after="40" w:line="240" w:lineRule="auto"/>
      </w:pPr>
      <w:r>
        <w:rPr>
          <w:b/>
        </w:rPr>
        <w:t xml:space="preserve">[289] </w:t>
      </w:r>
      <w:hyperlink r:id="rId894">
        <w:r>
          <w:rPr>
            <w:color w:val="1155CC"/>
            <w:u w:val="single"/>
          </w:rPr>
          <w:t>解开 CO+ 和 O− 之间分子相互中和反应中的解离和非解离反应动力学</w:t>
        </w:r>
      </w:hyperlink>
    </w:p>
    <w:p>
      <w:pPr>
        <w:spacing w:before="0" w:after="80"/>
      </w:pPr>
      <w:r>
        <w:rPr>
          <w:i/>
          <w:sz w:val="20"/>
        </w:rPr>
        <w:t>EN: Disentangling dissociative and nondissociative reaction dynamics in molecular mutual neutralization reactions between CO+ and O−</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95">
        <w:r>
          <w:rPr>
            <w:color w:val="1155CC"/>
            <w:u w:val="single"/>
          </w:rPr>
          <w:t>10.1073/pnas.2603388123</w:t>
        </w:r>
      </w:hyperlink>
    </w:p>
    <w:p>
      <w:pPr>
        <w:spacing w:before="0" w:after="120"/>
      </w:pPr>
      <w:r>
        <w:rPr>
          <w:b/>
        </w:rPr>
        <w:t xml:space="preserve">Notes: </w:t>
      </w:r>
      <w:r>
        <w:t>abstract_source=crossref</w:t>
      </w:r>
    </w:p>
    <w:p>
      <w:pPr>
        <w:spacing w:before="0" w:after="80" w:lineRule="auto" w:line="276"/>
      </w:pPr>
      <w:r>
        <w:rPr>
          <w:b/>
        </w:rPr>
        <w:t xml:space="preserve">摘要（ZH）: </w:t>
      </w:r>
      <w:r>
        <w:t>我们研究了CO的相互中和反应</w:t>
      </w:r>
      <w:r>
        <w:t xml:space="preserve"> </w:t>
      </w:r>
      <w:r>
        <w:t>+</w:t>
      </w:r>
      <w:r>
        <w:t xml:space="preserve"> </w:t>
      </w:r>
      <w:r>
        <w:t>与O</w:t>
      </w:r>
      <w:r>
        <w:t xml:space="preserve"> </w:t>
      </w:r>
      <w:r>
        <w:t>-</w:t>
      </w:r>
      <w:r>
        <w:t>单次碰撞条件下碰撞能量≤0.1 eV。我们观察到完全解离 (31.5 ± 1.8 %) 和非解离 (68.5 ± 1.8 %) 电荷转移，涉及 CO 中至少五种不同的电子激发态。从产物动量分析中，我们发现动力学受大 O 下的电子转移过程控制。</w:t>
      </w:r>
      <w:r>
        <w:t xml:space="preserve"> </w:t>
      </w:r>
      <w:r>
        <w:t>-</w:t>
      </w:r>
      <w:r>
        <w:t>-CO</w:t>
      </w:r>
      <w:r>
        <w:t xml:space="preserve"> </w:t>
      </w:r>
      <w:r>
        <w:t>+</w:t>
      </w:r>
      <w:r>
        <w:t xml:space="preserve"> </w:t>
      </w:r>
      <w:r>
        <w:t>CO 里德堡态中预解离和辐射衰变之间的分离和竞争。在非解离电荷转移的情况下，对于其中一个反应通道，我们观察到强烈的振动激发（4</w:t>
      </w:r>
      <w:r>
        <w:t xml:space="preserve"> </w:t>
      </w:r>
      <w:r>
        <w:t>≤</w:t>
      </w:r>
      <w:r>
        <w:t xml:space="preserve"> </w:t>
      </w:r>
      <w:r>
        <w:t>v</w:t>
      </w:r>
      <w:r>
        <w:t xml:space="preserve"> </w:t>
      </w:r>
      <w:r>
        <w:t>≤</w:t>
      </w:r>
      <w:r>
        <w:t xml:space="preserve"> </w:t>
      </w:r>
      <w:r>
        <w:t>8) 在产物CO分子中。这些数据预计可用于模拟天体物理和行星大气环境，其中二氧化碳</w:t>
      </w:r>
      <w:r>
        <w:t xml:space="preserve"> </w:t>
      </w:r>
      <w:r>
        <w:t>+</w:t>
      </w:r>
      <w:r>
        <w:t xml:space="preserve"> </w:t>
      </w:r>
      <w:r>
        <w:t>和O</w:t>
      </w:r>
      <w:r>
        <w:t xml:space="preserve"> </w:t>
      </w:r>
      <w:r>
        <w:t>-</w:t>
      </w:r>
      <w:r>
        <w:t>存在。</w:t>
      </w:r>
    </w:p>
    <w:p>
      <w:pPr>
        <w:spacing w:before="0" w:after="200" w:lineRule="auto" w:line="276"/>
      </w:pPr>
      <w:r>
        <w:rPr>
          <w:b/>
        </w:rPr>
        <w:t xml:space="preserve">Abstract (EN): </w:t>
      </w:r>
      <w:r>
        <w:t>We have studied the mutual neutralization reaction of CO</w:t>
      </w:r>
      <w:r>
        <w:t xml:space="preserve"> </w:t>
      </w:r>
      <w:r>
        <w:t>+</w:t>
      </w:r>
      <w:r>
        <w:t xml:space="preserve"> </w:t>
      </w:r>
      <w:r>
        <w:t>with O</w:t>
      </w:r>
      <w:r>
        <w:t xml:space="preserve"> </w:t>
      </w:r>
      <w:r>
        <w:t>−</w:t>
      </w:r>
      <w:r>
        <w:t>at a collision energy of ≤0.1 eV under single-collision conditions. We observe both fully dissociative (31.5 ± 1.8 %) and nondissociative (68.5 ± 1.8 %) charge transfer, involving at least five different electronically excited states in CO. From product momentum analysis, we find that the dynamics are governed by electron transfer processes at large O</w:t>
      </w:r>
      <w:r>
        <w:t xml:space="preserve"> </w:t>
      </w:r>
      <w:r>
        <w:t>−</w:t>
      </w:r>
      <w:r>
        <w:t>-CO</w:t>
      </w:r>
      <w:r>
        <w:t xml:space="preserve"> </w:t>
      </w:r>
      <w:r>
        <w:t>+</w:t>
      </w:r>
      <w:r>
        <w:t xml:space="preserve"> </w:t>
      </w:r>
      <w:r>
        <w:t>separations and the competition between predissociation and radiative decay in CO Rydberg states. In the case of nondissociative charge transfer, for one of the reaction channels we observe strong vibrational excitation (4</w:t>
      </w:r>
      <w:r>
        <w:t xml:space="preserve"> </w:t>
      </w:r>
      <w:r>
        <w:t>≤</w:t>
      </w:r>
      <w:r>
        <w:t xml:space="preserve"> </w:t>
      </w:r>
      <w:r>
        <w:t>v</w:t>
      </w:r>
      <w:r>
        <w:t xml:space="preserve"> </w:t>
      </w:r>
      <w:r>
        <w:t>≤</w:t>
      </w:r>
      <w:r>
        <w:t xml:space="preserve"> </w:t>
      </w:r>
      <w:r>
        <w:t>8) in the product CO molecule. These data are expected to be useful for modeling astrophysical and planetary atmospheric environments where CO</w:t>
      </w:r>
      <w:r>
        <w:t xml:space="preserve"> </w:t>
      </w:r>
      <w:r>
        <w:t>+</w:t>
      </w:r>
      <w:r>
        <w:t xml:space="preserve"> </w:t>
      </w:r>
      <w:r>
        <w:t>and O</w:t>
      </w:r>
      <w:r>
        <w:t xml:space="preserve"> </w:t>
      </w:r>
      <w:r>
        <w:t>−</w:t>
      </w:r>
      <w:r>
        <w:t>are present.</w:t>
      </w:r>
    </w:p>
    <w:p>
      <w:pPr>
        <w:spacing w:before="120" w:after="120"/>
      </w:pPr>
      <w:r>
        <w:rPr>
          <w:sz w:val="18"/>
        </w:rPr>
        <w:t>——————————————————————————————————————————————————————————————————————</w:t>
      </w:r>
    </w:p>
    <w:p>
      <w:pPr>
        <w:spacing w:before="160" w:after="40" w:line="240" w:lineRule="auto"/>
      </w:pPr>
      <w:r>
        <w:rPr>
          <w:b/>
        </w:rPr>
        <w:t xml:space="preserve">[290] </w:t>
      </w:r>
      <w:hyperlink r:id="rId896">
        <w:r>
          <w:rPr>
            <w:color w:val="1155CC"/>
            <w:u w:val="single"/>
          </w:rPr>
          <w:t>解毒剂和毒素的连续进化将遗传不相容性与免疫反应联系起来</w:t>
        </w:r>
      </w:hyperlink>
    </w:p>
    <w:p>
      <w:pPr>
        <w:spacing w:before="0" w:after="80"/>
      </w:pPr>
      <w:r>
        <w:rPr>
          <w:i/>
          <w:sz w:val="20"/>
        </w:rPr>
        <w:t>EN: Sequential evolution of antidote and toxin links genetic incompatibility with immune responses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97">
        <w:r>
          <w:rPr>
            <w:color w:val="1155CC"/>
            <w:u w:val="single"/>
          </w:rPr>
          <w:t>10.1073/pnas.2603772123</w:t>
        </w:r>
      </w:hyperlink>
    </w:p>
    <w:p>
      <w:pPr>
        <w:spacing w:before="0" w:after="120"/>
      </w:pPr>
      <w:r>
        <w:rPr>
          <w:b/>
        </w:rPr>
        <w:t xml:space="preserve">Notes: </w:t>
      </w:r>
      <w:r>
        <w:t>abstract_source=crossref</w:t>
      </w:r>
    </w:p>
    <w:p>
      <w:pPr>
        <w:spacing w:before="0" w:after="80" w:lineRule="auto" w:line="276"/>
      </w:pPr>
      <w:r>
        <w:rPr>
          <w:b/>
        </w:rPr>
        <w:t xml:space="preserve">摘要（ZH）: </w:t>
      </w:r>
      <w:r>
        <w:t>毒素解毒剂（TA）系统是自私的遗传因素，通过消除不继承该模块的后代来确保自己的遗传，从而在物种内部和物种之间产生合子后遗传不相容性。尽管TA系统无处不在且适应性成本巨大，但人们对TA系统的起源和持续性仍然知之甚少。在这里，我们报道了线虫中的一对 TA 基因</w:t>
      </w:r>
      <w:r>
        <w:t xml:space="preserve"> </w:t>
      </w:r>
      <w:r>
        <w:t>黑线虫</w:t>
      </w:r>
      <w:r>
        <w:t xml:space="preserve"> </w:t>
      </w:r>
      <w:r>
        <w:t>。解毒基因，</w:t>
      </w:r>
      <w:r>
        <w:t xml:space="preserve"> </w:t>
      </w:r>
      <w:r>
        <w:t>Cni-shls-2</w:t>
      </w:r>
      <w:r>
        <w:t xml:space="preserve"> </w:t>
      </w:r>
      <w:r>
        <w:t>, 是一个</w:t>
      </w:r>
      <w:r>
        <w:t xml:space="preserve"> </w:t>
      </w:r>
      <w:r>
        <w:t>尼格尼</w:t>
      </w:r>
      <w:r>
        <w:t xml:space="preserve"> </w:t>
      </w:r>
      <w:r>
        <w:t>-通过最近的串联复制产生的特异性F-box基因，产生三个相同的拷贝。它的缺失会导致两种动物的胚胎死亡</w:t>
      </w:r>
      <w:r>
        <w:t xml:space="preserve"> </w:t>
      </w:r>
      <w:r>
        <w:t>尼格尼</w:t>
      </w:r>
      <w:r>
        <w:t xml:space="preserve"> </w:t>
      </w:r>
      <w:r>
        <w:t>及其与姐妹种的杂交种</w:t>
      </w:r>
      <w:r>
        <w:t xml:space="preserve"> </w:t>
      </w:r>
      <w:r>
        <w:t>布里格隐杆线虫</w:t>
      </w:r>
      <w:r>
        <w:t xml:space="preserve"> </w:t>
      </w:r>
      <w:r>
        <w:t>。这种致命性是由母体沉积的毒素介导的，</w:t>
      </w:r>
      <w:r>
        <w:t xml:space="preserve"> </w:t>
      </w:r>
      <w:r>
        <w:t>Cni-hlix-1</w:t>
      </w:r>
      <w:r>
        <w:t xml:space="preserve"> </w:t>
      </w:r>
      <w:r>
        <w:t>，一种嵌合基因，由重复的宿主序列与可能源自细菌/古细菌的新序列融合而成。对不同人群中 TA 基因进化轨迹的分析表明，解毒剂更有可能早于毒素出现。这些结果支持 TA 起源的可能模型，其中</w:t>
      </w:r>
      <w:r>
        <w:t xml:space="preserve"> </w:t>
      </w:r>
      <w:r>
        <w:t>Cni-shls-2</w:t>
      </w:r>
      <w:r>
        <w:t xml:space="preserve"> </w:t>
      </w:r>
      <w:r>
        <w:t>最初是在病原体压力下进化的，而随后毒素的出现则强制保留了解毒剂。我们推测宿主与病原体的冲突可能是这一过程的关键驱动力。</w:t>
      </w:r>
    </w:p>
    <w:p>
      <w:pPr>
        <w:spacing w:before="0" w:after="200" w:lineRule="auto" w:line="276"/>
      </w:pPr>
      <w:r>
        <w:rPr>
          <w:b/>
        </w:rPr>
        <w:t xml:space="preserve">Abstract (EN): </w:t>
      </w:r>
      <w:r>
        <w:t>Toxin-antidote (TA) systems are selfish genetic elements that ensure their own inheritance by eliminating offspring that do not inherit the module, thereby creating postzygotic genetic incompatibilities both within and between species. Despite their ubiquity and substantial fitness costs, the origin and persistence of TA systems remain poorly understood. Here, we report a TA gene pair in the nematode</w:t>
      </w:r>
      <w:r>
        <w:t xml:space="preserve"> </w:t>
      </w:r>
      <w:r>
        <w:t>Caenorhabditis nigoni</w:t>
      </w:r>
      <w:r>
        <w:t xml:space="preserve"> </w:t>
      </w:r>
      <w:r>
        <w:t>. The antidote gene,</w:t>
      </w:r>
      <w:r>
        <w:t xml:space="preserve"> </w:t>
      </w:r>
      <w:r>
        <w:t>Cni-shls-2</w:t>
      </w:r>
      <w:r>
        <w:t xml:space="preserve"> </w:t>
      </w:r>
      <w:r>
        <w:t>, is a</w:t>
      </w:r>
      <w:r>
        <w:t xml:space="preserve"> </w:t>
      </w:r>
      <w:r>
        <w:t>C. nigoni</w:t>
      </w:r>
      <w:r>
        <w:t xml:space="preserve"> </w:t>
      </w:r>
      <w:r>
        <w:t>-specific F-box gene that arose through recent tandem duplications, leading to three identical copies. Its absence results in embryonic lethality in both</w:t>
      </w:r>
      <w:r>
        <w:t xml:space="preserve"> </w:t>
      </w:r>
      <w:r>
        <w:t>C. nigoni</w:t>
      </w:r>
      <w:r>
        <w:t xml:space="preserve"> </w:t>
      </w:r>
      <w:r>
        <w:t>and its hybrids with the sister species</w:t>
      </w:r>
      <w:r>
        <w:t xml:space="preserve"> </w:t>
      </w:r>
      <w:r>
        <w:t>Caenorhabditis briggsae</w:t>
      </w:r>
      <w:r>
        <w:t xml:space="preserve"> </w:t>
      </w:r>
      <w:r>
        <w:t>. This lethality is mediated by a maternally deposited toxin,</w:t>
      </w:r>
      <w:r>
        <w:t xml:space="preserve"> </w:t>
      </w:r>
      <w:r>
        <w:t>Cni-hlix-1</w:t>
      </w:r>
      <w:r>
        <w:t xml:space="preserve"> </w:t>
      </w:r>
      <w:r>
        <w:t>, a chimeric gene formed by the fusion of duplicated host sequences with novel sequences that could be derived from bacteria/archaea. Analysis of evolutionary trajectory of the TA genes among various populations suggests that the antidote is more likely to predate the toxin. These results support a possible model of TA origin, in which</w:t>
      </w:r>
      <w:r>
        <w:t xml:space="preserve"> </w:t>
      </w:r>
      <w:r>
        <w:t>Cni-shls-2</w:t>
      </w:r>
      <w:r>
        <w:t xml:space="preserve"> </w:t>
      </w:r>
      <w:r>
        <w:t>initially evolved under pathogen pressure, whereas the subsequent emergence of the toxin enforces antidote retention. We speculate that host–pathogen conflict may serve as a key driving force in the evolution and maintenance of TA systems, inadvertently leading to reproductive barriers.</w:t>
      </w:r>
    </w:p>
    <w:p>
      <w:pPr>
        <w:spacing w:before="120" w:after="120"/>
      </w:pPr>
      <w:r>
        <w:rPr>
          <w:sz w:val="18"/>
        </w:rPr>
        <w:t>——————————————————————————————————————————————————————————————————————</w:t>
      </w:r>
    </w:p>
    <w:p>
      <w:pPr>
        <w:spacing w:before="160" w:after="40" w:line="240" w:lineRule="auto"/>
      </w:pPr>
      <w:r>
        <w:rPr>
          <w:b/>
        </w:rPr>
        <w:t xml:space="preserve">[291] </w:t>
      </w:r>
      <w:hyperlink r:id="rId898">
        <w:r>
          <w:rPr>
            <w:color w:val="1155CC"/>
            <w:u w:val="single"/>
          </w:rPr>
          <w:t>揭示刚性折纸的非直观运动学特征的通用移动性分析框架</w:t>
        </w:r>
      </w:hyperlink>
    </w:p>
    <w:p>
      <w:pPr>
        <w:spacing w:before="0" w:after="80"/>
      </w:pPr>
      <w:r>
        <w:rPr>
          <w:i/>
          <w:sz w:val="20"/>
        </w:rPr>
        <w:t>EN: A general mobility analysis framework to reveal nonintuitive kinematic characteristics of rigid origami</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899">
        <w:r>
          <w:rPr>
            <w:color w:val="1155CC"/>
            <w:u w:val="single"/>
          </w:rPr>
          <w:t>10.1073/pnas.2602778123</w:t>
        </w:r>
      </w:hyperlink>
    </w:p>
    <w:p>
      <w:pPr>
        <w:spacing w:before="0" w:after="120"/>
      </w:pPr>
      <w:r>
        <w:rPr>
          <w:b/>
        </w:rPr>
        <w:t xml:space="preserve">Notes: </w:t>
      </w:r>
      <w:r>
        <w:t>abstract_source=crossref</w:t>
      </w:r>
    </w:p>
    <w:p>
      <w:pPr>
        <w:spacing w:before="0" w:after="80" w:lineRule="auto" w:line="276"/>
      </w:pPr>
      <w:r>
        <w:rPr>
          <w:b/>
        </w:rPr>
        <w:t xml:space="preserve">摘要（ZH）: </w:t>
      </w:r>
      <w:r>
        <w:t>刚性折纸表现出有趣的可重构性，这种可重构性受到折痕所施加的几何约束的控制。这种内在关系产生了非直观的运动学特征，包括复杂配置中的自由度 (DOF) 数量及其相应的运动路径。在这里，我们开发了一个通用的移动性分析框架来揭示刚性折纸的不确定运动学特征。通过首先分析推导高达四阶的运动学兼容性条件，我们阐明了高阶兼容性分析在确定刚性可折叠性中的作用。结果表明，具有无穷小机构的折纸结构可分为三类：规则折纸、分叉折纸和摇晃折纸。这些运动学特性在大多数情况下可以通过二阶分析来揭示，只有少数情况需要三阶分析。基于分析结果，我们开发了一种以角度为主导的模拟算法，用于跟踪刚性折纸的有限运动，包括单自由度和多自由度规则折纸以及分叉折纸。所提出的框架在 20 个先前报道的折纸结构和 31 个新设计的结构（包括平面折纸、多面体折纸和厚折纸）上进行了验证，证实了我们方法的通用性。这项工作通过集成分析推导、数值模拟和原型验证来阐明刚性折纸的非直观运动学行为，推进刚性折纸和其他空间联系的移动性分析</w:t>
      </w:r>
    </w:p>
    <w:p>
      <w:pPr>
        <w:spacing w:before="0" w:after="200" w:lineRule="auto" w:line="276"/>
      </w:pPr>
      <w:r>
        <w:rPr>
          <w:b/>
        </w:rPr>
        <w:t xml:space="preserve">Abstract (EN): </w:t>
      </w:r>
      <w:r>
        <w:t>Rigid origami exhibits intriguing reconfigurability governed by geometric constraints imposed by its creases. This intrinsic relationship gives rise to nonintuitive kinematic characteristics, including the number of degrees of freedom (DOFs) and their corresponding motion paths in complex configurations. Here, we develop a general mobility analysis framework to reveal the indeterminate kinematic characteristics of rigid origami. By first analytically deriving kinematic compatibility conditions up to the fourth order, we clarify the role of high-order compatibility analysis in determining rigid foldability. The results show that origami structures with infinitesimal mechanisms can be classified into three categories: regular origami, bifurcated origami, and shaky origami. These kinematic characteristics can be revealed by second-order analysis in most cases, with only a few cases requiring third-order analysis. Based on the analytical results, we then develop an angle-dominated simulation algorithm for tracing the finite motions of rigid origami, including single- and multi-DOF regular origami as well as bifurcated origami. The proposed framework is validated on 20 previously reported origami structures and 31 newly designed structures, including planar origami, polyhedral origami, and thick origami, confirming the generality of our approach. This work elucidates the nonintuitive kinematic behaviors of rigid origami by integrating analytical derivation, numerical simulation, and prototype validation, advancing the mobility analysis of rigid origami and other spatial linkages.</w:t>
      </w:r>
    </w:p>
    <w:p>
      <w:pPr>
        <w:spacing w:before="120" w:after="120"/>
      </w:pPr>
      <w:r>
        <w:rPr>
          <w:sz w:val="18"/>
        </w:rPr>
        <w:t>——————————————————————————————————————————————————————————————————————</w:t>
      </w:r>
    </w:p>
    <w:p>
      <w:pPr>
        <w:spacing w:before="160" w:after="40" w:line="240" w:lineRule="auto"/>
      </w:pPr>
      <w:r>
        <w:rPr>
          <w:b/>
        </w:rPr>
        <w:t xml:space="preserve">[292] </w:t>
      </w:r>
      <w:hyperlink r:id="rId900">
        <w:r>
          <w:rPr>
            <w:color w:val="1155CC"/>
            <w:u w:val="single"/>
          </w:rPr>
          <w:t>通过冷冻 ET 对淀粉样蛋白-β 寡聚物与细胞外囊泡相互作用进行 3D 纳米级成像</w:t>
        </w:r>
      </w:hyperlink>
    </w:p>
    <w:p>
      <w:pPr>
        <w:spacing w:before="0" w:after="80"/>
      </w:pPr>
      <w:r>
        <w:rPr>
          <w:i/>
          <w:sz w:val="20"/>
        </w:rPr>
        <w:t>EN: 3D nanoscale imaging of amyloid-β oligomer interactions with extracellular vesicles by cryo-ET</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01">
        <w:r>
          <w:rPr>
            <w:color w:val="1155CC"/>
            <w:u w:val="single"/>
          </w:rPr>
          <w:t>10.1073/pnas.2610068123</w:t>
        </w:r>
      </w:hyperlink>
    </w:p>
    <w:p>
      <w:pPr>
        <w:spacing w:before="0" w:after="120"/>
      </w:pPr>
      <w:r>
        <w:rPr>
          <w:b/>
        </w:rPr>
        <w:t xml:space="preserve">Notes: </w:t>
      </w:r>
      <w:r>
        <w:t>abstract_source=crossref</w:t>
      </w:r>
    </w:p>
    <w:p>
      <w:pPr>
        <w:spacing w:before="0" w:after="80" w:lineRule="auto" w:line="276"/>
      </w:pPr>
      <w:r>
        <w:rPr>
          <w:b/>
        </w:rPr>
        <w:t xml:space="preserve">摘要（ZH）: </w:t>
      </w:r>
      <w:r>
        <w:t>阿尔茨海默病病理学的核心是淀粉样蛋白-β (Aβ) 肽的前原纤维寡聚物组装体。一个广泛讨论的假设提出，β-淀粉样蛋白寡聚体插入神经元脂质膜中，破坏其完整性并导致阿尔茨海默病的细胞稳态丧失。这种膜破坏被认为是 Aβ 诱导的神经毒性的主要来源。冷冻电子断层扫描 (cryo-ET) 促进了在接近天然条件下对 Aβ 膜相互作用进行 3D 纳米级成像。对小细胞外囊泡 (sEV) 的分析表明，包括环形和曲线延伸寡聚物 (CLEO) 在内的 Aβ 寡聚物表现出与细胞来源的脂质膜的广泛结合，包括插入和覆盖脂质双层。值得注意的是，这些寡聚体组装体也被内化并集中在细胞来源的外泌体和其他小型 sEV 中。囊泡内 Aβ 寡聚物的富集通常为外部 Aβ 水平的 5 至 20 倍，具体取决于囊泡的大小和曲率。相比之下，Aβ 的单体和纤维形式表现出最小的膜相互作用。一旦内化，CLEO 似乎被困在寡聚形式中，并且不容易继续形成原纤维。对脑脂质提取物囊泡的研究表明，Aβ 内化不需要膜蛋白的存在。我们的体外研究强调了寡聚 Aβ 物种的膜破坏能力，并表明 sEV 在浓缩有毒 Aβ 寡聚体和跨脑间质运输寡聚体方面发挥作用。</w:t>
      </w:r>
    </w:p>
    <w:p>
      <w:pPr>
        <w:spacing w:before="0" w:after="200" w:lineRule="auto" w:line="276"/>
      </w:pPr>
      <w:r>
        <w:rPr>
          <w:b/>
        </w:rPr>
        <w:t xml:space="preserve">Abstract (EN): </w:t>
      </w:r>
      <w:r>
        <w:t>Central to Alzheimer’s disease pathology are prefibrillar oligomer assemblies of amyloid-β (Aβ) peptide. A widely discussed hypothesis proposes that amyloid-β oligomers insert into neuronal lipid membranes, disrupting their integrity and causing a loss of cellular homeostasis in Alzheimer’s disease. This membrane disruption is believed to be a major source of Aβ-induced neurotoxicity. Cryo electron tomography (cryo-ET) has facilitated 3D nanoscale imaging of Aβ-membrane interactions under near-native conditions. Analyses of small extracellular vesicles (sEVs) reveals that Aβ oligomers including annular and curvilinear extended oligomers (CLEOs) exhibit extensive binding to cell-derived lipid membranes, including insertion into and carpeting of the lipid bilayer. Notably, these oligomeric assemblies were also internalized and concentrated within the cell-derived exosomes and other small sEVs. Enrichment of Aβ oligomers within the vesicles typically ranged between 5 to 20 times the external Aβ levels depending on the vesicle size and curvature. In contrast, monomeric and fibrillar forms of Aβ displayed minimal membrane interaction. Once internalized CLEOs appear to be trapped in an oligomeric form and do not readily go on to form fibrils. Studies with vesicles of brain lipid extract indicate the Aβ internalization does not require the presence of a membrane protein. Our in vitro studies underscore the membrane-disruptive capacity of oligomeric Aβ species and suggest a role of sEVs in concentrating toxic Aβ oligomers and transporting oligomers across the brain interstitium.</w:t>
      </w:r>
    </w:p>
    <w:p>
      <w:pPr>
        <w:spacing w:before="120" w:after="120"/>
      </w:pPr>
      <w:r>
        <w:rPr>
          <w:sz w:val="18"/>
        </w:rPr>
        <w:t>——————————————————————————————————————————————————————————————————————</w:t>
      </w:r>
    </w:p>
    <w:p>
      <w:pPr>
        <w:spacing w:before="160" w:after="40" w:line="240" w:lineRule="auto"/>
      </w:pPr>
      <w:r>
        <w:rPr>
          <w:b/>
        </w:rPr>
        <w:t xml:space="preserve">[293] </w:t>
      </w:r>
      <w:hyperlink r:id="rId902">
        <w:r>
          <w:rPr>
            <w:color w:val="1155CC"/>
            <w:u w:val="single"/>
          </w:rPr>
          <w:t>HIV-1 MPER 广泛中和抗体中膜接合和多反应性控制的结构基础</w:t>
        </w:r>
      </w:hyperlink>
    </w:p>
    <w:p>
      <w:pPr>
        <w:spacing w:before="0" w:after="80"/>
      </w:pPr>
      <w:r>
        <w:rPr>
          <w:i/>
          <w:sz w:val="20"/>
        </w:rPr>
        <w:t>EN: Structural basis of membrane engagement and polyreactivity control in HIV-1 MPER broadly neutralizing antibodies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03">
        <w:r>
          <w:rPr>
            <w:color w:val="1155CC"/>
            <w:u w:val="single"/>
          </w:rPr>
          <w:t>10.1073/pnas.2609827123</w:t>
        </w:r>
      </w:hyperlink>
    </w:p>
    <w:p>
      <w:pPr>
        <w:spacing w:before="0" w:after="120"/>
      </w:pPr>
      <w:r>
        <w:rPr>
          <w:b/>
        </w:rPr>
        <w:t xml:space="preserve">Notes: </w:t>
      </w:r>
      <w:r>
        <w:t>abstract_source=crossref</w:t>
      </w:r>
    </w:p>
    <w:p>
      <w:pPr>
        <w:spacing w:before="0" w:after="80" w:lineRule="auto" w:line="276"/>
      </w:pPr>
      <w:r>
        <w:rPr>
          <w:b/>
        </w:rPr>
        <w:t xml:space="preserve">摘要（ZH）: </w:t>
      </w:r>
      <w:r>
        <w:t>HIV-1 Env 的近膜外部区域 (MPER) 由于其保守性和功能重要性而成为广泛中和抗体 (bnAb) 的关键靶点。然而，MPER 靶向 bnAb 可识别包含肽和病毒膜脂质成分的复合表位，从而在病毒中和功效和多反应性之间产生固有的张力。 10E8 类抗体表现出高中和效力和低多反应性，而 4E10 类抗体则表现出相对广泛的中和作用，但多反应性更高，这强调了了解这种区别的结构基础的必要性。因此，我们确定了 DH511.1（记忆 B 细胞衍生）、DH511.12P（浆细胞衍生）和 VRC42.01 与 MPER 肽和磷脂酸复合物的晶体结构，以及与膜嵌入 Env 结合的 DH511.2 的冷冻电镜重建。通过考虑先前确定的其他 MPER bnAb 结构的综合分析，我们揭示了两种不同的脂质识别策略。凹槽介导的结合物，包括 10E8 和 DH511，通过具有不同几何形状和与膜成角度的方法的抗体-膜界面凹槽与脂质结合。相比之下，重链介导的结合物（包括 4E10、PGZL1 和 VRC42）利用带正电荷的 CDR H1 补丁进行直接脂质头基识别。重要的是，DH511 谱系成员表现出与其成熟阶段相关的不同心磷脂多反应性。 PGZL1 和 VRC42.01 在脂质结合位点采用比 4E10 更弱的阳性斑块，并且 PGZL1 添加</w:t>
      </w:r>
    </w:p>
    <w:p>
      <w:pPr>
        <w:spacing w:before="0" w:after="200" w:lineRule="auto" w:line="276"/>
      </w:pPr>
      <w:r>
        <w:rPr>
          <w:b/>
        </w:rPr>
        <w:t xml:space="preserve">Abstract (EN): </w:t>
      </w:r>
      <w:r>
        <w:t>The membrane-proximal external region (MPER) of HIV-1 Env represents a critical target for broadly neutralizing antibodies (bnAbs) due to its conservation and functional importance. However, MPER-targeting bnAbs recognize composite epitopes comprising peptide and viral membrane lipid components, creating an inherent tension between viral neutralization efficacy and polyreactivity. 10E8-class antibodies exhibit high neutralization potency with low polyreactivity, whereas 4E10-class antibodies show comparably broad neutralization but higher polyreactivity, underscoring the need to understand the structural basis of this distinction. We therefore determined crystal structures of DH511.1 (memory B cell–derived), DH511.12P (plasma cell-derived), and VRC42.01 in complex with MPER peptide and phosphatidic acid, along with a cryo-EM reconstruction of DH511.2 bound to membrane-embedded Env. Through integrative analysis taking into account previously determined structures of other MPER bnAbs, we reveal two distinct lipid recognition strategies. Groove-mediated binders, including 10E8 and DH511, engage lipids through antibody–membrane interface grooves with distinct geometries and angular approaches to the membrane. In contrast, heavy chain-mediated binders, including 4E10, PGZL1, and VRC42, utilize positively charged CDR H1 patches for direct lipid headgroup recognition. Importantly, DH511 lineage members exhibited differential cardiolipin polyreactivity linked to their maturation stage. PGZL1 and VRC42.01 employ weaker positive patches at lipid-binding sites than 4E10, and PGZL1 additionally introduces a CDR H3-mediated negative patch that creates electrostatic repulsion with negatively charged lipid headgroups, thereby limiting nonspecific interactions. These findings provide a structural framework for understanding how MPER bnAbs balance lipid binding with specificity and inform immunogen design for inducing safe and effective neutralizing responses.</w:t>
      </w:r>
    </w:p>
    <w:p>
      <w:pPr>
        <w:spacing w:before="120" w:after="120"/>
      </w:pPr>
      <w:r>
        <w:rPr>
          <w:sz w:val="18"/>
        </w:rPr>
        <w:t>——————————————————————————————————————————————————————————————————————</w:t>
      </w:r>
    </w:p>
    <w:p>
      <w:pPr>
        <w:spacing w:before="160" w:after="40" w:line="240" w:lineRule="auto"/>
      </w:pPr>
      <w:r>
        <w:rPr>
          <w:b/>
        </w:rPr>
        <w:t xml:space="preserve">[294] </w:t>
      </w:r>
      <w:hyperlink r:id="rId904">
        <w:r>
          <w:rPr>
            <w:color w:val="1155CC"/>
            <w:u w:val="single"/>
          </w:rPr>
          <w:t>CDK8 协调拟南芥中茉莉酸诱导的免疫与硫反应性防御</w:t>
        </w:r>
      </w:hyperlink>
    </w:p>
    <w:p>
      <w:pPr>
        <w:spacing w:before="0" w:after="80"/>
      </w:pPr>
      <w:r>
        <w:rPr>
          <w:i/>
          <w:sz w:val="20"/>
        </w:rPr>
        <w:t>EN: CDK8 coordinates jasmonate-induced immunity with sulfur-responsive defense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05">
        <w:r>
          <w:rPr>
            <w:color w:val="1155CC"/>
            <w:u w:val="single"/>
          </w:rPr>
          <w:t>10.1073/pnas.2609022123</w:t>
        </w:r>
      </w:hyperlink>
    </w:p>
    <w:p>
      <w:pPr>
        <w:spacing w:before="0" w:after="120"/>
      </w:pPr>
      <w:r>
        <w:rPr>
          <w:b/>
        </w:rPr>
        <w:t xml:space="preserve">Notes: </w:t>
      </w:r>
      <w:r>
        <w:t>abstract_source=crossref</w:t>
      </w:r>
    </w:p>
    <w:p>
      <w:pPr>
        <w:spacing w:before="0" w:after="80" w:lineRule="auto" w:line="276"/>
      </w:pPr>
      <w:r>
        <w:rPr>
          <w:b/>
        </w:rPr>
        <w:t xml:space="preserve">摘要（ZH）: </w:t>
      </w:r>
      <w:r>
        <w:t>植物免疫力很大程度上依赖于碳、氮和硫基前体来部署专门的防御化合物。茉莉酸信号通路促进代谢成本高昂的防御表达，通常以生长为代价。植物如何协调生长-防御权衡与养分有效性的变化仍然知之甚少。在这里，我们将细胞周期蛋白依赖激酶 8 (CDK8) 确定为一种转录调节因子，在茉莉酸信号传导增强的条件下抑制生长并降低种子产量。</w:t>
      </w:r>
      <w:r>
        <w:t xml:space="preserve"> </w:t>
      </w:r>
      <w:r>
        <w:t>拟南芥</w:t>
      </w:r>
      <w:r>
        <w:t xml:space="preserve"> </w:t>
      </w:r>
      <w:r>
        <w:t>并进一步表明 CDK8 根据硫的可用性塑造免疫反应。转录本和代谢物分析表明，CDK8 可以增强茉莉酸触发的免疫力，包括在硫磺充足的条件下，芥子油苷、camalexin 和富含硫的防御素肽的大量积累。引人注目的是，硫限制触发了 CDK8 依赖性转录开关，抑制防御素和芥子油苷，同时协调诱导camalexin，这是一种需要大幅降低硫投入的防御代谢物。这些发现确立了 CDK8 作为一种调节剂，将茉莉酸信号传导与硫营养状态相结合，以塑造植物免疫反应的组成。</w:t>
      </w:r>
    </w:p>
    <w:p>
      <w:pPr>
        <w:spacing w:before="0" w:after="200" w:lineRule="auto" w:line="276"/>
      </w:pPr>
      <w:r>
        <w:rPr>
          <w:b/>
        </w:rPr>
        <w:t xml:space="preserve">Abstract (EN): </w:t>
      </w:r>
      <w:r>
        <w:t>Plant immunity draws heavily on carbon-, nitrogen-, and sulfur-based precursors for the deployment of specialized defense compounds. The jasmonate signaling pathway promotes expression of metabolically costly defenses, often at the expense of growth. How plants coordinate growth–defense tradeoffs with changes in nutrient availability remains poorly understood. Here, we identify CYCLIN-DEPENDENT KINASE 8 (CDK8) as a transcriptional regulator that restrains growth and reduces seed yield under conditions of heightened jasmonate signaling in</w:t>
      </w:r>
      <w:r>
        <w:t xml:space="preserve"> </w:t>
      </w:r>
      <w:r>
        <w:t>Arabidopsis thaliana</w:t>
      </w:r>
      <w:r>
        <w:t xml:space="preserve"> </w:t>
      </w:r>
      <w:r>
        <w:t>and further show that CDK8 shapes immune responses according to sulfur availability. Transcript and metabolite profiling showed that CDK8 amplifies jasmonate-triggered immunity, including robust accumulation of glucosinolates, camalexin, and sulfur-rich defensin peptides under sulfur-replete conditions. Strikingly, sulfur limitation triggered a CDK8-dependent transcriptional switch that suppressed defensins and glucosinolates while coordinately inducing camalexin, a defense metabolite requiring substantially lower sulfur investment. These findings establish CDK8 as a regulator that integrates jasmonate signaling with sulfur nutritional status to shape the composition of plant immune responses.</w:t>
      </w:r>
    </w:p>
    <w:p>
      <w:pPr>
        <w:spacing w:before="120" w:after="120"/>
      </w:pPr>
      <w:r>
        <w:rPr>
          <w:sz w:val="18"/>
        </w:rPr>
        <w:t>——————————————————————————————————————————————————————————————————————</w:t>
      </w:r>
    </w:p>
    <w:p>
      <w:pPr>
        <w:spacing w:before="160" w:after="40" w:line="240" w:lineRule="auto"/>
      </w:pPr>
      <w:r>
        <w:rPr>
          <w:b/>
        </w:rPr>
        <w:t xml:space="preserve">[295] </w:t>
      </w:r>
      <w:hyperlink r:id="rId906">
        <w:r>
          <w:rPr>
            <w:color w:val="1155CC"/>
            <w:u w:val="single"/>
          </w:rPr>
          <w:t>飞行导航反应利用羽毛特定的气味运动和梯度线索</w:t>
        </w:r>
      </w:hyperlink>
    </w:p>
    <w:p>
      <w:pPr>
        <w:spacing w:before="0" w:after="80"/>
      </w:pPr>
      <w:r>
        <w:rPr>
          <w:i/>
          <w:sz w:val="20"/>
        </w:rPr>
        <w:t>EN: Fly navigational responses exploit plume-specific odor motion and gradient cues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07">
        <w:r>
          <w:rPr>
            <w:color w:val="1155CC"/>
            <w:u w:val="single"/>
          </w:rPr>
          <w:t>10.1073/pnas.2608896123</w:t>
        </w:r>
      </w:hyperlink>
    </w:p>
    <w:p>
      <w:pPr>
        <w:spacing w:before="0" w:after="120"/>
      </w:pPr>
      <w:r>
        <w:rPr>
          <w:b/>
        </w:rPr>
        <w:t xml:space="preserve">Notes: </w:t>
      </w:r>
      <w:r>
        <w:t>abstract_source=crossref</w:t>
      </w:r>
    </w:p>
    <w:p>
      <w:pPr>
        <w:spacing w:before="0" w:after="80" w:lineRule="auto" w:line="276"/>
      </w:pPr>
      <w:r>
        <w:rPr>
          <w:b/>
        </w:rPr>
        <w:t xml:space="preserve">摘要（ZH）: </w:t>
      </w:r>
      <w:r>
        <w:t>气味线索引导动物寻找食物和交配。不同的环境条件会产生不同模式的气味羽流，使导航更具挑战性。先前的研究表明，动物在检测到气味时会转向逆风，而在失去气味时会转向侧风。具有双边嗅觉传感器的动物还可以检测定向气味线索，例如气味梯度和气味运动。目前尚不清楚动物如何利用这两种定向气味线索来引导具有不同统计数据的气味羽流中的侧风导航。我们从理论上和实验上研究了这个问题。在这里，我们表明这些定向气味线索为不同羽流环境中的导航提供了补充信息。我们对实验生成的羽流进行了数值分析，结果表明，气味梯度线索在平滑的气味羽流中提供了更多有关侧风方向的信息，而气味运动线索在复杂的羽流中提供了更多信息。经过训练以优化侧风转向的神经网络会聚到独特的网络结构，这些网络结构被调整为平滑羽流中的气味梯度线索和复杂羽流中的气味运动线索。这些经过训练的网络提高了人工代理在与训练环境相匹配的羽流环境中导航的性能。最后，我们记录了</w:t>
      </w:r>
      <w:r>
        <w:t xml:space="preserve"> </w:t>
      </w:r>
      <w:r>
        <w:t>果蝇</w:t>
      </w:r>
      <w:r>
        <w:t xml:space="preserve"> </w:t>
      </w:r>
      <w:r>
        <w:t>果蝇在这些气味羽流环境中航行时。在光滑羽流中，梯度提示是苍蝇侧风转向的重要预测因素；在复杂的羽流中，运动线索是重要的预测因素。总的来说，这些结果表明</w:t>
      </w:r>
    </w:p>
    <w:p>
      <w:pPr>
        <w:spacing w:before="0" w:after="200" w:lineRule="auto" w:line="276"/>
      </w:pPr>
      <w:r>
        <w:rPr>
          <w:b/>
        </w:rPr>
        <w:t xml:space="preserve">Abstract (EN): </w:t>
      </w:r>
      <w:r>
        <w:t>Odor cues guide animals to food and mates. Different environmental conditions can create differently patterned odor plumes, making navigation more challenging. Prior work has shown that animals turn upwind when they detect odor and cast crosswind when they lose it. Animals with bilateral olfactory sensors can also detect directional odor cues, such as odor gradient and odor motion. It remains unknown how animals use these two directional odor cues to guide crosswind navigation in odor plumes with distinct statistics. We investigated this problem theoretically and experimentally. Here, we show that these directional odor cues provide complementary information for navigation in different plume environments. We numerically analyzed experimentally generated plumes to show that odor gradient cues are more informative about crosswind directions in a smooth odor plume, while odor motion cues are more informative in a complex plume. Neural networks trained to optimize crosswind turning converged to distinctive network structures that are tuned to odor gradient cues in a smooth plume and to odor motion cues in a complex one. These trained networks improved the performance of artificial agents navigating plume environments that match the training environment. Last, we recorded</w:t>
      </w:r>
      <w:r>
        <w:t xml:space="preserve"> </w:t>
      </w:r>
      <w:r>
        <w:t>Drosophila</w:t>
      </w:r>
      <w:r>
        <w:t xml:space="preserve"> </w:t>
      </w:r>
      <w:r>
        <w:t>fruit flies as they navigated these odor plume environments. In the smooth plume, the gradient cue was the significant predictor of fly crosswind turning; in the complex plume, the motion cue was the significant predictor. Overall, these results demonstrate that these directional odor cues are complementary across environments and that animals exploit this relationship to navigate plumes with different statistics.</w:t>
      </w:r>
    </w:p>
    <w:p>
      <w:pPr>
        <w:spacing w:before="120" w:after="120"/>
      </w:pPr>
      <w:r>
        <w:rPr>
          <w:sz w:val="18"/>
        </w:rPr>
        <w:t>——————————————————————————————————————————————————————————————————————</w:t>
      </w:r>
    </w:p>
    <w:p>
      <w:pPr>
        <w:spacing w:before="160" w:after="40" w:line="240" w:lineRule="auto"/>
      </w:pPr>
      <w:r>
        <w:rPr>
          <w:b/>
        </w:rPr>
        <w:t xml:space="preserve">[296] </w:t>
      </w:r>
      <w:hyperlink r:id="rId908">
        <w:r>
          <w:rPr>
            <w:color w:val="1155CC"/>
            <w:u w:val="single"/>
          </w:rPr>
          <w:t>众多人工智能分析师，一个数据集：探索代理数据科学多元宇宙</w:t>
        </w:r>
      </w:hyperlink>
    </w:p>
    <w:p>
      <w:pPr>
        <w:spacing w:before="0" w:after="80"/>
      </w:pPr>
      <w:r>
        <w:rPr>
          <w:i/>
          <w:sz w:val="20"/>
        </w:rPr>
        <w:t>EN: Many AI analysts, one dataset: Navigating the agentic data science multiverse</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09">
        <w:r>
          <w:rPr>
            <w:color w:val="1155CC"/>
            <w:u w:val="single"/>
          </w:rPr>
          <w:t>10.1073/pnas.2606495123</w:t>
        </w:r>
      </w:hyperlink>
    </w:p>
    <w:p>
      <w:pPr>
        <w:spacing w:before="0" w:after="120"/>
      </w:pPr>
      <w:r>
        <w:rPr>
          <w:b/>
        </w:rPr>
        <w:t xml:space="preserve">Notes: </w:t>
      </w:r>
      <w:r>
        <w:t>abstract_source=crossref</w:t>
      </w:r>
    </w:p>
    <w:p>
      <w:pPr>
        <w:spacing w:before="0" w:after="80" w:lineRule="auto" w:line="276"/>
      </w:pPr>
      <w:r>
        <w:rPr>
          <w:b/>
        </w:rPr>
        <w:t xml:space="preserve">摘要（ZH）: </w:t>
      </w:r>
      <w:r>
        <w:t>经验结论不仅取决于数据，还取决于分析决策。许多分析师的研究已经量化了这种依赖性：在同一数据集上测试同一假设的独立团队经常会得出相互矛盾的结论。但此类研究需要昂贵的人力协调。我们证明，基于大型语言模型（LLM）的完全自主的人工智能分析师可以廉价且大规模地产生人类多分析师研究中观察到的分析离散度。在我们的框架中，每个人工智能分析师独立地对固定数据集和假设执行完整的分析流程；单独的人工智能审核员会筛选每次运行的方法有效性。在三个数据集中，人工智能分析师进行的分析显示效果大小存在很大的分散性，</w:t>
      </w:r>
      <w:r>
        <w:t xml:space="preserve"> </w:t>
      </w:r>
      <w:r>
        <w:t>磷</w:t>
      </w:r>
      <w:r>
        <w:t xml:space="preserve"> </w:t>
      </w:r>
      <w:r>
        <w:t>- 价值观和结论。这种分散可以追溯到预处理、模型规范和推理中可识别的分析选择，这些选择在法学硕士和角色条件中系统地变化。至关重要的是，结果是可操纵的：重新分配分析师角色或法学硕士会改变结果的分布，即使在方法论上合理的运行中也是如此。这些结果凸显了人工智能自动化实证科学面临的一个核心挑战：当生成合理分析的成本低廉时，证据就会变得丰富，并且容易受到选择性报告的影响。同样的功能也有助于解决这个问题：将分析师结果视为分布，使分析不确定性变得可见，并针对</w:t>
      </w:r>
    </w:p>
    <w:p>
      <w:pPr>
        <w:spacing w:before="0" w:after="200" w:lineRule="auto" w:line="276"/>
      </w:pPr>
      <w:r>
        <w:rPr>
          <w:b/>
        </w:rPr>
        <w:t xml:space="preserve">Abstract (EN): </w:t>
      </w:r>
      <w:r>
        <w:t>Empirical conclusions depend not only on data but also on analytic decisions. Many-analyst studies have quantified this dependence: independent teams testing the same hypothesis on the same dataset regularly reach conflicting conclusions. But such studies require costly human coordination. We show that fully autonomous AI analysts built on large language models (LLMs) can, cheaply and at scale, produce the analytic dispersion observed in human many-analyst studies. In our framework, each AI analyst independently executes a complete analysis pipeline on a fixed dataset and hypothesis; a separate AI auditor screens every run for methodological validity. Across three datasets, AI analyst-produced analyses exhibit substantial dispersion in effect sizes,</w:t>
      </w:r>
      <w:r>
        <w:t xml:space="preserve"> </w:t>
      </w:r>
      <w:r>
        <w:t>P</w:t>
      </w:r>
      <w:r>
        <w:t xml:space="preserve"> </w:t>
      </w:r>
      <w:r>
        <w:t>-values, and conclusions. This dispersion can be traced to identifiable analytic choices in preprocessing, model specification, and inference that vary systematically across LLM and persona conditions. Critically, the outcomes are steerable: reassigning the analyst persona or LLM shifts the distribution of results even among methodologically sound runs. These results highlight a central challenge for AI-automated empirical science: when defensible analyses are cheap to generate, evidence becomes abundant and vulnerable to selective reporting. The same capability also helps address it: treating analyst results as distributions makes analytic uncertainty visible, and deploying AI analysts against a published specification can reveal how much disagreement stems from underspecified design choices. Taken together, our results motivate a transparency norm: AI-generated analyses should be accompanied by multiverse-style reporting and full disclosure of the prompts used, on par with code and data.</w:t>
      </w:r>
    </w:p>
    <w:p>
      <w:pPr>
        <w:spacing w:before="120" w:after="120"/>
      </w:pPr>
      <w:r>
        <w:rPr>
          <w:sz w:val="18"/>
        </w:rPr>
        <w:t>——————————————————————————————————————————————————————————————————————</w:t>
      </w:r>
    </w:p>
    <w:p>
      <w:pPr>
        <w:spacing w:before="160" w:after="40" w:line="240" w:lineRule="auto"/>
      </w:pPr>
      <w:r>
        <w:rPr>
          <w:b/>
        </w:rPr>
        <w:t xml:space="preserve">[297] </w:t>
      </w:r>
      <w:hyperlink r:id="rId910">
        <w:r>
          <w:rPr>
            <w:color w:val="1155CC"/>
            <w:u w:val="single"/>
          </w:rPr>
          <w:t>低温硅化使哺乳动物细胞世代间的非遗传功能连续性成为可能</w:t>
        </w:r>
      </w:hyperlink>
    </w:p>
    <w:p>
      <w:pPr>
        <w:spacing w:before="0" w:after="80"/>
      </w:pPr>
      <w:r>
        <w:rPr>
          <w:i/>
          <w:sz w:val="20"/>
        </w:rPr>
        <w:t>EN: Cryogenic silicification enables nongenetic functional continuity across mammalian cell generations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11">
        <w:r>
          <w:rPr>
            <w:color w:val="1155CC"/>
            <w:u w:val="single"/>
          </w:rPr>
          <w:t>10.1073/pnas.2604560123</w:t>
        </w:r>
      </w:hyperlink>
    </w:p>
    <w:p>
      <w:pPr>
        <w:spacing w:before="0" w:after="120"/>
      </w:pPr>
      <w:r>
        <w:rPr>
          <w:b/>
        </w:rPr>
        <w:t xml:space="preserve">Notes: </w:t>
      </w:r>
      <w:r>
        <w:t>abstract_source=crossref</w:t>
      </w:r>
    </w:p>
    <w:p>
      <w:pPr>
        <w:spacing w:before="0" w:after="80" w:lineRule="auto" w:line="276"/>
      </w:pPr>
      <w:r>
        <w:rPr>
          <w:b/>
        </w:rPr>
        <w:t xml:space="preserve">摘要（ZH）: </w:t>
      </w:r>
      <w:r>
        <w:t>哺乳动物细胞本质上是柔软的，杨氏模量通常在 0.1 至 10.0 kPa 之间，具体取决于 F-肌动蛋白细胞骨架的组织，这使得它们非常容易受到机械和环境压力的影响。这种固有的脆弱性严重限制了它们在非生理条件下的操纵和功能部署。在这里，我们报告了一种支持低温休眠的硅化策略，该策略实现了活哺乳动物细胞内无机二氧化硅强化的深度整合，同时保持细胞活力和增殖能力。低温休眠期间的瞬时膜渗透性允许硅酸在细胞内积累，随后进行蛋白质介导的缩合，形成跨越细胞外和细胞内区室的共形无定形二氧化硅网络。由此产生的二氧化硅细胞杂化物，称为</w:t>
      </w:r>
      <w:r>
        <w:t xml:space="preserve"> </w:t>
      </w:r>
      <w:r>
        <w:t>硅质细胞</w:t>
      </w:r>
      <w:r>
        <w:t xml:space="preserve"> </w:t>
      </w:r>
      <w:r>
        <w:t>，表现出显着增强的机械鲁棒性和对各种环境应力的抵抗力。值得注意的是，这种材料介导的增强本质上既不是永久性的，也不是遗传性的：二氧化硅结构在细胞分裂过程中逐渐分裂，赋予了一种伪遗传增强，这种增强在逐渐消散之前持续两到三代。通过在不改变遗传特性的情况下实现细胞稳健性的可逆且暂时有界的扩展，冷冻硅化建立了跨细胞世代的功能连续性的非遗传模式。这项工作扩展了 m 的概念框架</w:t>
      </w:r>
    </w:p>
    <w:p>
      <w:pPr>
        <w:spacing w:before="0" w:after="200" w:lineRule="auto" w:line="276"/>
      </w:pPr>
      <w:r>
        <w:rPr>
          <w:b/>
        </w:rPr>
        <w:t xml:space="preserve">Abstract (EN): </w:t>
      </w:r>
      <w:r>
        <w:t>Mammalian cells are intrinsically soft, with Young’s moduli typically ranging from 0.1 to 10.0 kPa depending on the organization of the F-actin cytoskeleton, rendering them highly susceptible to mechanical and environmental stresses. This inherent fragility severely constrains their manipulation and functional deployment under nonphysiological conditions. Here, we report a cryogenic dormancy–enabled silicification strategy that achieves deep integration of inorganic silica reinforcement within living mammalian cells while preserving cell viability and proliferative capacity. Transient membrane permeability during cryogenic dormancy allows intracellular accumulation of silicic acid, which subsequently undergoes protein-mediated condensation to form a conformal amorphous silica network spanning both extracellular and intracellular compartments. The resulting silica–cell hybrids, termed</w:t>
      </w:r>
      <w:r>
        <w:t xml:space="preserve"> </w:t>
      </w:r>
      <w:r>
        <w:t>Silicacytes</w:t>
      </w:r>
      <w:r>
        <w:t xml:space="preserve"> </w:t>
      </w:r>
      <w:r>
        <w:t>, exhibit substantially enhanced mechanical robustness and resistance to a broad range of environmental stresses. Notably, this materials-mediated reinforcement is neither permanent nor genetic in nature: silica structures are progressively partitioned during cell division, conferring a pseudoheritable enhancement that persists for two to three generations before gradually dissipating. By enabling a reversible and temporally bounded extension of cellular robustness without altering genetic identity, cryosilicification establishes a nongenetic mode of functional continuity across cell generations. This work expands the conceptual framework of material–cell interactions and provides a general strategy for transient cellular reinforcement, with implications for cell engineering, immune cell manipulation, and the development of adaptive biohybrid systems.</w:t>
      </w:r>
    </w:p>
    <w:p>
      <w:pPr>
        <w:spacing w:before="120" w:after="120"/>
      </w:pPr>
      <w:r>
        <w:rPr>
          <w:sz w:val="18"/>
        </w:rPr>
        <w:t>——————————————————————————————————————————————————————————————————————</w:t>
      </w:r>
    </w:p>
    <w:p>
      <w:pPr>
        <w:spacing w:before="160" w:after="40" w:line="240" w:lineRule="auto"/>
      </w:pPr>
      <w:r>
        <w:rPr>
          <w:b/>
        </w:rPr>
        <w:t xml:space="preserve">[298] </w:t>
      </w:r>
      <w:hyperlink r:id="rId912">
        <w:r>
          <w:rPr>
            <w:color w:val="1155CC"/>
            <w:u w:val="single"/>
          </w:rPr>
          <w:t>通过蟋蟀 Gryllus bimaculatus 的体内分析揭示古老的 MacroH2A 特征</w:t>
        </w:r>
      </w:hyperlink>
    </w:p>
    <w:p>
      <w:pPr>
        <w:spacing w:before="0" w:after="80"/>
      </w:pPr>
      <w:r>
        <w:rPr>
          <w:i/>
          <w:sz w:val="20"/>
        </w:rPr>
        <w:t>EN: Revealing ancient macroH2A features through in vivo analysis in the cricket Gryllus bimaculatus</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13">
        <w:r>
          <w:rPr>
            <w:color w:val="1155CC"/>
            <w:u w:val="single"/>
          </w:rPr>
          <w:t>10.1073/pnas.2602208123</w:t>
        </w:r>
      </w:hyperlink>
    </w:p>
    <w:p>
      <w:pPr>
        <w:spacing w:before="0" w:after="120"/>
      </w:pPr>
      <w:r>
        <w:rPr>
          <w:b/>
        </w:rPr>
        <w:t xml:space="preserve">Notes: </w:t>
      </w:r>
      <w:r>
        <w:t>abstract_source=crossref</w:t>
      </w:r>
    </w:p>
    <w:p>
      <w:pPr>
        <w:spacing w:before="0" w:after="80" w:lineRule="auto" w:line="276"/>
      </w:pPr>
      <w:r>
        <w:rPr>
          <w:b/>
        </w:rPr>
        <w:t xml:space="preserve">摘要（ZH）: </w:t>
      </w:r>
      <w:r>
        <w:t>MacroH2A 是最非典型的组蛋白变体之一，由于其独特的核小体外宏结构域，其大小是典型 H2A 的三倍。曾经被认为是脊椎动物特有的，macroH2A 实际上是一种进化的古老组蛋白，由脊椎动物中的两个基因和其他真核生物中的单个基因编码。然而，macroH2A 的缺失</w:t>
      </w:r>
      <w:r>
        <w:t xml:space="preserve"> </w:t>
      </w:r>
      <w:r>
        <w:t>果蝇</w:t>
      </w:r>
      <w:r>
        <w:t xml:space="preserve"> </w:t>
      </w:r>
      <w:r>
        <w:t>和</w:t>
      </w:r>
      <w:r>
        <w:t xml:space="preserve"> </w:t>
      </w:r>
      <w:r>
        <w:t>秀丽隐杆线虫</w:t>
      </w:r>
      <w:r>
        <w:t xml:space="preserve"> </w:t>
      </w:r>
      <w:r>
        <w:t>排除了其在脊椎动物之外的功能表征。在这里，我们报告了无脊椎动物中 MacroH2A 的功能特征，这是通过蟋蟀中的基因组编辑实现的</w:t>
      </w:r>
      <w:r>
        <w:t xml:space="preserve"> </w:t>
      </w:r>
      <w:r>
        <w:t>双斑蟋蟀</w:t>
      </w:r>
      <w:r>
        <w:t xml:space="preserve"> </w:t>
      </w:r>
      <w:r>
        <w:t>。蟋蟀macroH2A基因的内源标记揭示了macroH2A在配子发生过程中的高度动态分布以及与异染色质的普遍关联。在胚胎中，macroH2A 在细胞分化方面表现出显着的富集，特别是在神经系统和肌肉中。有趣的是，完全基因删除表明，macroH2A 对于生存能力来说是可有可无的，但对于辐射后的生存至关重要。我们进一步表明，缺乏 MacroH2A 连接体和宏结构域的胚胎对 DNA 损伤同样高度敏感，这表明这个非组蛋白区域可以保护脊椎动物以外的基因组完整性。最后，去除 MacroH2A 的核小体外结构域出乎意料地以细胞类型特异性方式扰乱了其染色质掺入。因此，这项研究揭示了昆虫和脊椎动物共有的 MacroH2A 的高度保守特征</w:t>
      </w:r>
    </w:p>
    <w:p>
      <w:pPr>
        <w:spacing w:before="0" w:after="200" w:lineRule="auto" w:line="276"/>
      </w:pPr>
      <w:r>
        <w:rPr>
          <w:b/>
        </w:rPr>
        <w:t xml:space="preserve">Abstract (EN): </w:t>
      </w:r>
      <w:r>
        <w:t>macroH2A is one of the most atypical histone variants, being three times larger than canonical H2A due to its unique extranucleosomal macrodomain. Once thought to be vertebrate-specific, macroH2A is in fact an evolutionary ancient histone, encoded by two genes in vertebrates and a single gene in other eukaryotes. However, the absence of macroH2A in</w:t>
      </w:r>
      <w:r>
        <w:t xml:space="preserve"> </w:t>
      </w:r>
      <w:r>
        <w:t>Drosophila</w:t>
      </w:r>
      <w:r>
        <w:t xml:space="preserve"> </w:t>
      </w:r>
      <w:r>
        <w:t>and</w:t>
      </w:r>
      <w:r>
        <w:t xml:space="preserve"> </w:t>
      </w:r>
      <w:r>
        <w:t>Caenorhabditis elegans</w:t>
      </w:r>
      <w:r>
        <w:t xml:space="preserve"> </w:t>
      </w:r>
      <w:r>
        <w:t>have precluded its functional characterization beyond vertebrates. Here, we report the functional characterization of macroH2A in an invertebrate, enabled through genome editing in the cricket</w:t>
      </w:r>
      <w:r>
        <w:t xml:space="preserve"> </w:t>
      </w:r>
      <w:r>
        <w:t>Gryllus bimaculatus</w:t>
      </w:r>
      <w:r>
        <w:t xml:space="preserve"> </w:t>
      </w:r>
      <w:r>
        <w:t>. Endogenous tagging of the cricket macroH2A gene revealed a highly dynamic distribution of macroH2A during gametogenesis and a general association with heterochromatin. In embryos, macroH2A shows a remarkable enrichment in differentiating cells, particularly in the nervous system and muscles. Interestingly, complete gene deletion reveals that macroH2A is dispensable for viability but critical for survival after irradiation. We further show that embryos lacking the linker and macrodomain of macroH2A are equally hypersensitive to DNA damage, demonstrating that this nonhistone region safeguards genome integrity beyond vertebrates. Finally, removing the extranucleosomal domain of macroH2A unexpectedly disturbs its chromatin incorporation in a cell-type-specific manner. This study thus reveals deeply conserved features of macroH2A, shared between insects and vertebrates, but also provides insights about the regulation of its chromatin incorporation.</w:t>
      </w:r>
    </w:p>
    <w:p>
      <w:pPr>
        <w:spacing w:before="120" w:after="120"/>
      </w:pPr>
      <w:r>
        <w:rPr>
          <w:sz w:val="18"/>
        </w:rPr>
        <w:t>——————————————————————————————————————————————————————————————————————</w:t>
      </w:r>
    </w:p>
    <w:p>
      <w:pPr>
        <w:spacing w:before="160" w:after="40" w:line="240" w:lineRule="auto"/>
      </w:pPr>
      <w:r>
        <w:rPr>
          <w:b/>
        </w:rPr>
        <w:t xml:space="preserve">[299] </w:t>
      </w:r>
      <w:hyperlink r:id="rId914">
        <w:r>
          <w:rPr>
            <w:color w:val="1155CC"/>
            <w:u w:val="single"/>
          </w:rPr>
          <w:t>空间 QSP 模型的定量校准确定成纤维细胞对 HCC 免疫治疗的影响</w:t>
        </w:r>
      </w:hyperlink>
    </w:p>
    <w:p>
      <w:pPr>
        <w:spacing w:before="0" w:after="80"/>
      </w:pPr>
      <w:r>
        <w:rPr>
          <w:i/>
          <w:sz w:val="20"/>
        </w:rPr>
        <w:t>EN: Quantitative calibration of a spatial QSP model identifies fibroblast impact on HCC immunotherapy</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15">
        <w:r>
          <w:rPr>
            <w:color w:val="1155CC"/>
            <w:u w:val="single"/>
          </w:rPr>
          <w:t>10.1073/pnas.2525799123</w:t>
        </w:r>
      </w:hyperlink>
    </w:p>
    <w:p>
      <w:pPr>
        <w:spacing w:before="0" w:after="120"/>
      </w:pPr>
      <w:r>
        <w:rPr>
          <w:b/>
        </w:rPr>
        <w:t xml:space="preserve">Notes: </w:t>
      </w:r>
      <w:r>
        <w:t>abstract_source=crossref</w:t>
      </w:r>
    </w:p>
    <w:p>
      <w:pPr>
        <w:spacing w:before="0" w:after="80" w:lineRule="auto" w:line="276"/>
      </w:pPr>
      <w:r>
        <w:rPr>
          <w:b/>
        </w:rPr>
        <w:t xml:space="preserve">摘要（ZH）: </w:t>
      </w:r>
      <w:r>
        <w:t>计算模型越来越多地用于预测治疗反应和优化癌症治疗策略。定量系统药理学 (QSP) 模型机械地模拟肿瘤进展和药理干预，从而实现虚拟临床试验、基于模型的药物开发和生物标志物发现，但它们缺乏表示肿瘤微环境 (TME) 架构的空间分辨率。将 QSP 与基于主体的建模相结合，创建了空间 QSP (spQSP) 框架，能够以单细胞分辨率解析组织级组织；然而，用人类肿瘤数据参数化这些模型仍然具有挑战性。在这里，我们通过机械地合并成纤维细胞模块来扩展现有的肝癌 spQSP 模型，并开发了集成空间分子数据的近似贝叶斯计算-序列蒙特卡罗校准管道。该校准框架通过拟合细胞邻域的统计摘要来匹配 spQSP 模拟和空间分子数据之间的肿瘤结构。校准模型再现了在空间转录组学中观察到的成纤维细胞介导的淋巴细胞浸润排除，并预测接受免疫检查点抑制剂和酪氨酸激酶抑制剂联合治疗的独立队列中的治疗后空间肿瘤状态。最后，我们确定了与治疗反应相关的空间和非空间预处理生物标志物。总之，这项研究展示了如何将空间组学与机械建模相结合，从而实现定量校准，揭示空间组学</w:t>
      </w:r>
    </w:p>
    <w:p>
      <w:pPr>
        <w:spacing w:before="0" w:after="200" w:lineRule="auto" w:line="276"/>
      </w:pPr>
      <w:r>
        <w:rPr>
          <w:b/>
        </w:rPr>
        <w:t xml:space="preserve">Abstract (EN): </w:t>
      </w:r>
      <w:r>
        <w:t>Computational models are increasingly used to predict treatment response and optimize cancer therapeutic strategies. Quantitative systems pharmacology (QSP) models mechanistically simulate tumor progression and pharmacological interventions, enabling virtual clinical trials, model-informed drug development, and biomarker discovery, but they lack spatial resolution to represent tumor microenvironment (TME) architecture. Coupling QSP with agent-based modeling creates spatial QSP (spQSP) frameworks capable of resolving tissue-level organization at single-cell resolution; however, parameterizing these models with human tumor data remains challenging. Here, we extend an existing spQSP model of liver cancer by mechanistically incorporating a fibroblast module and develop an Approximate Bayesian Computation–Sequential Monte Carlo calibration pipeline that integrates spatial molecular data. This calibration framework matches tumor architectures between spQSP simulations and spatial molecular data by fitting statistical summaries of cellular neighborhoods. The calibrated model reproduces fibroblast-mediated exclusion of lymphocyte infiltration observed in spatial transcriptomics and predicts posttreatment spatial tumor states in an independent cohort receiving immune checkpoint inhibitor and tyrosine kinase inhibitor combination therapy. Finally, we identify spatial and nonspatial pretreatment biomarkers associated with therapeutic response. Together, this study demonstrates how integrating spatial omics with mechanistic modeling enables quantitative calibration, reveals the spatial role of fibroblasts in shaping immunosuppressive TMEs, and supports in silico biomarker discovery toward personalized cancer therapy.</w:t>
      </w:r>
    </w:p>
    <w:p>
      <w:pPr>
        <w:spacing w:before="120" w:after="120"/>
      </w:pPr>
      <w:r>
        <w:rPr>
          <w:sz w:val="18"/>
        </w:rPr>
        <w:t>——————————————————————————————————————————————————————————————————————</w:t>
      </w:r>
    </w:p>
    <w:p>
      <w:pPr>
        <w:spacing w:before="160" w:after="40" w:line="240" w:lineRule="auto"/>
      </w:pPr>
      <w:r>
        <w:rPr>
          <w:b/>
        </w:rPr>
        <w:t xml:space="preserve">[300] </w:t>
      </w:r>
      <w:hyperlink r:id="rId916">
        <w:r>
          <w:rPr>
            <w:color w:val="1155CC"/>
            <w:u w:val="single"/>
          </w:rPr>
          <w:t>持续整合应激反应激活期间认知功能障碍的不同细胞类型特异性机制</w:t>
        </w:r>
      </w:hyperlink>
    </w:p>
    <w:p>
      <w:pPr>
        <w:spacing w:before="0" w:after="80"/>
      </w:pPr>
      <w:r>
        <w:rPr>
          <w:i/>
          <w:sz w:val="20"/>
        </w:rPr>
        <w:t>EN: Distinct cell type–specific mechanisms underlie cognitive dysfunction during persistent integrated stress response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2026-07-14 07:00:00+00:00</w:t>
      </w:r>
      <w:r>
        <w:t xml:space="preserve">    </w:t>
      </w:r>
      <w:r>
        <w:rPr>
          <w:b/>
        </w:rPr>
        <w:t xml:space="preserve">DOI: </w:t>
      </w:r>
      <w:hyperlink r:id="rId917">
        <w:r>
          <w:rPr>
            <w:color w:val="1155CC"/>
            <w:u w:val="single"/>
          </w:rPr>
          <w:t>10.1073/pnas.2537017123</w:t>
        </w:r>
      </w:hyperlink>
    </w:p>
    <w:p>
      <w:pPr>
        <w:spacing w:before="0" w:after="120"/>
      </w:pPr>
      <w:r>
        <w:rPr>
          <w:b/>
        </w:rPr>
        <w:t xml:space="preserve">Notes: </w:t>
      </w:r>
      <w:r>
        <w:t>abstract_source=crossref</w:t>
      </w:r>
    </w:p>
    <w:p>
      <w:pPr>
        <w:spacing w:before="0" w:after="80" w:lineRule="auto" w:line="276"/>
      </w:pPr>
      <w:r>
        <w:rPr>
          <w:b/>
        </w:rPr>
        <w:t xml:space="preserve">摘要（ZH）: </w:t>
      </w:r>
      <w:r>
        <w:t>综合应激反应（ISR）的持续激活是神经发育和神经退行性疾病认知能力下降的核心驱动因素。然而，这些缺陷背后的细胞类型特异性机制仍然知之甚少。通过整合单细胞 RNA-seq 和单细胞转座酶可访问染色质测序分析，我们使用以下方法生成了大脑 ISR 图谱：</w:t>
      </w:r>
      <w:r>
        <w:t xml:space="preserve"> </w:t>
      </w:r>
      <w:r>
        <w:t>ppp1r15b</w:t>
      </w:r>
      <w:r>
        <w:t xml:space="preserve"> </w:t>
      </w:r>
      <w:r>
        <w:t>R658C</w:t>
      </w:r>
      <w:r>
        <w:t xml:space="preserve"> </w:t>
      </w:r>
      <w:r>
        <w:t>小鼠，一种临床相关的智力障碍模型，其特征是选择性和持续的 ISR 激活。我们发现不同的脑细胞类型不同地参与转录和染色质重塑程序。值得注意的是，选择性删除 GABA 能神经元（而非谷氨酸能神经元）中主要的 ISR 下游效应子 ATF4，会加剧 ISR 介导的认知衰退。</w:t>
      </w:r>
      <w:r>
        <w:t xml:space="preserve"> </w:t>
      </w:r>
      <w:r>
        <w:t>ppp1r15b</w:t>
      </w:r>
      <w:r>
        <w:t xml:space="preserve"> </w:t>
      </w:r>
      <w:r>
        <w:t>R658C</w:t>
      </w:r>
      <w:r>
        <w:t xml:space="preserve"> </w:t>
      </w:r>
      <w:r>
        <w:t>小鼠，证明不同的神经元亚型依赖于不同的 ISR 效应器。我们定义了持续 ISR 激活的分子单细胞特征，可作为 ISR 介导的细胞脆弱性的指标，并作为人类认知障碍中认知功能障碍的生物标志物。这些发现表明，在持续的 ISR 激活过程中，细胞类型特异性反应会导致认知功能障碍。</w:t>
      </w:r>
    </w:p>
    <w:p>
      <w:pPr>
        <w:spacing w:before="0" w:after="200" w:lineRule="auto" w:line="276"/>
      </w:pPr>
      <w:r>
        <w:rPr>
          <w:b/>
        </w:rPr>
        <w:t xml:space="preserve">Abstract (EN): </w:t>
      </w:r>
      <w:r>
        <w:t>Persistent activation of the integrated stress response (ISR) is a central driver of cognitive decline in both neurodevelopmental and neurodegenerative disorders. However, the cell type–specific mechanisms underlying these deficits remain poorly understood. By integrating single-cell RNA-seq and single-cell assay for transposase-accessible chromatin sequencing, we generated a brain ISR atlas using</w:t>
      </w:r>
      <w:r>
        <w:t xml:space="preserve"> </w:t>
      </w:r>
      <w:r>
        <w:t>Ppp1r15b</w:t>
      </w:r>
      <w:r>
        <w:t xml:space="preserve"> </w:t>
      </w:r>
      <w:r>
        <w:t>R658C</w:t>
      </w:r>
      <w:r>
        <w:t xml:space="preserve"> </w:t>
      </w:r>
      <w:r>
        <w:t>mice, a clinically relevant model of intellectual disability characterized by selective and persistent ISR activation. We find that distinct brain cell types differentially engage transcriptional and chromatin remodeling programs. Notably, selective deletion of the major ISR downstream effector ATF4 in GABAergic neurons, but not in glutamatergic neurons, exacerbates ISR-mediated cognitive decline in</w:t>
      </w:r>
      <w:r>
        <w:t xml:space="preserve"> </w:t>
      </w:r>
      <w:r>
        <w:t>Ppp1r15b</w:t>
      </w:r>
      <w:r>
        <w:t xml:space="preserve"> </w:t>
      </w:r>
      <w:r>
        <w:t>R658C</w:t>
      </w:r>
      <w:r>
        <w:t xml:space="preserve"> </w:t>
      </w:r>
      <w:r>
        <w:t>mice, demonstrating that different neuronal subtypes rely on distinct ISR effectors. We define a molecular single-cell signature of persistent ISR activation that serves as a metric of ISR-mediated cellular vulnerability and as a biomarker for cognitive dysfunction across human cognitive disorders. These findings demonstrate that cell type–specific responses drive cognitive dysfunction during persistent ISR activation.</w:t>
      </w:r>
    </w:p>
    <w:p>
      <w:pPr>
        <w:spacing w:before="120" w:after="120"/>
      </w:pPr>
      <w:r>
        <w:rPr>
          <w:sz w:val="18"/>
        </w:rPr>
        <w:t>——————————————————————————————————————————————————————————————————————</w:t>
      </w:r>
    </w:p>
    <w:p>
      <w:pPr>
        <w:spacing w:before="160" w:after="40" w:line="240" w:lineRule="auto"/>
      </w:pPr>
      <w:r>
        <w:rPr>
          <w:b/>
        </w:rPr>
        <w:t xml:space="preserve">[301] </w:t>
      </w:r>
      <w:hyperlink r:id="rId918">
        <w:r>
          <w:rPr>
            <w:color w:val="1155CC"/>
            <w:u w:val="single"/>
          </w:rPr>
          <w:t>隐藏部门保管自然性</w:t>
        </w:r>
      </w:hyperlink>
    </w:p>
    <w:p>
      <w:pPr>
        <w:spacing w:before="0" w:after="80"/>
      </w:pPr>
      <w:r>
        <w:rPr>
          <w:i/>
          <w:sz w:val="20"/>
        </w:rPr>
        <w:t>EN: Hidden Sector Custodial Naturalness</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19">
        <w:r>
          <w:rPr>
            <w:color w:val="1155CC"/>
            <w:u w:val="single"/>
          </w:rPr>
          <w:t>10.1103/g4wr-5vfy</w:t>
        </w:r>
      </w:hyperlink>
    </w:p>
    <w:p>
      <w:pPr>
        <w:spacing w:before="0" w:after="120"/>
      </w:pPr>
      <w:r>
        <w:rPr>
          <w:b/>
        </w:rPr>
        <w:t xml:space="preserve">Notes: </w:t>
      </w:r>
      <w:r>
        <w:t>abstract_source=rss_description</w:t>
      </w:r>
    </w:p>
    <w:p>
      <w:pPr>
        <w:spacing w:before="0" w:after="80" w:lineRule="auto" w:line="276"/>
      </w:pPr>
      <w:r>
        <w:rPr>
          <w:b/>
        </w:rPr>
        <w:t xml:space="preserve">摘要（ZH）: </w:t>
      </w:r>
      <w:r>
        <w:t>作者：Thede de Boer、Manfred Lindner 和 Andreas Trautner 保管自然性是最近提出的一个想法，它结合了共形和标量扇区保管对称性来解决标准模型 (SM) 的弱电 (EW) 尺度层次问题。我们引入了一种新模型，无需扩展 SM 仪表组即可实现托管自然性。 T……[物理。莱特牧师。 137, 031801] 2026 年 7 月 14 日星期二发布</w:t>
      </w:r>
    </w:p>
    <w:p>
      <w:pPr>
        <w:spacing w:before="0" w:after="200" w:lineRule="auto" w:line="276"/>
      </w:pPr>
      <w:r>
        <w:rPr>
          <w:b/>
        </w:rPr>
        <w:t xml:space="preserve">Abstract (EN): </w:t>
      </w:r>
      <w:r>
        <w:t>Author(s): Thede de Boer, Manfred Lindner, and Andreas TrautnerCustodial naturalness is a recently introduced idea that combines conformal and scalar sector custodial symmetry to address the electroweak (EW) scale hierarchy problem of the standard model (SM). We introduce a new model that realizes custodial naturalness without extension of the SM gauge group. T…[Phys. Rev. Lett. 137, 031801] Published Tue Jul 14, 2026</w:t>
      </w:r>
    </w:p>
    <w:p>
      <w:pPr>
        <w:spacing w:before="120" w:after="120"/>
      </w:pPr>
      <w:r>
        <w:rPr>
          <w:sz w:val="18"/>
        </w:rPr>
        <w:t>——————————————————————————————————————————————————————————————————————</w:t>
      </w:r>
    </w:p>
    <w:p>
      <w:pPr>
        <w:spacing w:before="160" w:after="40" w:line="240" w:lineRule="auto"/>
      </w:pPr>
      <w:r>
        <w:rPr>
          <w:b/>
        </w:rPr>
        <w:t xml:space="preserve">[302] </w:t>
      </w:r>
      <w:hyperlink r:id="rId920">
        <w:r>
          <w:rPr>
            <w:color w:val="1155CC"/>
            <w:u w:val="single"/>
          </w:rPr>
          <w:t>使用$J/ψ→p{π}^{−}\overline{n}$研究$\overline{n}p→2{π}^{+}{π}^{−}$、$2{π}^{+}{π}^{−}{π}^{0}$和$2{π}^{+}{π}^{−}2{π}^{0}$反应</w:t>
        </w:r>
      </w:hyperlink>
    </w:p>
    <w:p>
      <w:pPr>
        <w:spacing w:before="0" w:after="80"/>
      </w:pPr>
      <w:r>
        <w:rPr>
          <w:i/>
          <w:sz w:val="20"/>
        </w:rPr>
        <w:t>EN: Study of the Reactions $\overline{n}p→2{π}^{+}{π}^{−}$, $2{π}^{+}{π}^{−}{π}^{0}$, and $2{π}^{+}{π}^{−}2{π}^{0}$ Using $J/ψ→p{π}^{−}\overline{n}$</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21">
        <w:r>
          <w:rPr>
            <w:color w:val="1155CC"/>
            <w:u w:val="single"/>
          </w:rPr>
          <w:t>10.1103/nm5t-qk3h</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合作）我们报告了对反应 $\overline{n}p→2{π}^{+}{π}^{−}$、$\overline{n}p→2{π}^{+}{π}^{−}{π}^{0}$ 和 $\overline{n}p→2{π}^{+}{π}^{−}2{π}^{0}$ 的实验研究，使用$(10.087±0.044)×{10}^{9}\text{ }\text{ }J/ψ$事件由BEPCII存储环上的BESIII探测器收集。 ...[物理。牧师神父。莱特。 137, 031902] 7 月 14 日星期二发布，</w:t>
      </w:r>
    </w:p>
    <w:p>
      <w:pPr>
        <w:spacing w:before="0" w:after="200" w:lineRule="auto" w:line="276"/>
      </w:pPr>
      <w:r>
        <w:rPr>
          <w:b/>
        </w:rPr>
        <w:t xml:space="preserve">Abstract (EN): </w:t>
      </w:r>
      <w:r>
        <w:t>Author(s): M. Ablikim et al. (BESIII Collaboration)We report an experimental investigation of the reactions $\overline{n}p→2{π}^{+}{π}^{−}$, $\overline{n}p→2{π}^{+}{π}^{−}{π}^{0}$, and $\overline{n}p→2{π}^{+}{π}^{−}2{π}^{0}$ using $(10.087±0.044)×{10}^{9}\text{ }\text{ }J/ψ$ events collected with the BESIII detector at the BEPCII storage ring. The a…[Phys. Rev. Lett. 137, 031902] Published Tue Jul 14, 2026</w:t>
      </w:r>
    </w:p>
    <w:p>
      <w:pPr>
        <w:spacing w:before="120" w:after="120"/>
      </w:pPr>
      <w:r>
        <w:rPr>
          <w:sz w:val="18"/>
        </w:rPr>
        <w:t>——————————————————————————————————————————————————————————————————————</w:t>
      </w:r>
    </w:p>
    <w:p>
      <w:pPr>
        <w:spacing w:before="160" w:after="40" w:line="240" w:lineRule="auto"/>
      </w:pPr>
      <w:r>
        <w:rPr>
          <w:b/>
        </w:rPr>
        <w:t xml:space="preserve">[303] </w:t>
      </w:r>
      <w:hyperlink r:id="rId922">
        <w:r>
          <w:rPr>
            <w:color w:val="1155CC"/>
            <w:u w:val="single"/>
          </w:rPr>
          <w:t>具有分数不确定性的原子钟频率比 $≤3.2×{10}^{−18}$</w:t>
        </w:r>
      </w:hyperlink>
    </w:p>
    <w:p>
      <w:pPr>
        <w:spacing w:before="0" w:after="80"/>
      </w:pPr>
      <w:r>
        <w:rPr>
          <w:i/>
          <w:sz w:val="20"/>
        </w:rPr>
        <w:t>EN: Atomic Clock Frequency Ratios with Fractional Uncertainty $≤3.2×{10}^{−18}$</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23">
        <w:r>
          <w:rPr>
            <w:color w:val="1155CC"/>
            <w:u w:val="single"/>
          </w:rPr>
          <w:t>10.1103/g865-9mk1</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作者：Alexander Aeppli 等人。 （BACON Collaboration）我们报告了基于 $^{27}{\mathrm{Al}}^{+}$、$^{171}\mathrm{Yb}$ 和 $^{87}\mathrm{Sr}$ 的光学原子钟之间的高精度频率比测量。总分数不确定性等于或低于 3.2×{10}^{−18}$，这些测量结果满足重新定义的重要里程碑标准……[Phys.莱特牧师。 137, 033201] 2026 年 7 月 14 日星期二发布</w:t>
      </w:r>
    </w:p>
    <w:p>
      <w:pPr>
        <w:spacing w:before="0" w:after="200" w:lineRule="auto" w:line="276"/>
      </w:pPr>
      <w:r>
        <w:rPr>
          <w:b/>
        </w:rPr>
        <w:t xml:space="preserve">Abstract (EN): </w:t>
      </w:r>
      <w:r>
        <w:t>Author(s): Alexander Aeppli et al. (BACON Collaboration)We report high-precision frequency ratio measurements between optical atomic clocks based on $^{27}{\mathrm{Al}}^{+}$, $^{171}\mathrm{Yb}$, and $^{87}\mathrm{Sr}$. With total fractional uncertainties at or below $3.2×{10}^{−18}$, these measurements meet an important milestone criterion for redefinit…[Phys. Rev. Lett. 137, 033201] Published Tue Jul 14, 2026</w:t>
      </w:r>
    </w:p>
    <w:p>
      <w:pPr>
        <w:spacing w:before="120" w:after="120"/>
      </w:pPr>
      <w:r>
        <w:rPr>
          <w:sz w:val="18"/>
        </w:rPr>
        <w:t>——————————————————————————————————————————————————————————————————————</w:t>
      </w:r>
    </w:p>
    <w:p>
      <w:pPr>
        <w:spacing w:before="160" w:after="40" w:line="240" w:lineRule="auto"/>
      </w:pPr>
      <w:r>
        <w:rPr>
          <w:b/>
        </w:rPr>
        <w:t xml:space="preserve">[304] </w:t>
      </w:r>
      <w:hyperlink r:id="rId924">
        <w:r>
          <w:rPr>
            <w:color w:val="1155CC"/>
            <w:u w:val="single"/>
          </w:rPr>
          <w:t>超重元素116合成的理论研究</w:t>
        </w:r>
      </w:hyperlink>
    </w:p>
    <w:p>
      <w:pPr>
        <w:spacing w:before="0" w:after="80"/>
      </w:pPr>
      <w:r>
        <w:rPr>
          <w:i/>
          <w:sz w:val="20"/>
        </w:rPr>
        <w:t>EN: Theoretical study of the synthesis of superheavy element 116</w:t>
      </w:r>
    </w:p>
    <w:p>
      <w:pPr>
        <w:spacing w:before="0" w:after="120"/>
      </w:pPr>
      <w:r>
        <w:rPr>
          <w:b/>
        </w:rPr>
        <w:t xml:space="preserve">Source: </w:t>
      </w:r>
      <w:r>
        <w:t>Recent Articles in Phys. Rev. C</w:t>
      </w:r>
      <w:r>
        <w:t xml:space="preserve">    </w:t>
      </w:r>
      <w:r>
        <w:rPr>
          <w:b/>
        </w:rPr>
        <w:t xml:space="preserve">Pub date: </w:t>
      </w:r>
      <w:r>
        <w:t>2026-07-14 10:00:00+00:00</w:t>
      </w:r>
      <w:r>
        <w:t xml:space="preserve">    </w:t>
      </w:r>
      <w:r>
        <w:rPr>
          <w:b/>
        </w:rPr>
        <w:t xml:space="preserve">DOI: </w:t>
      </w:r>
      <w:hyperlink r:id="rId925">
        <w:r>
          <w:rPr>
            <w:color w:val="1155CC"/>
            <w:u w:val="single"/>
          </w:rPr>
          <w:t>10.1103/2wnk-dpxp</w:t>
        </w:r>
      </w:hyperlink>
    </w:p>
    <w:p>
      <w:pPr>
        <w:spacing w:before="0" w:after="120"/>
      </w:pPr>
      <w:r>
        <w:rPr>
          <w:b/>
        </w:rPr>
        <w:t xml:space="preserve">Notes: </w:t>
      </w:r>
      <w:r>
        <w:t>abstract_source=rss_description</w:t>
      </w:r>
    </w:p>
    <w:p>
      <w:pPr>
        <w:spacing w:before="0" w:after="80" w:lineRule="auto" w:line="276"/>
      </w:pPr>
      <w:r>
        <w:rPr>
          <w:b/>
        </w:rPr>
        <w:t xml:space="preserve">摘要（ZH）: </w:t>
      </w:r>
      <w:r>
        <w:t>作者：李东敏、赵维娟、王兵基于计算俘获截面的经验耦合通道模型和计算生存概率的统计模型，我们应用双核系统模型研究超重元素116的合成。理论结果可以系统地重现……[Phys. Rev. C 114, 014616] 于 2026 年 7 月 14 日星期二发布</w:t>
      </w:r>
    </w:p>
    <w:p>
      <w:pPr>
        <w:spacing w:before="0" w:after="200" w:lineRule="auto" w:line="276"/>
      </w:pPr>
      <w:r>
        <w:rPr>
          <w:b/>
        </w:rPr>
        <w:t xml:space="preserve">Abstract (EN): </w:t>
      </w:r>
      <w:r>
        <w:t>Author(s): Dong-Min Li (李东敏), Wei-Juan Zhao (赵维娟), and Bing Wang (王兵)Based on the empirical coupled-channel model for calculating the capture cross section and the statistical model for calculating the survival probability, we apply the dinuclear system model for investigating the synthesis of superheavy element 116. The theoretical results can systematically reprodu…[Phys. Rev. C 114, 014616] Published Tue Jul 14, 2026</w:t>
      </w:r>
    </w:p>
    <w:p>
      <w:pPr>
        <w:spacing w:before="120" w:after="120"/>
      </w:pPr>
      <w:r>
        <w:rPr>
          <w:sz w:val="18"/>
        </w:rPr>
        <w:t>——————————————————————————————————————————————————————————————————————</w:t>
      </w:r>
    </w:p>
    <w:p>
      <w:pPr>
        <w:spacing w:before="160" w:after="40" w:line="240" w:lineRule="auto"/>
      </w:pPr>
      <w:r>
        <w:rPr>
          <w:b/>
        </w:rPr>
        <w:t xml:space="preserve">[305] </w:t>
      </w:r>
      <w:hyperlink r:id="rId926">
        <w:r>
          <w:rPr>
            <w:color w:val="1155CC"/>
            <w:u w:val="single"/>
          </w:rPr>
          <w:t>软薄膜的深压痕超出 $10%$ 规则</w:t>
        </w:r>
      </w:hyperlink>
    </w:p>
    <w:p>
      <w:pPr>
        <w:spacing w:before="0" w:after="80"/>
      </w:pPr>
      <w:r>
        <w:rPr>
          <w:i/>
          <w:sz w:val="20"/>
        </w:rPr>
        <w:t>EN: Deep Indentation of Soft Thin Films Beyond the $10%$ Rule</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27">
        <w:r>
          <w:rPr>
            <w:color w:val="1155CC"/>
            <w:u w:val="single"/>
          </w:rPr>
          <w:t>10.1103/8s5j-63xf</w:t>
        </w:r>
      </w:hyperlink>
    </w:p>
    <w:p>
      <w:pPr>
        <w:spacing w:before="0" w:after="120"/>
      </w:pPr>
      <w:r>
        <w:rPr>
          <w:b/>
        </w:rPr>
        <w:t xml:space="preserve">Notes: </w:t>
      </w:r>
      <w:r>
        <w:t>abstract_source=rss_description</w:t>
      </w:r>
    </w:p>
    <w:p>
      <w:pPr>
        <w:spacing w:before="0" w:after="80" w:lineRule="auto" w:line="276"/>
      </w:pPr>
      <w:r>
        <w:rPr>
          <w:b/>
        </w:rPr>
        <w:t xml:space="preserve">摘要（ZH）: </w:t>
      </w:r>
      <w:r>
        <w:t>作者：黄璐、戴兆和 压痕是感受物质硬度的最简单方法之一。然而，解释压痕需要小心，特别是对于薄膜（例如由刚性基材支撑的生物细胞或软涂层），因为基材效应可以使薄膜看起来更硬……[物理。莱特牧师。 137, 036201] 2026 年 7 月 14 日星期二发布</w:t>
      </w:r>
    </w:p>
    <w:p>
      <w:pPr>
        <w:spacing w:before="0" w:after="200" w:lineRule="auto" w:line="276"/>
      </w:pPr>
      <w:r>
        <w:rPr>
          <w:b/>
        </w:rPr>
        <w:t xml:space="preserve">Abstract (EN): </w:t>
      </w:r>
      <w:r>
        <w:t>Author(s): Huang Lu and Zhaohe DaiIndentation is one of the simplest ways to feel the stiffness of matter. Interpreting indentation, however, requires care, especially for thin films—such as biological cells or soft coatings supported by rigid substrates—because the substrate effect can make a film appear orders of magnitude stiffer…[Phys. Rev. Lett. 137, 036201] Published Tue Jul 14, 2026</w:t>
      </w:r>
    </w:p>
    <w:p>
      <w:pPr>
        <w:spacing w:before="120" w:after="120"/>
      </w:pPr>
      <w:r>
        <w:rPr>
          <w:sz w:val="18"/>
        </w:rPr>
        <w:t>——————————————————————————————————————————————————————————————————————</w:t>
      </w:r>
    </w:p>
    <w:p>
      <w:pPr>
        <w:spacing w:before="160" w:after="40" w:line="240" w:lineRule="auto"/>
      </w:pPr>
      <w:r>
        <w:rPr>
          <w:b/>
        </w:rPr>
        <w:t xml:space="preserve">[306] </w:t>
      </w:r>
      <w:hyperlink r:id="rId928">
        <w:r>
          <w:rPr>
            <w:color w:val="1155CC"/>
            <w:u w:val="single"/>
          </w:rPr>
          <w:t>无磁场下的公度-不公度莫特转变：XXZ链中向列Luttinger液体的出现</w:t>
        </w:r>
      </w:hyperlink>
    </w:p>
    <w:p>
      <w:pPr>
        <w:spacing w:before="0" w:after="80"/>
      </w:pPr>
      <w:r>
        <w:rPr>
          <w:i/>
          <w:sz w:val="20"/>
        </w:rPr>
        <w:t>EN: Commensurate-Incommensurate Mott Transition without Magnetic Field: Emergence of Nematic Luttinger Liquid in XXZ Chain</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29">
        <w:r>
          <w:rPr>
            <w:color w:val="1155CC"/>
            <w:u w:val="single"/>
          </w:rPr>
          <w:t>10.1103/5j3k-hztz</w:t>
        </w:r>
      </w:hyperlink>
    </w:p>
    <w:p>
      <w:pPr>
        <w:spacing w:before="0" w:after="120"/>
      </w:pPr>
      <w:r>
        <w:rPr>
          <w:b/>
        </w:rPr>
        <w:t xml:space="preserve">Notes: </w:t>
      </w:r>
      <w:r>
        <w:t>abstract_source=rss_description</w:t>
      </w:r>
    </w:p>
    <w:p>
      <w:pPr>
        <w:spacing w:before="0" w:after="80" w:lineRule="auto" w:line="276"/>
      </w:pPr>
      <w:r>
        <w:rPr>
          <w:b/>
        </w:rPr>
        <w:t xml:space="preserve">摘要（ZH）: </w:t>
      </w:r>
      <w:r>
        <w:t>作者：Julien Fitouchi 和 Natalia Chepiga 我们研究了强相互作用状态下具有竞争性铁磁最近邻和反铁磁次近邻交换耦合的自旋 $1/2$ 链的零磁化强度和基态相图。使用密度矩阵重整化群 (DMRG) 模拟，w…[Phys。莱特牧师。 137, 036503] 2026 年 7 月 14 日星期二发布</w:t>
      </w:r>
    </w:p>
    <w:p>
      <w:pPr>
        <w:spacing w:before="0" w:after="200" w:lineRule="auto" w:line="276"/>
      </w:pPr>
      <w:r>
        <w:rPr>
          <w:b/>
        </w:rPr>
        <w:t xml:space="preserve">Abstract (EN): </w:t>
      </w:r>
      <w:r>
        <w:t>Author(s): Julien Fitouchi and Natalia ChepigaWe investigate the zero magnetization and ground state phase diagram of a spin-$1/2$ chain with competing ferromagnetic nearest-neighbor and antiferromagnetic next-nearest-neighbor exchange couplings in the strongly interacting regime. Using density matrix renormalization group (DMRG) simulations, w…[Phys. Rev. Lett. 137, 036503] Published Tue Jul 14, 2026</w:t>
      </w:r>
    </w:p>
    <w:p>
      <w:pPr>
        <w:spacing w:before="120" w:after="120"/>
      </w:pPr>
      <w:r>
        <w:rPr>
          <w:sz w:val="18"/>
        </w:rPr>
        <w:t>——————————————————————————————————————————————————————————————————————</w:t>
      </w:r>
    </w:p>
    <w:p>
      <w:pPr>
        <w:spacing w:before="160" w:after="40" w:line="240" w:lineRule="auto"/>
      </w:pPr>
      <w:r>
        <w:rPr>
          <w:b/>
        </w:rPr>
        <w:t xml:space="preserve">[307] </w:t>
      </w:r>
      <w:hyperlink r:id="rId930">
        <w:r>
          <w:rPr>
            <w:color w:val="1155CC"/>
            <w:u w:val="single"/>
          </w:rPr>
          <w:t>八极磁序中的赝手性声子</w:t>
        </w:r>
      </w:hyperlink>
    </w:p>
    <w:p>
      <w:pPr>
        <w:spacing w:before="0" w:after="80"/>
      </w:pPr>
      <w:r>
        <w:rPr>
          <w:i/>
          <w:sz w:val="20"/>
        </w:rPr>
        <w:t>EN: Pseudochiral Phonons from Octupolar Magnetic Order</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31">
        <w:r>
          <w:rPr>
            <w:color w:val="1155CC"/>
            <w:u w:val="single"/>
          </w:rPr>
          <w:t>10.1103/n11w-csdh</w:t>
        </w:r>
      </w:hyperlink>
    </w:p>
    <w:p>
      <w:pPr>
        <w:spacing w:before="0" w:after="120"/>
      </w:pPr>
      <w:r>
        <w:rPr>
          <w:b/>
        </w:rPr>
        <w:t xml:space="preserve">Notes: </w:t>
      </w:r>
      <w:r>
        <w:t>abstract_source=rss_description</w:t>
      </w:r>
    </w:p>
    <w:p>
      <w:pPr>
        <w:spacing w:before="0" w:after="80" w:lineRule="auto" w:line="276"/>
      </w:pPr>
      <w:r>
        <w:rPr>
          <w:b/>
        </w:rPr>
        <w:t xml:space="preserve">摘要（ZH）: </w:t>
      </w:r>
      <w:r>
        <w:t>作者：Ruairidh Sutcliffe、Kathleen Hart、Swati Chaudhary 和 Arun Paramekanti 受最近发现偶极磁体中手性声子异常大的磁响应的启发，我们引入了伪手性声子的概念，该概念出现在多极磁体中。我们考虑拉曼活性量子声子，例如双峰 ${E}_{g}$ 声子 $({d}_{{x}^{2}−…[Phys. Rev. Lett. 137, 036703] 于 2026 年 7 月 14 日星期二发布</w:t>
      </w:r>
    </w:p>
    <w:p>
      <w:pPr>
        <w:spacing w:before="0" w:after="200" w:lineRule="auto" w:line="276"/>
      </w:pPr>
      <w:r>
        <w:rPr>
          <w:b/>
        </w:rPr>
        <w:t xml:space="preserve">Abstract (EN): </w:t>
      </w:r>
      <w:r>
        <w:t>Author(s): Ruairidh Sutcliffe, Kathleen Hart, Swati Chaudhary, and Arun ParamekantiMotivated by the recent discovery of anomalously large magnetic response of chiral phonons in dipolar magnets, we introduce the concept of pseudochiral phonons which are shown to emerge in multipolar magnets. We consider Raman active quantum phonons, such as doublet ${E}_{g}$ phonons $({d}_{{x}^{2}−…[Phys. Rev. Lett. 137, 036703] Published Tue Jul 14, 2026</w:t>
      </w:r>
    </w:p>
    <w:p>
      <w:pPr>
        <w:spacing w:before="120" w:after="120"/>
      </w:pPr>
      <w:r>
        <w:rPr>
          <w:sz w:val="18"/>
        </w:rPr>
        <w:t>——————————————————————————————————————————————————————————————————————</w:t>
      </w:r>
    </w:p>
    <w:p>
      <w:pPr>
        <w:spacing w:before="160" w:after="40" w:line="240" w:lineRule="auto"/>
      </w:pPr>
      <w:r>
        <w:rPr>
          <w:b/>
        </w:rPr>
        <w:t xml:space="preserve">[308] </w:t>
      </w:r>
      <w:hyperlink r:id="rId932">
        <w:r>
          <w:rPr>
            <w:color w:val="1155CC"/>
            <w:u w:val="single"/>
          </w:rPr>
          <w:t>基于双核系统模型的低能重离子碰撞非俘获转移</w:t>
        </w:r>
      </w:hyperlink>
    </w:p>
    <w:p>
      <w:pPr>
        <w:spacing w:before="0" w:after="80"/>
      </w:pPr>
      <w:r>
        <w:rPr>
          <w:i/>
          <w:sz w:val="20"/>
        </w:rPr>
        <w:t>EN: Noncapture transfer in low-energy heavy-ion collisions based on a dinuclear system model</w:t>
      </w:r>
    </w:p>
    <w:p>
      <w:pPr>
        <w:spacing w:before="0" w:after="120"/>
      </w:pPr>
      <w:r>
        <w:rPr>
          <w:b/>
        </w:rPr>
        <w:t xml:space="preserve">Source: </w:t>
      </w:r>
      <w:r>
        <w:t>Recent Articles in Phys. Rev. C</w:t>
      </w:r>
      <w:r>
        <w:t xml:space="preserve">    </w:t>
      </w:r>
      <w:r>
        <w:rPr>
          <w:b/>
        </w:rPr>
        <w:t xml:space="preserve">Pub date: </w:t>
      </w:r>
      <w:r>
        <w:t>2026-07-14 10:00:00+00:00</w:t>
      </w:r>
      <w:r>
        <w:t xml:space="preserve">    </w:t>
      </w:r>
      <w:r>
        <w:rPr>
          <w:b/>
        </w:rPr>
        <w:t xml:space="preserve">DOI: </w:t>
      </w:r>
      <w:hyperlink r:id="rId933">
        <w:r>
          <w:rPr>
            <w:color w:val="1155CC"/>
            <w:u w:val="single"/>
          </w:rPr>
          <w:t>10.1103/sqhm-bpsb</w:t>
        </w:r>
      </w:hyperlink>
    </w:p>
    <w:p>
      <w:pPr>
        <w:spacing w:before="0" w:after="120"/>
      </w:pPr>
      <w:r>
        <w:rPr>
          <w:b/>
        </w:rPr>
        <w:t xml:space="preserve">Notes: </w:t>
      </w:r>
      <w:r>
        <w:t>abstract_source=rss_description</w:t>
      </w:r>
    </w:p>
    <w:p>
      <w:pPr>
        <w:spacing w:before="0" w:after="80" w:lineRule="auto" w:line="276"/>
      </w:pPr>
      <w:r>
        <w:rPr>
          <w:b/>
        </w:rPr>
        <w:t xml:space="preserve">摘要（ZH）: </w:t>
      </w:r>
      <w:r>
        <w:t>作者：Xingxin Luo、Cheng Li、Ya-Xian Wu、Yu-Bing Li、Xin-Rui Zhang、Junlong Tian、Qianqian Du、Ning Wang、Hui-Xiao Duan 和 Feng-Shou Zhu 我们提出了一种改进的双核系统（DNS）模型，用于在统一框架内描述捕获和非捕获转移反应。这项工作的主要改进包括引入非捕获传递过程和动态变形机制。多核子转移（MNT）……[物理。 Rev. C 114, 014617] 2026 年 7 月 14 日星期二发布</w:t>
      </w:r>
    </w:p>
    <w:p>
      <w:pPr>
        <w:spacing w:before="0" w:after="200" w:lineRule="auto" w:line="276"/>
      </w:pPr>
      <w:r>
        <w:rPr>
          <w:b/>
        </w:rPr>
        <w:t xml:space="preserve">Abstract (EN): </w:t>
      </w:r>
      <w:r>
        <w:t>Author(s): Xingxin Luo, Cheng Li, Ya-Xian Wu, Yu-Bing Li, Xin-Rui Zhang, Junlong Tian, Qianqian Du, Ning Wang, Hui-Xiao Duan, and Feng-Shou ZhangWe propose an improved dinuclear system (DNS) model to describe both capture and noncapture transfer reactions within a unified framework. The main improvements in this work include the introduction of noncapture transfer processes and dynamic deformation mechanisms. The multinucleon transfer (MNT) …[Phys. Rev. C 114, 014617] Published Tue Jul 14, 2026</w:t>
      </w:r>
    </w:p>
    <w:p>
      <w:pPr>
        <w:spacing w:before="120" w:after="120"/>
      </w:pPr>
      <w:r>
        <w:rPr>
          <w:sz w:val="18"/>
        </w:rPr>
        <w:t>——————————————————————————————————————————————————————————————————————</w:t>
      </w:r>
    </w:p>
    <w:p>
      <w:pPr>
        <w:spacing w:before="160" w:after="40" w:line="240" w:lineRule="auto"/>
      </w:pPr>
      <w:r>
        <w:rPr>
          <w:b/>
        </w:rPr>
        <w:t xml:space="preserve">[309] </w:t>
      </w:r>
      <w:hyperlink r:id="rId934">
        <w:r>
          <w:rPr>
            <w:color w:val="1155CC"/>
            <w:u w:val="single"/>
          </w:rPr>
          <w:t>演示氘对标准模型扩展控制的对称性破坏的增强敏感性</w:t>
        </w:r>
      </w:hyperlink>
    </w:p>
    <w:p>
      <w:pPr>
        <w:spacing w:before="0" w:after="80"/>
      </w:pPr>
      <w:r>
        <w:rPr>
          <w:i/>
          <w:sz w:val="20"/>
        </w:rPr>
        <w:t>EN: Demonstration of Deuterium’s Enhanced Sensitivity to Symmetry Violations Governed by the Standard-Model Extension</w:t>
      </w:r>
    </w:p>
    <w:p>
      <w:pPr>
        <w:spacing w:before="0" w:after="120"/>
      </w:pPr>
      <w:r>
        <w:rPr>
          <w:b/>
        </w:rPr>
        <w:t xml:space="preserve">Source: </w:t>
      </w:r>
      <w:r>
        <w:t>Recent Articles in Phys. Rev. Lett.</w:t>
      </w:r>
      <w:r>
        <w:t xml:space="preserve">    </w:t>
      </w:r>
      <w:r>
        <w:rPr>
          <w:b/>
        </w:rPr>
        <w:t xml:space="preserve">Pub date: </w:t>
      </w:r>
      <w:r>
        <w:t>2026-07-14 10:00:00+00:00</w:t>
      </w:r>
      <w:r>
        <w:t xml:space="preserve">    </w:t>
      </w:r>
      <w:r>
        <w:rPr>
          <w:b/>
        </w:rPr>
        <w:t xml:space="preserve">DOI: </w:t>
      </w:r>
      <w:hyperlink r:id="rId935">
        <w:r>
          <w:rPr>
            <w:color w:val="1155CC"/>
            <w:u w:val="single"/>
          </w:rPr>
          <w:t>10.1103/dqvd-15q4</w:t>
        </w:r>
      </w:hyperlink>
    </w:p>
    <w:p>
      <w:pPr>
        <w:spacing w:before="0" w:after="120"/>
      </w:pPr>
      <w:r>
        <w:rPr>
          <w:b/>
        </w:rPr>
        <w:t xml:space="preserve">Notes: </w:t>
      </w:r>
      <w:r>
        <w:t>abstract_source=rss_description</w:t>
      </w:r>
    </w:p>
    <w:p>
      <w:pPr>
        <w:spacing w:before="0" w:after="80" w:lineRule="auto" w:line="276"/>
      </w:pPr>
      <w:r>
        <w:rPr>
          <w:b/>
        </w:rPr>
        <w:t xml:space="preserve">摘要（ZH）: </w:t>
      </w:r>
      <w:r>
        <w:t>作者：A. Nanda、D. Comparat、O. Dulieu、S. Lahs、C. Malbrunot、L. Nowak、M. C. Simon 和 E. Widmann 我们对基态氘的两个跃迁进行了超精细光谱分析，并寻找违反 $CPT$ 和洛伦兹对称性的情况，这些对称性将表现为观察到的跃迁频率的恒星变化。标准模型广延的几个非相对论质子系数……[物理学。莱特牧师。 137, 031802] 2026 年 7 月 14 日星期二发布</w:t>
      </w:r>
    </w:p>
    <w:p>
      <w:pPr>
        <w:spacing w:before="0" w:after="200" w:lineRule="auto" w:line="276"/>
      </w:pPr>
      <w:r>
        <w:rPr>
          <w:b/>
        </w:rPr>
        <w:t xml:space="preserve">Abstract (EN): </w:t>
      </w:r>
      <w:r>
        <w:t>Author(s): A. Nanda, D. Comparat, O. Dulieu, S. Lahs, C. Malbrunot, L. Nowak, M. C. Simon, and E. WidmannWe have performed hyperfine spectroscopy of two transitions in ground-state deuterium and searched for violations of $CPT$ and Lorentz symmetry that would manifest as sidereal variations of the observed transition frequencies. Several nonrelativistic proton coefficients of the Standard-Model extensi…[Phys. Rev. Lett. 137, 031802] Published Tue Jul 14, 2026</w:t>
      </w:r>
    </w:p>
    <w:p>
      <w:pPr>
        <w:spacing w:before="120" w:after="120"/>
      </w:pPr>
      <w:r>
        <w:rPr>
          <w:sz w:val="18"/>
        </w:rPr>
        <w:t>——————————————————————————————————————————————————————————————————————</w:t>
      </w:r>
    </w:p>
    <w:p>
      <w:pPr>
        <w:spacing w:before="160" w:after="40" w:line="240" w:lineRule="auto"/>
      </w:pPr>
      <w:r>
        <w:rPr>
          <w:b/>
        </w:rPr>
        <w:t xml:space="preserve">[310] </w:t>
      </w:r>
      <w:hyperlink r:id="rId936">
        <w:r>
          <w:rPr>
            <w:color w:val="1155CC"/>
            <w:u w:val="single"/>
          </w:rPr>
          <w:t>脂质界面的构象转换：白喉毒素、BCL-2 凋亡调节因子和 pHLIP 的重折叠和膜插入的经验教训</w:t>
        </w:r>
      </w:hyperlink>
    </w:p>
    <w:p>
      <w:pPr>
        <w:spacing w:before="0" w:after="80"/>
      </w:pPr>
      <w:r>
        <w:rPr>
          <w:i/>
          <w:sz w:val="20"/>
        </w:rPr>
        <w:t>EN: Conformational Switching on Lipid Interfaces: Lessons from Refolding and Membrane Insertion of Diphtheria Toxin, BCL-2 Apoptotic Regulators and pHLIP</w:t>
      </w:r>
    </w:p>
    <w:p>
      <w:pPr>
        <w:spacing w:before="0" w:after="120"/>
      </w:pPr>
      <w:r>
        <w:rPr>
          <w:b/>
        </w:rPr>
        <w:t xml:space="preserve">Source: </w:t>
      </w:r>
      <w:r>
        <w:t>Chemical Reviews: Latest Articles (ACS Publications)</w:t>
      </w:r>
      <w:r>
        <w:t xml:space="preserve">    </w:t>
      </w:r>
      <w:r>
        <w:rPr>
          <w:b/>
        </w:rPr>
        <w:t xml:space="preserve">Pub date: </w:t>
      </w:r>
      <w:r>
        <w:t>2026-07-15 00:00:00+00:00</w:t>
      </w:r>
      <w:r>
        <w:t xml:space="preserve">    </w:t>
      </w:r>
      <w:r>
        <w:rPr>
          <w:b/>
        </w:rPr>
        <w:t xml:space="preserve">DOI: </w:t>
      </w:r>
      <w:hyperlink r:id="rId937">
        <w:r>
          <w:rPr>
            <w:color w:val="1155CC"/>
            <w:u w:val="single"/>
          </w:rPr>
          <w:t>10.1021/acs.chemrev.5c00939</w:t>
        </w:r>
      </w:hyperlink>
    </w:p>
    <w:p>
      <w:pPr>
        <w:spacing w:before="0" w:after="120"/>
      </w:pPr>
      <w:r>
        <w:rPr>
          <w:b/>
        </w:rPr>
        <w:t xml:space="preserve">Notes: </w:t>
      </w:r>
      <w:r>
        <w:t>abstract_source=pubmed</w:t>
      </w:r>
    </w:p>
    <w:p>
      <w:pPr>
        <w:spacing w:before="0" w:after="80" w:lineRule="auto" w:line="276"/>
      </w:pPr>
      <w:r>
        <w:rPr>
          <w:b/>
        </w:rPr>
        <w:t xml:space="preserve">摘要（ZH）: </w:t>
      </w:r>
      <w:r>
        <w:t>蛋白质从水溶性构象到插入膜构象的构象转换对于许多细胞过程至关重要：细菌毒素通过内体逃逸进入细胞、Bcl-2 蛋白家族的细胞凋亡调节以保护或破坏线粒体外膜，以及 pH-Low-Insertion-P 肽 pHLIP 的肿瘤靶向。这里描述了构象转换的几种经验机制，说明了如何通过 pH 和二价阳离子触发和调节膜活性构象的形成和随后的膜插入，并遵守目标膜脂质组成的变化。尽管白喉毒素易位（T）结构域的水溶性构象与促凋亡BAX和抗凋亡Bcl-xL的水溶性构象结构相似，但它们相应的插入途径和构象转换模式明显不同。 T 结构域的构象转换是通过溶液中关键组氨酸残基的质子化启动的，而在 Bcl-2 蛋白 BAX 和 Bcl-xL 中，它发生在膜附近。因此，脂质双层组成的变化（例如心磷脂的局部富集）会影响 Bcl-2 蛋白的插入和功能。 pHLIP 的构象转换通过 pH 依赖性和 Ca2+ 依赖性机制发生在膜界面上，这受到脂质组成的强烈影响。</w:t>
      </w:r>
    </w:p>
    <w:p>
      <w:pPr>
        <w:spacing w:before="0" w:after="200" w:lineRule="auto" w:line="276"/>
      </w:pPr>
      <w:r>
        <w:rPr>
          <w:b/>
        </w:rPr>
        <w:t xml:space="preserve">Abstract (EN): </w:t>
      </w:r>
      <w:r>
        <w:t>The conformational switching of a protein from its water-soluble conformation to its membrane-inserted conformation is critical for many cellular processes: cellular entry of bacterial toxins via escape from the endosome, apoptotic regulation by the Bcl-2 protein family to preserve or disrupt the outer mitochondrial membrane, and tumor targeting by pH-Low-Insertion-P eptide pHLIP. Here, several empirical mechanisms of conformational switching are described, illustrating how the formation of membrane-competent conformation and subsequent membrane insertion can be triggered and modulated by pH and divalent cations, abided by changes in lipid composition of the target membranes. Despite structural similarities of the water-soluble conformations of the diphtheria toxin translocation (T) domain with that of proapoptotic BAX and antiapoptotic Bcl-xL, their corresponding insertion pathways and modes of conformational switching are markedly different. The conformational switching of the T-domain is initiated by protonation of key histidine residues in solution, while in the Bcl-2 proteins BAX and Bcl-xL, it occurs in the membrane proximity. Consequently, changes in the composition of the lipid bilayer (e.g., local enrichment in cardiolipin) can affect insertion and functioning of Bcl-2 proteins. Conformational switching of pHLIP occurs on membrane interfaces via pH-dependent and Ca2+-dependent mechanisms, which is strongly influenced by lipid composition.</w:t>
      </w:r>
    </w:p>
    <w:p>
      <w:pPr>
        <w:spacing w:before="120" w:after="120"/>
      </w:pPr>
      <w:r>
        <w:rPr>
          <w:sz w:val="18"/>
        </w:rPr>
        <w:t>——————————————————————————————————————————————————————————————————————</w:t>
      </w:r>
    </w:p>
    <w:p>
      <w:pPr>
        <w:spacing w:before="160" w:after="40" w:line="240" w:lineRule="auto"/>
      </w:pPr>
      <w:r>
        <w:rPr>
          <w:b/>
        </w:rPr>
        <w:t xml:space="preserve">[311] </w:t>
      </w:r>
      <w:hyperlink r:id="rId938">
        <w:r>
          <w:rPr>
            <w:color w:val="1155CC"/>
            <w:u w:val="single"/>
          </w:rPr>
          <w:t>实用生物催化硫代磷酸化的 ATPγS 回收策略</w:t>
        </w:r>
      </w:hyperlink>
    </w:p>
    <w:p>
      <w:pPr>
        <w:spacing w:before="0" w:after="80"/>
      </w:pPr>
      <w:r>
        <w:rPr>
          <w:i/>
          <w:sz w:val="20"/>
        </w:rPr>
        <w:t>EN: An ATPγS recycling strategy for practical biocatalytic thiophosphorylation</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39">
        <w:r>
          <w:rPr>
            <w:color w:val="1155CC"/>
            <w:u w:val="single"/>
          </w:rPr>
          <w:t>10.1038/s41586-026-10895-9</w:t>
        </w:r>
      </w:hyperlink>
    </w:p>
    <w:p>
      <w:pPr>
        <w:spacing w:before="0" w:after="120"/>
      </w:pPr>
      <w:r>
        <w:rPr>
          <w:b/>
        </w:rPr>
        <w:t xml:space="preserve">Notes: </w:t>
      </w:r>
      <w:r>
        <w:t>abstract_source=nature_html</w:t>
      </w:r>
    </w:p>
    <w:p>
      <w:pPr>
        <w:spacing w:before="0" w:after="80" w:lineRule="auto" w:line="276"/>
      </w:pPr>
      <w:r>
        <w:rPr>
          <w:b/>
        </w:rPr>
        <w:t xml:space="preserve">摘要（ZH）: </w:t>
      </w:r>
      <w:r>
        <w:t>鉴于其卓越的代谢稳定性，硫代磷酸基序被广泛认为是其天然磷酸盐对应物的有价值的替代品1-3。这一特性导致硫代磷酸酯和硫代磷酸酯被纳入各种治疗方式中，例如反义寡核苷酸4,5和环状二核苷酸类似物6。从生物化学角度来看，硫代磷酸盐可以通过结合蛋白激酶和腺苷-5'-O-(3-硫代三磷酸) (ATPγS)7 来安装在蛋白质上，但该方法从未在其他底物类别上进行过探索，并且难以扩大规模，因为它需要超化学计量的昂贵的 ATPγS。在这里，我们报告了 ATPγS 回收策略的发明，该策略通过使用专门设计的肌酸衍生物来转化激酶反应副产物，从而规避了这些限制。所开发的方案显着提高了酶促硫代磷酸化的实用性，并且与许多激酶兼容。该策略的多功能性在多酶级联设计中得到了证明，用于合成各种含硫代磷酸盐的小分子和大分子，包括核苷5'-单硫代磷酸酯、3',5'-环状单硫代磷酸酯和硫代磷酸化寡肽。我们的研究结果为药物开发中含硫代磷酸盐模式的新生物催化方法打开了大门。</w:t>
      </w:r>
    </w:p>
    <w:p>
      <w:pPr>
        <w:spacing w:before="0" w:after="200" w:lineRule="auto" w:line="276"/>
      </w:pPr>
      <w:r>
        <w:rPr>
          <w:b/>
        </w:rPr>
        <w:t xml:space="preserve">Abstract (EN): </w:t>
      </w:r>
      <w:r>
        <w:t>In light of its superior metabolic stability, the thiophosphate motif is widely regarded as a valuable substitute for its native phosphate counterpart1–3. This property has led to the incorporation of thiophosphates and phosphorothioates in various therapeutic modalities, such as antisense oligonucleotides4,5 and cyclic dinucleotide analogs6. Biochemically, thiophosphates can be installed on proteins by combining protein kinases and adenosine-5′-O-(3-thio-triphosphate) (ATPγS)7, but the method has never been explored on additional substrate classes and is impractical to scale up because it requires superstoichiometric amounts of the expensive ATPγS. Here, we report the invention of an ATPγS recycling strategy, which circumvents these limitations through the use of a specially designed creatine derivative to turn over the kinase reaction byproduct. The developed protocol significantly improves the practicality of enzymatic thiophosphorylation and is compatible with many kinases. The versatility of the strategy is demonstrated in the design of multi-enzyme cascades to synthesize a diverse range of thiophosphate-containing small and macromolecules, including nucleoside 5′-monothiophosphates, 3′,5′-cyclic monophosphorothioates and thiophosphorylated oligopeptides. Our findings open the door for new biocatalytic approaches to thiophosphate-containing modalities in drug development endeavors.</w:t>
      </w:r>
    </w:p>
    <w:p>
      <w:pPr>
        <w:spacing w:before="120" w:after="120"/>
      </w:pPr>
      <w:r>
        <w:rPr>
          <w:sz w:val="18"/>
        </w:rPr>
        <w:t>——————————————————————————————————————————————————————————————————————</w:t>
      </w:r>
    </w:p>
    <w:p>
      <w:pPr>
        <w:spacing w:before="160" w:after="40" w:line="240" w:lineRule="auto"/>
      </w:pPr>
      <w:r>
        <w:rPr>
          <w:b/>
        </w:rPr>
        <w:t xml:space="preserve">[312] </w:t>
      </w:r>
      <w:hyperlink r:id="rId940">
        <w:r>
          <w:rPr>
            <w:color w:val="1155CC"/>
            <w:u w:val="single"/>
          </w:rPr>
          <w:t>量子统计等离子体超晶体</w:t>
        </w:r>
      </w:hyperlink>
    </w:p>
    <w:p>
      <w:pPr>
        <w:spacing w:before="0" w:after="80"/>
      </w:pPr>
      <w:r>
        <w:rPr>
          <w:i/>
          <w:sz w:val="20"/>
        </w:rPr>
        <w:t>EN: Quantum statistical plasmonic metacrystals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41">
        <w:r>
          <w:rPr>
            <w:color w:val="1155CC"/>
            <w:u w:val="single"/>
          </w:rPr>
          <w:t>10.1038/s41586-026-10782-3</w:t>
        </w:r>
      </w:hyperlink>
    </w:p>
    <w:p>
      <w:pPr>
        <w:spacing w:before="0" w:after="120"/>
      </w:pPr>
      <w:r>
        <w:rPr>
          <w:b/>
        </w:rPr>
        <w:t xml:space="preserve">Notes: </w:t>
      </w:r>
      <w:r>
        <w:t>abstract_source=nature_html</w:t>
      </w:r>
    </w:p>
    <w:p>
      <w:pPr>
        <w:spacing w:before="0" w:after="80" w:lineRule="auto" w:line="276"/>
      </w:pPr>
      <w:r>
        <w:rPr>
          <w:b/>
        </w:rPr>
        <w:t xml:space="preserve">摘要（ZH）: </w:t>
      </w:r>
      <w:r>
        <w:t>控制量子多体动力学的工程材料仍然具有挑战性，因为多粒子相互作用通常会产生难以预测的复杂的涌现行为1,2。在这里，我们介绍了量子统计等离子体超晶体，在这种结构中，由光学近场介导的多粒子动力学产生了禁止的量子统计带，可以选择性地传输不同类型的光。这种功能源于由充当元原子的纳米天线组成的等离子体结构。具有允许带内统计数据的多光子场传播时不会失真，而禁带内的场则被抑制或驱动至最近的可访问统计状态。我们证明这些能带是由元原子的几何形状和集体排列决定的，为工程量子统计输运提供了确定性途径。该平台建立了一种对多体光子系统的量子相干性本质上敏感的室温量子材料，从而实现了其强大的操纵和传输4。我们的结果对用于能量收集的相干敏感光子材料和可扩展的多体量子技术具有影响2,5。</w:t>
      </w:r>
    </w:p>
    <w:p>
      <w:pPr>
        <w:spacing w:before="0" w:after="200" w:lineRule="auto" w:line="276"/>
      </w:pPr>
      <w:r>
        <w:rPr>
          <w:b/>
        </w:rPr>
        <w:t xml:space="preserve">Abstract (EN): </w:t>
      </w:r>
      <w:r>
        <w:t>Engineering materials that control quantum many-body dynamics remains challenging, as multiparticle interactions typically produce complex emergent behaviour that is difficult to predict1,2. Here we introduce quantum statistical plasmonic metacrystals, structures in which the multiparticle dynamics mediated by optical near fields produce forbidden quantum statistical bands that enable selective transmission of different types of light. This functionality arises from a plasmonic structure composed of nanoantennas acting as meta-atoms3. Multiphoton fields with statistics within the allowed bands propagate without distortion, whereas fields in forbidden bands are suppressed or driven towards the nearest accessible statistical state. We show that these bands are determined by the geometry and collective arrangement of the meta-atoms, providing a deterministic route to engineering quantum statistical transport. This platform establishes a room-temperature quantum material intrinsically sensitive to the quantum coherence of many-body photonic systems, enabling their robust manipulation and transport4. Our results have implications for coherence-sensitive photonic materials for energy harvesting and scalable many-body quantum technologies2,5.</w:t>
      </w:r>
    </w:p>
    <w:p>
      <w:pPr>
        <w:spacing w:before="120" w:after="120"/>
      </w:pPr>
      <w:r>
        <w:rPr>
          <w:sz w:val="18"/>
        </w:rPr>
        <w:t>——————————————————————————————————————————————————————————————————————</w:t>
      </w:r>
    </w:p>
    <w:p>
      <w:pPr>
        <w:spacing w:before="160" w:after="40" w:line="240" w:lineRule="auto"/>
      </w:pPr>
      <w:r>
        <w:rPr>
          <w:b/>
        </w:rPr>
        <w:t xml:space="preserve">[313] </w:t>
      </w:r>
      <w:hyperlink r:id="rId942">
        <w:r>
          <w:rPr>
            <w:color w:val="1155CC"/>
            <w:u w:val="single"/>
          </w:rPr>
          <w:t>让裸鼹鼠女王“统治”的简单化学物质</w:t>
        </w:r>
      </w:hyperlink>
    </w:p>
    <w:p>
      <w:pPr>
        <w:spacing w:before="0" w:after="80"/>
      </w:pPr>
      <w:r>
        <w:rPr>
          <w:i/>
          <w:sz w:val="20"/>
        </w:rPr>
        <w:t>EN: The simple chemical that lets queen naked mole-rats 'rule'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43">
        <w:r>
          <w:rPr>
            <w:color w:val="1155CC"/>
            <w:u w:val="single"/>
          </w:rPr>
          <w:t>10.1038/d41586-026-02186-0</w:t>
        </w:r>
      </w:hyperlink>
    </w:p>
    <w:p>
      <w:pPr>
        <w:spacing w:before="0" w:after="120"/>
      </w:pPr>
      <w:r>
        <w:rPr>
          <w:b/>
        </w:rPr>
        <w:t xml:space="preserve">Notes: </w:t>
      </w:r>
      <w:r>
        <w:t>abstract_source=nature_html</w:t>
      </w:r>
    </w:p>
    <w:p>
      <w:pPr>
        <w:spacing w:before="0" w:after="80" w:lineRule="auto" w:line="276"/>
      </w:pPr>
      <w:r>
        <w:rPr>
          <w:b/>
        </w:rPr>
        <w:t xml:space="preserve">摘要（ZH）: </w:t>
      </w:r>
      <w:r>
        <w:t>这些奇怪的哺乳动物极端的社会结构背后的机制一直是一个长期存在的谜团。这些奇怪的哺乳动物极端的社会结构背后的机制一直是一个长期存在的谜团。</w:t>
      </w:r>
    </w:p>
    <w:p>
      <w:pPr>
        <w:spacing w:before="0" w:after="200" w:lineRule="auto" w:line="276"/>
      </w:pPr>
      <w:r>
        <w:rPr>
          <w:b/>
        </w:rPr>
        <w:t xml:space="preserve">Abstract (EN): </w:t>
      </w:r>
      <w:r>
        <w:t>The mechanism behind these strange mammals' extreme social structure has been a long-standing puzzle. The mechanism behind these strange mammals' extreme social structure has been a long-standing puzzle.</w:t>
      </w:r>
    </w:p>
    <w:p>
      <w:pPr>
        <w:spacing w:before="120" w:after="120"/>
      </w:pPr>
      <w:r>
        <w:rPr>
          <w:sz w:val="18"/>
        </w:rPr>
        <w:t>——————————————————————————————————————————————————————————————————————</w:t>
      </w:r>
    </w:p>
    <w:p>
      <w:pPr>
        <w:spacing w:before="160" w:after="40" w:line="240" w:lineRule="auto"/>
      </w:pPr>
      <w:r>
        <w:rPr>
          <w:b/>
        </w:rPr>
        <w:t xml:space="preserve">[314] </w:t>
      </w:r>
      <w:hyperlink r:id="rId944">
        <w:r>
          <w:rPr>
            <w:color w:val="1155CC"/>
            <w:u w:val="single"/>
          </w:rPr>
          <w:t>粮食系统转型将重塑全球农业</w:t>
        </w:r>
      </w:hyperlink>
    </w:p>
    <w:p>
      <w:pPr>
        <w:spacing w:before="0" w:after="80"/>
      </w:pPr>
      <w:r>
        <w:rPr>
          <w:i/>
          <w:sz w:val="20"/>
        </w:rPr>
        <w:t>EN: Food systems transformation would reshape global agriculture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45">
        <w:r>
          <w:rPr>
            <w:color w:val="1155CC"/>
            <w:u w:val="single"/>
          </w:rPr>
          <w:t>10.1038/s41586-026-10775-2</w:t>
        </w:r>
      </w:hyperlink>
    </w:p>
    <w:p>
      <w:pPr>
        <w:spacing w:before="0" w:after="120"/>
      </w:pPr>
      <w:r>
        <w:rPr>
          <w:b/>
        </w:rPr>
        <w:t xml:space="preserve">Notes: </w:t>
      </w:r>
      <w:r>
        <w:t>abstract_source=nature_html</w:t>
      </w:r>
    </w:p>
    <w:p>
      <w:pPr>
        <w:spacing w:before="0" w:after="80" w:lineRule="auto" w:line="276"/>
      </w:pPr>
      <w:r>
        <w:rPr>
          <w:b/>
        </w:rPr>
        <w:t xml:space="preserve">摘要（ZH）: </w:t>
      </w:r>
      <w:r>
        <w:t>粮食系统是超出地球界限的主要原因1,2,3，而劣质饮食是全球主要的死亡风险4。预计的人口和收入增长可能会加剧这些挑战5。对此，有人呼吁向健康和可持续的粮食系统转型6,7,8。然而，这种转变对农业影响的规模和分布尚未得到充分探讨。在此，我们表明，到 2050 年，粮食系统将转向健康饮食（采用 EAT-Lancet 参考饮食）、生产力提高和食物浪费减半，从而导致全球农业发生根本性重组，其中某些方面打破了历史趋势。使用十个全球经济模型的多模型集合进行的情景模拟显示，与 2020 年的水平相比，农业用地中位数减少了 6%（+1% 至 -26%）。到 2050 年，农业产量将比正常预测低 17%（-2% 至 -32%），从经济角度看，农业生产价值将减少 1.6 万亿美元（26%）（+8% 至 -58%）。其中，畜牧业产值将大大低于目前的2050年预测（-49%至-83%），而蔬菜、水果、坚果和豆类产值将增加23%（-33%至+106%）。结果取决于实现转型场景的假设政策。我们强调粮食政策应发挥更积极的作用，考虑这种转变的好处（改善人口健康和减少环境压力）并驾驭其影响的政治经济学。</w:t>
      </w:r>
    </w:p>
    <w:p>
      <w:pPr>
        <w:spacing w:before="0" w:after="200" w:lineRule="auto" w:line="276"/>
      </w:pPr>
      <w:r>
        <w:rPr>
          <w:b/>
        </w:rPr>
        <w:t xml:space="preserve">Abstract (EN): </w:t>
      </w:r>
      <w:r>
        <w:t>Food systems are a major contributor to exceeding planetary boundaries1,2,3 and poor quality diets are a key mortality risk globally4. Projected population and income growth could exacerbate these challenges5. In response, there are calls for transformation towards healthy and sustainable food systems6,7,8. However, the scale and distribution of the impacts of this transformation on agriculture are underexplored. Here we show that, by 2050, the transformation of food systems towards healthy diets (adoption of the EAT–Lancet reference diet), improved productivity and halving of food waste results in a fundamental restructuring of global agriculture, aspects of which break with historical trends. Scenario simulations using a multimodel ensemble of ten global economic models show a 6% median decrease in agricultural land (+1% to −26%) compared with 2020 levels. By 2050, agricultural production would be 17% lower than business-as-usual projections (−2% to −32%) and, economically, the value of this production is US$1.6 trillion (26%) lower (+8% to −58%). Within this, the value of livestock production would be substantially lower than current 2050 projections (−49% to −83%), while vegetable, fruit, nut and legume production value would increase by 23% (−33% to +106%). Results are dependent on the assumed policies to achieve the transformation scenario. We highlight a more active role for food policy to consider the benefits of such a transformation (improved population health and reduced environmental pressures) and navigate the political economy of its impacts.</w:t>
      </w:r>
    </w:p>
    <w:p>
      <w:pPr>
        <w:spacing w:before="120" w:after="120"/>
      </w:pPr>
      <w:r>
        <w:rPr>
          <w:sz w:val="18"/>
        </w:rPr>
        <w:t>——————————————————————————————————————————————————————————————————————</w:t>
      </w:r>
    </w:p>
    <w:p>
      <w:pPr>
        <w:spacing w:before="160" w:after="40" w:line="240" w:lineRule="auto"/>
      </w:pPr>
      <w:r>
        <w:rPr>
          <w:b/>
        </w:rPr>
        <w:t xml:space="preserve">[315] </w:t>
      </w:r>
      <w:hyperlink r:id="rId946">
        <w:r>
          <w:rPr>
            <w:color w:val="1155CC"/>
            <w:u w:val="single"/>
          </w:rPr>
          <w:t>具有弹性多稳定性的气动忆阻器</w:t>
        </w:r>
      </w:hyperlink>
    </w:p>
    <w:p>
      <w:pPr>
        <w:spacing w:before="0" w:after="80"/>
      </w:pPr>
      <w:r>
        <w:rPr>
          <w:i/>
          <w:sz w:val="20"/>
        </w:rPr>
        <w:t>EN: Pneumatic memristor enabled by elastic multistabilities</w:t>
      </w:r>
    </w:p>
    <w:p>
      <w:pPr>
        <w:spacing w:before="0" w:after="120"/>
      </w:pPr>
      <w:r>
        <w:rPr>
          <w:b/>
        </w:rPr>
        <w:t xml:space="preserve">Source: </w:t>
      </w:r>
      <w:r>
        <w:t>Matter</w:t>
      </w:r>
      <w:r>
        <w:t xml:space="preserve">    </w:t>
      </w:r>
      <w:r>
        <w:rPr>
          <w:b/>
        </w:rPr>
        <w:t xml:space="preserve">Pub date: </w:t>
      </w:r>
      <w:r>
        <w:t>2026-07-15 00:00:00+00:00</w:t>
      </w:r>
      <w:r>
        <w:t xml:space="preserve">    </w:t>
      </w:r>
      <w:r>
        <w:rPr>
          <w:b/>
        </w:rPr>
        <w:t xml:space="preserve">DOI: </w:t>
      </w:r>
      <w:hyperlink r:id="rId947">
        <w:r>
          <w:rPr>
            <w:color w:val="1155CC"/>
            <w:u w:val="single"/>
          </w:rPr>
          <w:t>10.1016/j.matt.2026.102920</w:t>
        </w:r>
      </w:hyperlink>
    </w:p>
    <w:p>
      <w:pPr>
        <w:spacing w:before="0" w:after="120"/>
      </w:pPr>
      <w:r>
        <w:rPr>
          <w:b/>
        </w:rPr>
        <w:t xml:space="preserve">Notes: </w:t>
      </w:r>
      <w:r>
        <w:t>abstract_source=rss_cell</w:t>
      </w:r>
    </w:p>
    <w:p>
      <w:pPr>
        <w:spacing w:before="0" w:after="80" w:lineRule="auto" w:line="276"/>
      </w:pPr>
      <w:r>
        <w:rPr>
          <w:b/>
        </w:rPr>
        <w:t xml:space="preserve">摘要（ZH）: </w:t>
      </w:r>
      <w:r>
        <w:t>机械系统通常依赖电子元件来存储和处理信息。这项工作介绍了一种气动忆阻器，它通过利用弹性双稳态将内存和计算集成到单个机械设备中。由此产生的与历史相关的压力流行为使得无需电子设备的可编程机械逻辑成为可能，为实现自适应、非冯·诺依曼机械智能提供了一条新途径。</w:t>
      </w:r>
    </w:p>
    <w:p>
      <w:pPr>
        <w:spacing w:before="0" w:after="200" w:lineRule="auto" w:line="276"/>
      </w:pPr>
      <w:r>
        <w:rPr>
          <w:b/>
        </w:rPr>
        <w:t xml:space="preserve">Abstract (EN): </w:t>
      </w:r>
      <w:r>
        <w:t>Mechanical systems typically rely on electronic components to store and process information. This work introduces a pneumatic memristor that integrates memory and computation within a single mechanical device by exploiting elastic bistability. The resulting history-dependent pressure-flow behavior enables programmable mechanical logic without electronics, providing a new route toward adaptive, non-von Neumann mechanical intelligence.</w:t>
      </w:r>
    </w:p>
    <w:p>
      <w:pPr>
        <w:spacing w:before="120" w:after="120"/>
      </w:pPr>
      <w:r>
        <w:rPr>
          <w:sz w:val="18"/>
        </w:rPr>
        <w:t>——————————————————————————————————————————————————————————————————————</w:t>
      </w:r>
    </w:p>
    <w:p>
      <w:pPr>
        <w:spacing w:before="160" w:after="40" w:line="240" w:lineRule="auto"/>
      </w:pPr>
      <w:r>
        <w:rPr>
          <w:b/>
        </w:rPr>
        <w:t xml:space="preserve">[316] </w:t>
      </w:r>
      <w:hyperlink r:id="rId948">
        <w:r>
          <w:rPr>
            <w:color w:val="1155CC"/>
            <w:u w:val="single"/>
          </w:rPr>
          <w:t>法学硕士指导的能源系统拓扑重构安全强化学习</w:t>
        </w:r>
      </w:hyperlink>
    </w:p>
    <w:p>
      <w:pPr>
        <w:spacing w:before="0" w:after="80"/>
      </w:pPr>
      <w:r>
        <w:rPr>
          <w:i/>
          <w:sz w:val="20"/>
        </w:rPr>
        <w:t>EN: LLM-guided safe reinforcement learning for energy system topology reconfiguration</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[317] </w:t>
      </w:r>
      <w:hyperlink r:id="rId949">
        <w:r>
          <w:rPr>
            <w:color w:val="1155CC"/>
            <w:u w:val="single"/>
          </w:rPr>
          <w:t>考虑WT-PV互补性和多重不确定性的虚拟电厂参与电力市场的两阶段分布式鲁棒竞价策略</w:t>
        </w:r>
      </w:hyperlink>
    </w:p>
    <w:p>
      <w:pPr>
        <w:spacing w:before="0" w:after="80"/>
      </w:pPr>
      <w:r>
        <w:rPr>
          <w:i/>
          <w:sz w:val="20"/>
        </w:rPr>
        <w:t>EN: Two-stage distributionally robust bidding strategy of virtual power plants participating in electricity markets considering WT-PV complementarity and multiple uncertainties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[318] </w:t>
      </w:r>
      <w:hyperlink r:id="rId950">
        <w:r>
          <w:rPr>
            <w:color w:val="1155CC"/>
            <w:u w:val="single"/>
          </w:rPr>
          <w:t>基于运行信息融合的混合储能电动拖拉机分级自适应能量管理</w:t>
        </w:r>
      </w:hyperlink>
    </w:p>
    <w:p>
      <w:pPr>
        <w:spacing w:before="0" w:after="80"/>
      </w:pPr>
      <w:r>
        <w:rPr>
          <w:i/>
          <w:sz w:val="20"/>
        </w:rPr>
        <w:t>EN: Hierarchical adaptive energy management for electric tractors with hybrid energy storage systems based on operational information fusion</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[319] </w:t>
      </w:r>
      <w:hyperlink r:id="rId951">
        <w:r>
          <w:rPr>
            <w:color w:val="1155CC"/>
            <w:u w:val="single"/>
          </w:rPr>
          <w:t>珊瑚代谢组质量和污染物负荷追踪人类土地利用</w:t>
        </w:r>
      </w:hyperlink>
    </w:p>
    <w:p>
      <w:pPr>
        <w:spacing w:before="0" w:after="80"/>
      </w:pPr>
      <w:r>
        <w:rPr>
          <w:i/>
          <w:sz w:val="20"/>
        </w:rPr>
        <w:t>EN: Coral metabolome quality and contaminant loads track human land use</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人类活动对珊瑚礁等脆弱的海洋生态系统构成重大风险，特别是那些靠近人口中心的生态系统。尽管珊瑚礁是面临最大风险的系统之一，但污染物暴露与生态系统扰动梯度下的珊瑚健康之间的关系仍然知之甚少。我们对来自 16 个地点的 380 颗珊瑚进行的代谢组学分析表明，珊瑚代谢组可以预测人为生态系统的干扰。我们发现，流域内和海洋生态系统中的人类活动改变了珊瑚代谢组的化学多样性，这与珊瑚覆盖的历史趋势有直接关系：氮储量和代谢组能量潜力减少，而在受影响较大的地点，应激代谢物则丰富。我们进一步确定了珊瑚代谢组中积累的来自农业、美容、工业和制药来源的 25 种人为污染物。我们的结果表明，人类活动造成的污染物的生物累积和珊瑚代谢组的成分变化与珊瑚底栖覆盖有关。总之，我们的研究结果表明，珊瑚健康、珊瑚内危险污染物的积累以及人为干扰之间存在直接关系，这种关系在不同物种之间是一致的。</w:t>
      </w:r>
    </w:p>
    <w:p>
      <w:pPr>
        <w:spacing w:before="0" w:after="200" w:lineRule="auto" w:line="276"/>
      </w:pPr>
      <w:r>
        <w:rPr>
          <w:b/>
        </w:rPr>
        <w:t xml:space="preserve">Abstract (EN): </w:t>
      </w:r>
      <w:r>
        <w:t>Anthropogenic activities pose a significant risk to vulnerable marine ecosystems like coral reefs, particularly those near human population centers. Despite coral reefs being one of the systems most at risk, the relationship between contaminant exposure and coral health across gradients of ecosystem disturbance remains poorly understood. Our metabolomic analysis of 380 corals from 16 sites spanning an anthropogenic impact gradient reveals that the coral metabolome is predictive of anthropogenic ecosystem disturbance. We found that human activities both within catchments and in the marine ecosystem altered the chemodiversity of coral metabolomes with a direct relationship to historic trends in coral cover: nitrogen reserves and metabolome energetic potential are reduced, while stress metabolites are enriched at more impacted sites. We further identify 25 anthropogenic contaminants from agricultural, cosmetological, industrial, and pharmaceutical sources accumulated in coral metabolomes. Our results suggest that the bioaccumulation of pollutants and compositional changes in the metabolome of corals imposed by anthropogenic activities is correlated with coral benthic cover. Together, our findings suggest a direct relationship between coral health, accumulation of dangerous contaminants within corals, and anthropogenic disturbance that is consistent across species.</w:t>
      </w:r>
    </w:p>
    <w:p>
      <w:pPr>
        <w:spacing w:before="120" w:after="120"/>
      </w:pPr>
      <w:r>
        <w:rPr>
          <w:sz w:val="18"/>
        </w:rPr>
        <w:t>——————————————————————————————————————————————————————————————————————</w:t>
      </w:r>
    </w:p>
    <w:p>
      <w:pPr>
        <w:spacing w:before="160" w:after="40" w:line="240" w:lineRule="auto"/>
      </w:pPr>
      <w:r>
        <w:rPr>
          <w:b/>
        </w:rPr>
        <w:t xml:space="preserve">[320] </w:t>
      </w:r>
      <w:hyperlink r:id="rId952">
        <w:r>
          <w:rPr>
            <w:color w:val="1155CC"/>
            <w:u w:val="single"/>
          </w:rPr>
          <w:t>格陵兰岛北部海平面上升和下降重组了北极淡水向北大西洋的出口</w:t>
        </w:r>
      </w:hyperlink>
    </w:p>
    <w:p>
      <w:pPr>
        <w:spacing w:before="0" w:after="80"/>
      </w:pPr>
      <w:r>
        <w:rPr>
          <w:i/>
          <w:sz w:val="20"/>
        </w:rPr>
        <w:t>EN: Sea level rise and fall north of Greenland reorganize Arctic freshwater export to North Atlantic</w:t>
      </w:r>
    </w:p>
    <w:p>
      <w:pPr>
        <w:spacing w:before="0" w:after="120"/>
      </w:pPr>
      <w:r>
        <w:rPr>
          <w:b/>
        </w:rPr>
        <w:t xml:space="preserve">Source: </w:t>
      </w:r>
      <w:r>
        <w:t>Earth and environmental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北极淡水通过弗拉姆海峡和加拿大北极群岛输往北大西洋，其分流影响副极地海洋分层。气候变暖将如何改变这些出口途径尚不清楚。在这里，我们展示了格陵兰岛以北的动态海平面最初随着波弗特环流的清新而上升，但一旦全球变暖超过工业化前水平约 3 K，随着含盐量更高的欧亚水域入侵，格陵兰岛北部的动态海平面会再次下降。这种非单调的海平面演变重新调整了格陵兰岛北部的地表地转环流，并重新组织了北极液态淡水的输出路径。因此，通过弗拉姆海峡的北冰洋出口量份额增加了约 40%，然后再次下降。卫星观测已经表明最后冰区的海平面正在上升，这表明这种转变可能正在发生，弗拉姆海峡正在成为液态淡水和相关化学示踪剂的主要北极出口门户。这些变化可能对北大西洋盐度、生物地球化学和气候产生重要影响。</w:t>
      </w:r>
    </w:p>
    <w:p>
      <w:pPr>
        <w:spacing w:before="0" w:after="200" w:lineRule="auto" w:line="276"/>
      </w:pPr>
      <w:r>
        <w:rPr>
          <w:b/>
        </w:rPr>
        <w:t xml:space="preserve">Abstract (EN): </w:t>
      </w:r>
      <w:r>
        <w:t>Arctic freshwater is exported to the North Atlantic through Fram Strait and the Canadian Arctic Archipelago, and its partitioning influences subpolar ocean stratification. How climate warming will alter these export pathways remains unclear. Here we show that dynamic sea level north of Greenland initially rises as the Beaufort Gyre freshens, but falls again as saltier Eurasian waters intrude once global warming exceeds approximately 3 K above preindustrial levels. This nonmonotonic sea-level evolution reorients surface geostrophic circulation north of Greenland and reorganizes Arctic liquid freshwater export pathways. As a result, the share of Arctic Ocean volume export through Fram Strait increases by about 40% before declining again. Satellite observations already indicate rising sea levels in the Last Ice Area, suggesting that this transition may be underway and that Fram Strait is emerging as a major Arctic export gateway for liquid freshwater and associated chemical tracers. Such changes could have important implications for North Atlantic salinity, biogeochemistry, and climate.</w:t>
      </w:r>
    </w:p>
    <w:p>
      <w:pPr>
        <w:spacing w:before="120" w:after="120"/>
      </w:pPr>
      <w:r>
        <w:rPr>
          <w:sz w:val="18"/>
        </w:rPr>
        <w:t>——————————————————————————————————————————————————————————————————————</w:t>
      </w:r>
    </w:p>
    <w:p>
      <w:pPr>
        <w:spacing w:before="160" w:after="40" w:line="240" w:lineRule="auto"/>
      </w:pPr>
      <w:r>
        <w:rPr>
          <w:b/>
        </w:rPr>
        <w:t xml:space="preserve">[321] </w:t>
      </w:r>
      <w:hyperlink r:id="rId953">
        <w:r>
          <w:rPr>
            <w:color w:val="1155CC"/>
            <w:u w:val="single"/>
          </w:rPr>
          <w:t>模块化体内抗体——ADC点击逆转肿瘤耐药性</w:t>
        </w:r>
      </w:hyperlink>
    </w:p>
    <w:p>
      <w:pPr>
        <w:spacing w:before="0" w:after="80"/>
      </w:pPr>
      <w:r>
        <w:rPr>
          <w:i/>
          <w:sz w:val="20"/>
        </w:rPr>
        <w:t>EN: Modular in vivo antibody–ADC click to reverse drug resistance in tumours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54">
        <w:r>
          <w:rPr>
            <w:color w:val="1155CC"/>
            <w:u w:val="single"/>
          </w:rPr>
          <w:t>10.1038/s41586-026-10789-w</w:t>
        </w:r>
      </w:hyperlink>
    </w:p>
    <w:p>
      <w:pPr>
        <w:spacing w:before="0" w:after="120"/>
      </w:pPr>
      <w:r>
        <w:rPr>
          <w:b/>
        </w:rPr>
        <w:t xml:space="preserve">Notes: </w:t>
      </w:r>
      <w:r>
        <w:t>abstract_source=nature_html</w:t>
      </w:r>
    </w:p>
    <w:p>
      <w:pPr>
        <w:spacing w:before="0" w:after="80" w:lineRule="auto" w:line="276"/>
      </w:pPr>
      <w:r>
        <w:rPr>
          <w:b/>
        </w:rPr>
        <w:t xml:space="preserve">摘要（ZH）: </w:t>
      </w:r>
      <w:r>
        <w:t>抗体药物偶联物（ADC）能够选择性地将细胞毒性药物递送至肿瘤细胞，从而显着推进了癌症治疗。然而，ADC 的功效仍然受到其对单一靶抗原的依赖的限制，这限制了肿瘤靶向并促进具有可变和低抗原表达的异质肿瘤的耐药性1,2,3,4,5,6。在这里，我们介绍了一种体内生物正交连接策略，该策略可在全身给药后生成功能性抗体 - ADC 点击构建体。该平台提供了一种模块化和可翻译的方法，用于增强异质肿瘤中的靶向药物输送。我们将治疗性抗体和 ADC 与反式环辛烯和四嗪部分结合进行顺序给药，以便在全身递送后能够在体内连接抗体与 ADC。在 HER2 和 EGFR 共表达的临床前模型中，抗体-ADC 点击方法证明了相对于标准 ADC 单一疗法或抗体加 ADC 组合的抗肿瘤活性有所改善。其中包括 HER2 表达低、超低、阴性或异质性以及对传统 HER2 靶向 ADC 耐药或不适合的肿瘤。这种模块化策略利用受体生物学和生物正交化学来实现最佳治疗效果，并且不需要广泛的抗体重新设计。此外，抗体-ADC点击方法可以扩展到其他受体对，这使其成为一个灵活的模块化平台，可以解决不同肿瘤类型间的异质性和对靶向治疗的耐药性。</w:t>
      </w:r>
    </w:p>
    <w:p>
      <w:pPr>
        <w:spacing w:before="0" w:after="200" w:lineRule="auto" w:line="276"/>
      </w:pPr>
      <w:r>
        <w:rPr>
          <w:b/>
        </w:rPr>
        <w:t xml:space="preserve">Abstract (EN): </w:t>
      </w:r>
      <w:r>
        <w:t>Antibody–drug conjugates (ADCs) have significantly advanced cancer therapy by enabling the selective delivery of cytotoxic agents to tumour cells. However, ADC efficacy remains constrained by its dependence on a single target antigen, which limits tumour targeting and promotes resistance in heterogeneous tumours with variable and low antigen expression1,2,3,4,5,6. Here we introduce an in vivo bioorthogonal ligation strategy that generates functional antibody–ADC click constructs following systemic administration. This platform provides a modular and translatable approach for enhanced targeted drug delivery in heterogeneous tumours. We conjugate therapeutic antibodies and ADCs with trans-cyclooctene and tetrazine moieties for sequential administration to enable in vivo ligation of an antibody with an ADC after systemic delivery. The antibody–ADC click approach demonstrated improved antitumour activity relative to standard ADC monotherapy or antibody plus ADC combinations in preclinical models of HER2 and EGFR co-expression. These included tumours with low, ultralow, negative or heterogeneous HER2 expression and resistant or ineligible for conventional HER2-directed ADCs. This modular strategy leverages receptor biology and bioorthogonal chemistry for optimal therapeutic efficacy and does not require extensive antibody re-engineering. Moreover, the antibody–ADC click approach can be extended to other receptor pairs, which makes it a flexible modular platform to address heterogeneity and resistance to targeted therapies across different tumour types.</w:t>
      </w:r>
    </w:p>
    <w:p>
      <w:pPr>
        <w:spacing w:before="120" w:after="120"/>
      </w:pPr>
      <w:r>
        <w:rPr>
          <w:sz w:val="18"/>
        </w:rPr>
        <w:t>——————————————————————————————————————————————————————————————————————</w:t>
      </w:r>
    </w:p>
    <w:p>
      <w:pPr>
        <w:spacing w:before="160" w:after="40" w:line="240" w:lineRule="auto"/>
      </w:pPr>
      <w:r>
        <w:rPr>
          <w:b/>
        </w:rPr>
        <w:t xml:space="preserve">[322] </w:t>
      </w:r>
      <w:hyperlink r:id="rId955">
        <w:r>
          <w:rPr>
            <w:color w:val="1155CC"/>
            <w:u w:val="single"/>
          </w:rPr>
          <w:t>海洋鱼类的范围正在欧洲大陆架上扩大并更深地移动</w:t>
        </w:r>
      </w:hyperlink>
    </w:p>
    <w:p>
      <w:pPr>
        <w:spacing w:before="0" w:after="80"/>
      </w:pPr>
      <w:r>
        <w:rPr>
          <w:i/>
          <w:sz w:val="20"/>
        </w:rPr>
        <w:t>EN: Marine fish ranges are expanding and shifting deeper across the European continental shelf</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了解气候变化和开发如何影响海洋物种分布是生物多样性保护的关键。虽然通常预计变暖会驱使物种向极地移动并进入更深的水域，但也会发生意想不到的模式，例如赤道移动和浅化。捕捞压力可能会进一步缩小物种的范围。然而，支撑这些三维范围变化的机制在很大程度上仍未得到解决。通过使用欧洲大陆架的 92,961 个底拖网样本（涵盖 40 年来的 607 种鱼类），我们发现加深是主导现象，60% 的种群平均深度增加。与预期相反，纬度变化是平衡的，49%的人口向极地迁移，51%的人口向赤道迁移。在这里，我们量化了当物种追踪其最佳生态位时，环境因素和物种特征之间的相互作用如何驱动种群迁移。我们还强调，最近捕捞压力的减少可能促进了空间扩张和种群丰富度的增加。</w:t>
      </w:r>
    </w:p>
    <w:p>
      <w:pPr>
        <w:spacing w:before="0" w:after="200" w:lineRule="auto" w:line="276"/>
      </w:pPr>
      <w:r>
        <w:rPr>
          <w:b/>
        </w:rPr>
        <w:t xml:space="preserve">Abstract (EN): </w:t>
      </w:r>
      <w:r>
        <w:t>Understanding how climate change and exploitation affect marine species distribution is key for biodiversity conservation. While warming is typically expected to drive species poleward and into deeper waters, unexpected patterns such as equatorward shifts and shallowing also occur. Fishing pressure may further contract species’ ranges. Yet, the mechanisms underpinning these 3-dimensional range shifts remain largely unresolved. Using 92,961 bottom trawl samples across the European continental shelf, covering 607 fish species over four decades, we show that deepening is predominant, with 60% of populations experiencing an increase in their average depth. Contrary to expectations, latitudinal shifts are balanced, with 49% of populations shifting poleward and 51% equatorward. Here, we quantify how population relocations are driven by the interplay between environmental factors and species traits as species track their optimal ecological niches. We also highlight that the recent reduction in fishing pressure has likely facilitated spatial expansions and increases in populations abundance.</w:t>
      </w:r>
    </w:p>
    <w:p>
      <w:pPr>
        <w:spacing w:before="120" w:after="120"/>
      </w:pPr>
      <w:r>
        <w:rPr>
          <w:sz w:val="18"/>
        </w:rPr>
        <w:t>——————————————————————————————————————————————————————————————————————</w:t>
      </w:r>
    </w:p>
    <w:p>
      <w:pPr>
        <w:spacing w:before="160" w:after="40" w:line="240" w:lineRule="auto"/>
      </w:pPr>
      <w:r>
        <w:rPr>
          <w:b/>
        </w:rPr>
        <w:t xml:space="preserve">[323] </w:t>
      </w:r>
      <w:hyperlink r:id="rId956">
        <w:r>
          <w:rPr>
            <w:color w:val="1155CC"/>
            <w:u w:val="single"/>
          </w:rPr>
          <w:t>气候变化导致欧洲粉尘污染加剧</w:t>
        </w:r>
      </w:hyperlink>
    </w:p>
    <w:p>
      <w:pPr>
        <w:spacing w:before="0" w:after="80"/>
      </w:pPr>
      <w:r>
        <w:rPr>
          <w:i/>
          <w:sz w:val="20"/>
        </w:rPr>
        <w:t>EN: Rising dust pollution across Europe in a changing climate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57">
        <w:r>
          <w:rPr>
            <w:color w:val="1155CC"/>
            <w:u w:val="single"/>
          </w:rPr>
          <w:t>10.1038/s41586-026-10743-w</w:t>
        </w:r>
      </w:hyperlink>
    </w:p>
    <w:p>
      <w:pPr>
        <w:spacing w:before="0" w:after="120"/>
      </w:pPr>
      <w:r>
        <w:rPr>
          <w:b/>
        </w:rPr>
        <w:t xml:space="preserve">Notes: </w:t>
      </w:r>
      <w:r>
        <w:t>abstract_source=nature_html</w:t>
      </w:r>
    </w:p>
    <w:p>
      <w:pPr>
        <w:spacing w:before="0" w:after="80" w:lineRule="auto" w:line="276"/>
      </w:pPr>
      <w:r>
        <w:rPr>
          <w:b/>
        </w:rPr>
        <w:t xml:space="preserve">摘要（ZH）: </w:t>
      </w:r>
      <w:r>
        <w:t>矿质沙漠灰尘是大气颗粒物总量的主要贡献者1。沙漠沙尘爆发会降低空气质量，并可能对健康造成不利影响2，包括哮喘恶化3和死亡率增加4。在欧洲一些地区，近几十年来，来自沙漠的输送性沙尘暴发的强度和频率有所增加5,6,7,8,9。然而，目前尚不清楚整个欧洲的这种增长是否一致，以及荒漠化和干旱或大气环流的变化是否是这种增长背后的主要驱动因素。在这里，我们编制了欧洲站点每日粉尘金属浓度的数据库，为输送的粉尘建立了可靠的元素比率。使用该数据库，我们开发了一个机器学习模型来估计 2012 年至 2021 年每日 PM10（小于 10 μm 的颗粒物）粉尘浓度，范围从北欧和中欧的 2.09 ± 1.05 μg m−3 到整个南部的 5.28 ± 2.65 μg m−3。在南欧，居民暴露于平均为 9.68 ± 4.85 μg m−3 的运输粉尘事件，导致每日死亡率上升 0.67 ± 0.02%。过去十年灰尘入侵加剧与大气环流的变化有关。高山冰芯记录的数据显示，自工业化前时代以来，灰尘浓度增加了 110%，这主要与北非荒漠化有关。随着气候变化加速土地退化并影响天气模式，日益恶化的粉尘污染可能会给公共卫生和空气质量目标带来越来越大的风险。</w:t>
      </w:r>
    </w:p>
    <w:p>
      <w:pPr>
        <w:spacing w:before="0" w:after="200" w:lineRule="auto" w:line="276"/>
      </w:pPr>
      <w:r>
        <w:rPr>
          <w:b/>
        </w:rPr>
        <w:t xml:space="preserve">Abstract (EN): </w:t>
      </w:r>
      <w:r>
        <w:t>Mineral desert dust is a major contributor to total atmospheric particulate matter1. Desert dust outbreaks degrade air quality and can pose adverse health effects2, including asthma exacerbation3 and increased mortality4. At some European locations, there has been a rise in the intensity and frequency of transported dust outbreaks from deserts in recent decades5,6,7,8,9. However, it remains unclear whether this increase is consistent across Europe and whether desertification and aridity or shifts in atmospheric circulation are the main drivers behind this rise. Here we compile a database of daily dust metal concentrations from European sites, establishing robust elemental ratios for transported dust. Using this database, we develop a machine learning model to estimate daily PM10 (particulate matter smaller than 10 μm) dust concentrations from 2012 to 2021, ranging from 2.09 ± 1.05 μg m−3 across northern and central Europe to 5.28 ± 2.65 μg m−3 across the south. In southern Europe, residents are exposed to transported dust events averaging 9.68 ± 4.85 μg m−3, linked to a 0.67 ± 0.02% rise in daily mortality. Intensified dust intrusions over the past decade are linked to shifts in atmospheric circulation. Data from an Alpine ice core record shows a 110% increase in dust concentrations since pre-industrial times, mostly associated with North African desertification. As climate change accelerates land degradation and affects weather patterns, worsening dust pollution may pose increasing risks to public health and air quality goals.</w:t>
      </w:r>
    </w:p>
    <w:p>
      <w:pPr>
        <w:spacing w:before="120" w:after="120"/>
      </w:pPr>
      <w:r>
        <w:rPr>
          <w:sz w:val="18"/>
        </w:rPr>
        <w:t>——————————————————————————————————————————————————————————————————————</w:t>
      </w:r>
    </w:p>
    <w:p>
      <w:pPr>
        <w:spacing w:before="160" w:after="40" w:line="240" w:lineRule="auto"/>
      </w:pPr>
      <w:r>
        <w:rPr>
          <w:b/>
        </w:rPr>
        <w:t xml:space="preserve">[324] </w:t>
      </w:r>
      <w:hyperlink r:id="rId958">
        <w:r>
          <w:rPr>
            <w:color w:val="1155CC"/>
            <w:u w:val="single"/>
          </w:rPr>
          <w:t>代谢物胶作为嘌呤传感和化疗反应的手段</w:t>
        </w:r>
      </w:hyperlink>
    </w:p>
    <w:p>
      <w:pPr>
        <w:spacing w:before="0" w:after="80"/>
      </w:pPr>
      <w:r>
        <w:rPr>
          <w:i/>
          <w:sz w:val="20"/>
        </w:rPr>
        <w:t>EN: Metabolite glues as a means of purine sensing and chemotherapeutic response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59">
        <w:r>
          <w:rPr>
            <w:color w:val="1155CC"/>
            <w:u w:val="single"/>
          </w:rPr>
          <w:t>10.1038/s41586-026-10790-3</w:t>
        </w:r>
      </w:hyperlink>
    </w:p>
    <w:p>
      <w:pPr>
        <w:spacing w:before="0" w:after="120"/>
      </w:pPr>
      <w:r>
        <w:rPr>
          <w:b/>
        </w:rPr>
        <w:t xml:space="preserve">Notes: </w:t>
      </w:r>
      <w:r>
        <w:t>abstract_source=nature_html</w:t>
      </w:r>
    </w:p>
    <w:p>
      <w:pPr>
        <w:spacing w:before="0" w:after="80" w:lineRule="auto" w:line="276"/>
      </w:pPr>
      <w:r>
        <w:rPr>
          <w:b/>
        </w:rPr>
        <w:t xml:space="preserve">摘要（ZH）: </w:t>
      </w:r>
      <w:r>
        <w:t>分子胶可稳定弱相互作用，从而赋予复合物新的功能1、2、3。尽管分子胶已在植物信号传导和人类治疗中被描述4,5，但尚不清楚这种方式是否在人类细胞中提供内源性调节。在这里，我们证明嘌呤核苷酸是分子胶，将嘌呤生物合成中的限速酶——磷酸核糖焦磷酸酰胺转移酶（PPAT）——与其抑制剂NUDT5连接起来。这种机制使细胞能够感知嘌呤的水平并对其合成建立必要的反馈控制。我们将此类分子称为代谢物胶。硫嘌呤化疗药物6自 20 世纪 50 年代以来一直在临床使用，它们粘合相同的复合物，但采用不同的方向来增强功能。与大多数已知的胶水不同，PPAT-NUDT5 代谢物胶水袋可以调整其构象以适应显着的化合物变化，从而提高胶水效力并改善靶向活性。因此，我们将内源性代谢物胶确定为一种营养传感模式，可用于治疗效果。</w:t>
      </w:r>
    </w:p>
    <w:p>
      <w:pPr>
        <w:spacing w:before="0" w:after="200" w:lineRule="auto" w:line="276"/>
      </w:pPr>
      <w:r>
        <w:rPr>
          <w:b/>
        </w:rPr>
        <w:t xml:space="preserve">Abstract (EN): </w:t>
      </w:r>
      <w:r>
        <w:t>Molecular glues stabilize weak interactions to impart new functionalities to complexes1,2,3. Although molecular glues have been described in plant signalling and as human therapeutics4,5, it is unclear whether this modality provides endogenous regulation in human cells. Here we show that purine nucleotides are molecular glues that tether the rate-limiting enzyme in purine biosynthesis—phosphoribosyl pyrophosphate amidotransferase (PPAT)—to its inhibitor NUDT5. This mechanism allows cells to sense the levels of purines and to establish essential feedback control of their synthesis. We refer to such molecules as metabolite glues. Thiopurine chemotherapeutics6, which have been in clinical use since the 1950s, glue the same complex but adopt distinct orientations for enhanced function. Unlike most known glues, the PPAT–NUDT5 metabolite-glue pocket can adjust its conformation to notable compound alterations, enabling increased glue potency and improved on-target activity. We therefore identify endogenous metabolite glues as a mode of nutrient sensing that can be exploited for therapeutic benefit.</w:t>
      </w:r>
    </w:p>
    <w:p>
      <w:pPr>
        <w:spacing w:before="120" w:after="120"/>
      </w:pPr>
      <w:r>
        <w:rPr>
          <w:sz w:val="18"/>
        </w:rPr>
        <w:t>——————————————————————————————————————————————————————————————————————</w:t>
      </w:r>
    </w:p>
    <w:p>
      <w:pPr>
        <w:spacing w:before="160" w:after="40" w:line="240" w:lineRule="auto"/>
      </w:pPr>
      <w:r>
        <w:rPr>
          <w:b/>
        </w:rPr>
        <w:t xml:space="preserve">[325] </w:t>
      </w:r>
      <w:hyperlink r:id="rId960">
        <w:r>
          <w:rPr>
            <w:color w:val="1155CC"/>
            <w:u w:val="single"/>
          </w:rPr>
          <w:t>均值回归可以解释地磁暴的饱和度</w:t>
        </w:r>
      </w:hyperlink>
    </w:p>
    <w:p>
      <w:pPr>
        <w:spacing w:before="0" w:after="80"/>
      </w:pPr>
      <w:r>
        <w:rPr>
          <w:i/>
          <w:sz w:val="20"/>
        </w:rPr>
        <w:t>EN: Regression to the mean can explain saturation of geomagnetic storms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61">
        <w:r>
          <w:rPr>
            <w:color w:val="1155CC"/>
            <w:u w:val="single"/>
          </w:rPr>
          <w:t>10.1038/s41586-026-10757-4</w:t>
        </w:r>
      </w:hyperlink>
    </w:p>
    <w:p>
      <w:pPr>
        <w:spacing w:before="0" w:after="120"/>
      </w:pPr>
      <w:r>
        <w:rPr>
          <w:b/>
        </w:rPr>
        <w:t xml:space="preserve">Notes: </w:t>
      </w:r>
      <w:r>
        <w:t>abstract_source=nature_html</w:t>
      </w:r>
    </w:p>
    <w:p>
      <w:pPr>
        <w:spacing w:before="0" w:after="80" w:lineRule="auto" w:line="276"/>
      </w:pPr>
      <w:r>
        <w:rPr>
          <w:b/>
        </w:rPr>
        <w:t xml:space="preserve">摘要（ZH）: </w:t>
      </w:r>
      <w:r>
        <w:t>地球上的极端太空天气事件发生在强烈太阳风驱动的间隔期间1。太阳风驱动近地空间环境中的等离子体对流和电流2。对于驱动器的低值，地球的响应是线性的，通过基于地面磁力计活动的极盖指数等参数进行估计3。奇怪的是，对于极端的太阳风驱动，地球的响应似乎没有增加到超过饱和极限4。理论家对这种饱和效应提出了多种解释，但尚未达成共识5。在这里，我们证明这种饱和是由于太阳风测量的时间和幅度的随机不确定性而引起的平均效应6回归的表现。我们的结果表明，支撑饱和理论的数据分析存在非线性偏差，从而挑战了理论的有效性。对不确定性的修正表明，地球对太阳风驱动的响应自始至终都是线性的，并且极端地磁风暴的影响可能是之前认为的两倍。我们证明，回归均值是测量与真相之间关系的基本属性，其中与测量相对应的真相更接近平均值。这种效应对于极值的不确定测量尤其明显，并且可能在从极端气候研究到慢性医疗疼痛的各个领域中显现出来。</w:t>
      </w:r>
    </w:p>
    <w:p>
      <w:pPr>
        <w:spacing w:before="0" w:after="200" w:lineRule="auto" w:line="276"/>
      </w:pPr>
      <w:r>
        <w:rPr>
          <w:b/>
        </w:rPr>
        <w:t xml:space="preserve">Abstract (EN): </w:t>
      </w:r>
      <w:r>
        <w:t>Extreme space weather events on Earth occur during intervals of strong solar wind driving1. The solar wind drives plasma convection and currents in the near-Earth space environment2. For low values of the driver, the Earth’s response is linear, estimated by parameters such as the polar cap index based on ground magnetometer activity3. Curiously, for extreme solar wind driving, the Earth’s response appears not to increase beyond a saturation limit4. Theorists have advanced a host of explanations for this saturation effect, but there is no consensus5. Here we demonstrate that this saturation is a manifestation of the regression to the mean effect6 arising from random uncertainty in the timing and magnitude of solar wind measurements. Our results reveal that data analysis underpinning the saturation theories is nonlinearly biased, thereby challenging the validity of the theories. Correcting for the uncertainties reveals that the Earth’s response to solar wind driving is linear throughout, and that the impact of extreme geomagnetic storms can be twice as large as previously thought. We show that regression to the mean is a fundamental property of the relationship between measurement and the truth, where the truth corresponding to the measurement is closer to the mean. This effect is particularly pronounced for uncertain measurements of extreme values and is likely to manifest across various fields, from extreme climate studies to chronic medical pain.</w:t>
      </w:r>
    </w:p>
    <w:p>
      <w:pPr>
        <w:spacing w:before="120" w:after="120"/>
      </w:pPr>
      <w:r>
        <w:rPr>
          <w:sz w:val="18"/>
        </w:rPr>
        <w:t>——————————————————————————————————————————————————————————————————————</w:t>
      </w:r>
    </w:p>
    <w:p>
      <w:pPr>
        <w:spacing w:before="160" w:after="40" w:line="240" w:lineRule="auto"/>
      </w:pPr>
      <w:r>
        <w:rPr>
          <w:b/>
        </w:rPr>
        <w:t xml:space="preserve">[326] </w:t>
      </w:r>
      <w:hyperlink r:id="rId962">
        <w:r>
          <w:rPr>
            <w:color w:val="1155CC"/>
            <w:u w:val="single"/>
          </w:rPr>
          <w:t>通过弹性不稳定性对超材料的断裂阻力进行编程</w:t>
        </w:r>
      </w:hyperlink>
    </w:p>
    <w:p>
      <w:pPr>
        <w:spacing w:before="0" w:after="80"/>
      </w:pPr>
      <w:r>
        <w:rPr>
          <w:i/>
          <w:sz w:val="20"/>
        </w:rPr>
        <w:t>EN: Programming fracture resistance in metamaterials via elastic instabilities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63">
        <w:r>
          <w:rPr>
            <w:color w:val="1155CC"/>
            <w:u w:val="single"/>
          </w:rPr>
          <w:t>10.1038/s41586-026-10804-0</w:t>
        </w:r>
      </w:hyperlink>
    </w:p>
    <w:p>
      <w:pPr>
        <w:spacing w:before="0" w:after="120"/>
      </w:pPr>
      <w:r>
        <w:rPr>
          <w:b/>
        </w:rPr>
        <w:t xml:space="preserve">Notes: </w:t>
      </w:r>
      <w:r>
        <w:t>abstract_source=nature_html</w:t>
      </w:r>
    </w:p>
    <w:p>
      <w:pPr>
        <w:spacing w:before="0" w:after="80" w:lineRule="auto" w:line="276"/>
      </w:pPr>
      <w:r>
        <w:rPr>
          <w:b/>
        </w:rPr>
        <w:t xml:space="preserve">摘要（ZH）: </w:t>
      </w:r>
      <w:r>
        <w:t>长期以来，多种长度尺度的增韧机制的复杂性一直阻碍着抗断裂材料的设计1,2。机械超材料为应对这一挑战提供了一个有前途的平台，但现有的研究主要集中在传统晶格结构中被动表征断裂3,4,5,6,7,8。最近的研究表明弹性不稳定性具有增强建筑材料功能的潜力9,10,11,12,13,14,15,16,17,18；然而，它们与抗断裂性的联系仍未被探索。在这里，我们证明了机械超材料中的断裂行为可以通过利用弹性不稳定性来主动编程，从而弥合两种传统上互不相关的失效模式。通过实验和模拟相结合，我们表明，对假塑性超材料中非弹性区尺寸的控制操纵可以实现从内在断裂行为到外在断裂行为的转变，同时断裂能增加高达一个数量级。这项工作代表了断裂力学从被动观察到主动控制的转变，为设计具有定制断裂抗力的超材料建立了新的框架。我们的研究结果不仅增进了对超材料中不稳定性与断裂相互作用的基本理解，而且还提出了通过不稳定性设计对断裂行为进行编程的广泛适用的途径。</w:t>
      </w:r>
    </w:p>
    <w:p>
      <w:pPr>
        <w:spacing w:before="0" w:after="200" w:lineRule="auto" w:line="276"/>
      </w:pPr>
      <w:r>
        <w:rPr>
          <w:b/>
        </w:rPr>
        <w:t xml:space="preserve">Abstract (EN): </w:t>
      </w:r>
      <w:r>
        <w:t>The design of fracture-resistant materials has long been hindered by the complexity of toughening mechanisms across multiple length scales1,2. Mechanical metamaterials offer a promising platform to address this challenge, yet existing research has largely focused on passively characterizing fracture in conventional lattice architectures3,4,5,6,7,8. Recent studies have demonstrated the potential of elastic instabilities to enhance functionalities in architected materials9,10,11,12,13,14,15,16,17,18; however, their connection to fracture resistance remains unexplored. Here we demonstrate that fracture behaviours in mechanical metamaterials can be actively programmed by exploiting elastic instabilities, thereby bridging the two traditionally disconnected failure modes. Through a combination of experiments and simulations, we show that controlled manipulation of the inelastic zone size in pseudoplastic metamaterials enables a transition from intrinsic to extrinsic fracture behaviour, accompanied by up to a one-order-of-magnitude increase in fracture energy. This work represents a shift from passive observation to active control of fracture mechanics, establishing a new framework for designing metamaterials with tailored fracture resistance. Our findings not only advance the fundamental understanding of instability–fracture interactions in metamaterials but also suggest a broadly applicable route for programming fracture behaviours through instability design.</w:t>
      </w:r>
    </w:p>
    <w:p>
      <w:pPr>
        <w:spacing w:before="120" w:after="120"/>
      </w:pPr>
      <w:r>
        <w:rPr>
          <w:sz w:val="18"/>
        </w:rPr>
        <w:t>——————————————————————————————————————————————————————————————————————</w:t>
      </w:r>
    </w:p>
    <w:p>
      <w:pPr>
        <w:spacing w:before="160" w:after="40" w:line="240" w:lineRule="auto"/>
      </w:pPr>
      <w:r>
        <w:rPr>
          <w:b/>
        </w:rPr>
        <w:t xml:space="preserve">[327] </w:t>
      </w:r>
      <w:hyperlink r:id="rId964">
        <w:r>
          <w:rPr>
            <w:color w:val="1155CC"/>
            <w:u w:val="single"/>
          </w:rPr>
          <w:t>2150 年欧洲沿海适应的经济最佳组合和时机</w:t>
        </w:r>
      </w:hyperlink>
    </w:p>
    <w:p>
      <w:pPr>
        <w:spacing w:before="0" w:after="80"/>
      </w:pPr>
      <w:r>
        <w:rPr>
          <w:i/>
          <w:sz w:val="20"/>
        </w:rPr>
        <w:t>EN: The economically optimal mix and timing of coastal adaptation in Europe to 2150</w:t>
      </w:r>
    </w:p>
    <w:p>
      <w:pPr>
        <w:spacing w:before="0" w:after="120"/>
      </w:pPr>
      <w:r>
        <w:rPr>
          <w:b/>
        </w:rPr>
        <w:t xml:space="preserve">Source: </w:t>
      </w:r>
      <w:r>
        <w:t>Earth and environmental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沿海对海平面上升的适应涉及将适应选项组合并排序为适应路径，其中包括适应临界点，这是需要在选项之间进行切换的时刻，通常是由于经济限制。虽然当地案例研究表明成本取决于经济上最佳的行动时机和适应临界点，但这在全球和大陆范围内仍未得到探索。我们提出了到 2150 年欧洲沿海洪泛区经济上最佳的适应路径。对于 95% 需要适应的海岸线，由于当前经济适应不足，因此立即采取初始行动的最佳时机，在这种情况下，额外适应的成本被预期洪水损害的减少所抵消。到 2150 年，对于 22% 的海岸线来说，撤退在经济上是最佳的，其总成本低于保护（对于 9% 的海岸线来说是最佳的）。适应临界点主要由海平面上升驱动，需要从适应转变为保护或撤退，或者从撤退转向内陆保护与前陆撤退相结合。它们的时间取决于气候变化，在气候变化较高的情景下，与在气候变化较低的情景下相比，它们发生的时间要早​​ 32 年。</w:t>
      </w:r>
    </w:p>
    <w:p>
      <w:pPr>
        <w:spacing w:before="0" w:after="200" w:lineRule="auto" w:line="276"/>
      </w:pPr>
      <w:r>
        <w:rPr>
          <w:b/>
        </w:rPr>
        <w:t xml:space="preserve">Abstract (EN): </w:t>
      </w:r>
      <w:r>
        <w:t>Coastal adaptation to sea level rise involves combining and sequencing adaptation options into adaptation pathways that include adaptation tipping points, which are moments requiring a switch between options, often due to economic limits. While local case studies show costs depend on the economically optimal timing of actions and adaptation tipping points, this remains unexplored on global and continental scales. We present economically optimal adaptation pathways for Europe’s coastal floodplains through 2150. For 95% of the coastline requiring adaptation, the optimal timing for initial actions is immediate due to current economic under-adaptation, a condition in which the costs of additional adaptation are outweighed by the reduction in expected flood damages. By 2150, retreat is economically optimal for 22% of the coastline, incurring lower total costs than protection, which is optimal for 9%. Adaptation tipping points are primarily driven by sea level rise and necessitate a switch from accommodation to either protection or retreat, or from retreat to inland protection combined with retreat in the foreland. Their timing depends on climate change, occurring 32 years earlier under higher climate change scenarios compared to lower ones.</w:t>
      </w:r>
    </w:p>
    <w:p>
      <w:pPr>
        <w:spacing w:before="120" w:after="120"/>
      </w:pPr>
      <w:r>
        <w:rPr>
          <w:sz w:val="18"/>
        </w:rPr>
        <w:t>——————————————————————————————————————————————————————————————————————</w:t>
      </w:r>
    </w:p>
    <w:p>
      <w:pPr>
        <w:spacing w:before="160" w:after="40" w:line="240" w:lineRule="auto"/>
      </w:pPr>
      <w:r>
        <w:rPr>
          <w:b/>
        </w:rPr>
        <w:t xml:space="preserve">[328] </w:t>
      </w:r>
      <w:hyperlink r:id="rId965">
        <w:r>
          <w:rPr>
            <w:color w:val="1155CC"/>
            <w:u w:val="single"/>
          </w:rPr>
          <w:t>氨压力控制熔盐中胶体金属氮化物的合成</w:t>
        </w:r>
      </w:hyperlink>
    </w:p>
    <w:p>
      <w:pPr>
        <w:spacing w:before="0" w:after="80"/>
      </w:pPr>
      <w:r>
        <w:rPr>
          <w:i/>
          <w:sz w:val="20"/>
        </w:rPr>
        <w:t>EN: Ammonia pressure controls colloidal metal nitride synthesis in molten salts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66">
        <w:r>
          <w:rPr>
            <w:color w:val="1155CC"/>
            <w:u w:val="single"/>
          </w:rPr>
          <w:t>10.1038/s41586-026-10801-3</w:t>
        </w:r>
      </w:hyperlink>
    </w:p>
    <w:p>
      <w:pPr>
        <w:spacing w:before="0" w:after="120"/>
      </w:pPr>
      <w:r>
        <w:rPr>
          <w:b/>
        </w:rPr>
        <w:t xml:space="preserve">Notes: </w:t>
      </w:r>
      <w:r>
        <w:t>abstract_source=nature_html</w:t>
      </w:r>
    </w:p>
    <w:p>
      <w:pPr>
        <w:spacing w:before="0" w:after="80" w:lineRule="auto" w:line="276"/>
      </w:pPr>
      <w:r>
        <w:rPr>
          <w:b/>
        </w:rPr>
        <w:t xml:space="preserve">摘要（ZH）: </w:t>
      </w:r>
      <w:r>
        <w:t>金属氮化物是一大类材料，在光电子、能源和医疗保健技术领域有着广泛的应用。例如，GaN 和相关氮化物半导体是固态照明和高功率电子产品1,2 的关键材料。 TiN 和其他早期过渡金属氮化物 (TMN) 广泛应用于耐磨合金、工具涂层、催化剂和医疗植入物3。牢固的金属-氮键赋予氮化物结构刚性以及化学和热稳定性4。然而，金属-氮键的共价键需要高温来合成晶体金属氮化物。常见的合成路线包括高温固态氮化5、超临界氨中晶体生长6、分子束外延（MBE）7、反应溅射8,9 和化学气相沉积1,10,11,12。胶体纳米晶体 (NC) 的溶液合成已被证明适用于化学键相对较弱的晚期 TMN13,14,15,16,17，而早期 TMN NC 的合成具有挑战性，因为它需要的温度远高于常用溶剂的稳定范围。在这里，我们报告了一种通过金属卤化物和溶解在熔融无机盐中的氨在高压下反应来溶液合成难熔金属氮化物NC的通用方法。展示了胶体 TiN、VN、GaN、NbN、Mo2N、Ta3N5、TaN、W2N 和三元 Ti1−xVxN NC 的成功合成。这些数控系统扩大了可溶液加工的重要技术材料的范围。</w:t>
      </w:r>
    </w:p>
    <w:p>
      <w:pPr>
        <w:spacing w:before="0" w:after="200" w:lineRule="auto" w:line="276"/>
      </w:pPr>
      <w:r>
        <w:rPr>
          <w:b/>
        </w:rPr>
        <w:t xml:space="preserve">Abstract (EN): </w:t>
      </w:r>
      <w:r>
        <w:t>Metal nitrides represent a large class of materials with extensive applications in optoelectronics, energy and healthcare technologies. For example, GaN and related nitride semiconductors are key materials for solid-state lighting and high-power electronics1,2. TiN and other early transition metal nitrides (TMNs) are widely used in wear-resistant alloys, tool coatings, catalysts and medical implants3. Strong metal–nitrogen bonds grant nitrides structural rigidity as well as chemical and thermal stability4. However, the covalency of metal–nitrogen bonds necessitates high temperatures to synthesize crystalline metal nitrides. Common synthetic routes include high-temperature solid-state nitridation5, crystal growth in supercritical ammonia6, molecular-beam epitaxy (MBE)7, reactive sputtering8,9 and chemical vapour deposition1,10,11,12. The solution synthesis of colloidal nanocrystals (NCs) has been demonstrated for late TMNs with relatively weak chemical bonds13,14,15,16,17, whereas the synthesis of early TMN NCs is challenging because it requires temperatures far above the stability range of commonly used solvents. Here we report a general approach to solution synthesis of refractory metal nitride NCs by reacting metal halides and ammonia dissolved in molten inorganic salts at elevated pressures. Successful syntheses of colloidal TiN, VN, GaN, NbN, Mo2N, Ta3N5, TaN, W2N and ternary Ti1−xVxN NCs are demonstrated. These NCs expand the scope of solution-processable technologically important materials.</w:t>
      </w:r>
    </w:p>
    <w:p>
      <w:pPr>
        <w:spacing w:before="120" w:after="120"/>
      </w:pPr>
      <w:r>
        <w:rPr>
          <w:sz w:val="18"/>
        </w:rPr>
        <w:t>——————————————————————————————————————————————————————————————————————</w:t>
      </w:r>
    </w:p>
    <w:p>
      <w:pPr>
        <w:spacing w:before="160" w:after="40" w:line="240" w:lineRule="auto"/>
      </w:pPr>
      <w:r>
        <w:rPr>
          <w:b/>
        </w:rPr>
        <w:t xml:space="preserve">[329] </w:t>
      </w:r>
      <w:hyperlink r:id="rId967">
        <w:r>
          <w:rPr>
            <w:color w:val="1155CC"/>
            <w:u w:val="single"/>
          </w:rPr>
          <w:t>女王气味介导社会性哺乳动物的生殖抑制</w:t>
        </w:r>
      </w:hyperlink>
    </w:p>
    <w:p>
      <w:pPr>
        <w:spacing w:before="0" w:after="80"/>
      </w:pPr>
      <w:r>
        <w:rPr>
          <w:i/>
          <w:sz w:val="20"/>
        </w:rPr>
        <w:t>EN: A queen odour mediates reproductive suppression in a eusocial mammal</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68">
        <w:r>
          <w:rPr>
            <w:color w:val="1155CC"/>
            <w:u w:val="single"/>
          </w:rPr>
          <w:t>10.1038/s41586-026-10772-5</w:t>
        </w:r>
      </w:hyperlink>
    </w:p>
    <w:p>
      <w:pPr>
        <w:spacing w:before="0" w:after="120"/>
      </w:pPr>
      <w:r>
        <w:rPr>
          <w:b/>
        </w:rPr>
        <w:t xml:space="preserve">Notes: </w:t>
      </w:r>
      <w:r>
        <w:t>abstract_source=nature_html</w:t>
      </w:r>
    </w:p>
    <w:p>
      <w:pPr>
        <w:spacing w:before="0" w:after="80" w:lineRule="auto" w:line="276"/>
      </w:pPr>
      <w:r>
        <w:rPr>
          <w:b/>
        </w:rPr>
        <w:t xml:space="preserve">摘要（ZH）: </w:t>
      </w:r>
      <w:r>
        <w:t>真社会性在哺乳动物中极为罕见，其直接机制仍知之甚少。裸鼹鼠提供了一个引人注目的例子，其繁殖仅限于单个女王，而所有其他雌性仍然不育1。在这里，我们发现了蜂王体内可以调节这种生殖等级的化学信号。肉豆蔻酸异丙酯是一种低挥发性酯，在蜂王中含量丰富，但在非繁殖动物中几乎不存在。肉豆蔻酸异丙酯可被外周和中枢嗅觉神经元检测到，并引起高级动物的回避。暴露会改变非繁殖者的催乳素和黄体酮水平，从而抑制繁殖。每天向无蜂王的蜂群中添加肉豆蔻酸异丙酯会阻止蜂王继承，而退出则引发攻击和繁殖竞争。在几种 Fukomys 鼹鼠物种的繁殖雌性中也检测到了肉豆蔻酸异丙酯，但在裸鼹鼠中达到了更高的水平，与其极端的繁殖偏差相一致。这些发现揭示了一种化学线索，可以介导哺乳动物的生殖抑制，将昆虫和哺乳动物的社会性联系起来。</w:t>
      </w:r>
    </w:p>
    <w:p>
      <w:pPr>
        <w:spacing w:before="0" w:after="200" w:lineRule="auto" w:line="276"/>
      </w:pPr>
      <w:r>
        <w:rPr>
          <w:b/>
        </w:rPr>
        <w:t xml:space="preserve">Abstract (EN): </w:t>
      </w:r>
      <w:r>
        <w:t>Eusociality is exceptionally rare in mammals, and its proximate mechanisms remain poorly understood. Naked mole-rats provide a striking example, with reproduction restricted to a single queen, while all other females remain infertile1. Here we identify a chemical signal in queens that can regulate this reproductive hierarchy. Isopropyl myristate is a low-volatility ester that is enriched in queens and nearly absent from non-breeding animals. Isopropyl myristate is detected by peripheral and central olfactory neurons and elicits avoidance in high-ranking animals. Exposure alters levels of prolactin and progesterone in non-breeders to suppress reproduction. Daily addition of isopropyl myristate to a queenless colony prevented queen succession, whereas withdrawal triggered aggression and reproductive competition. Isopropyl myristate was also detected in breeding females of several Fukomys mole-rat species, but reaches higher levels in naked mole-rats, paralleling their extreme reproductive skew. These findings reveal a chemical cue that can mediate reproductive suppression in a mammal, linking insect and mammalian eusociality.</w:t>
      </w:r>
    </w:p>
    <w:p>
      <w:pPr>
        <w:spacing w:before="120" w:after="120"/>
      </w:pPr>
      <w:r>
        <w:rPr>
          <w:sz w:val="18"/>
        </w:rPr>
        <w:t>——————————————————————————————————————————————————————————————————————</w:t>
      </w:r>
    </w:p>
    <w:p>
      <w:pPr>
        <w:spacing w:before="160" w:after="40" w:line="240" w:lineRule="auto"/>
      </w:pPr>
      <w:r>
        <w:rPr>
          <w:b/>
        </w:rPr>
        <w:t xml:space="preserve">[330] </w:t>
      </w:r>
      <w:hyperlink r:id="rId969">
        <w:r>
          <w:rPr>
            <w:color w:val="1155CC"/>
            <w:u w:val="single"/>
          </w:rPr>
          <w:t>裸鼹鼠皇后如何阻止竞争对手繁殖</w:t>
        </w:r>
      </w:hyperlink>
    </w:p>
    <w:p>
      <w:pPr>
        <w:spacing w:before="0" w:after="80"/>
      </w:pPr>
      <w:r>
        <w:rPr>
          <w:i/>
          <w:sz w:val="20"/>
        </w:rPr>
        <w:t>EN: How naked mole-rat queens stop rivals reproducing</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70">
        <w:r>
          <w:rPr>
            <w:color w:val="1155CC"/>
            <w:u w:val="single"/>
          </w:rPr>
          <w:t>10.1038/d41586-026-02168-2</w:t>
        </w:r>
      </w:hyperlink>
    </w:p>
    <w:p>
      <w:pPr>
        <w:spacing w:before="0" w:after="120"/>
      </w:pPr>
      <w:r>
        <w:rPr>
          <w:b/>
        </w:rPr>
        <w:t xml:space="preserve">Notes: </w:t>
      </w:r>
      <w:r>
        <w:t>abstract_source=nature_html</w:t>
      </w:r>
    </w:p>
    <w:p>
      <w:pPr>
        <w:spacing w:before="0" w:after="80" w:lineRule="auto" w:line="276"/>
      </w:pPr>
      <w:r>
        <w:rPr>
          <w:b/>
        </w:rPr>
        <w:t xml:space="preserve">摘要（ZH）: </w:t>
      </w:r>
      <w:r>
        <w:t>仅由蜂王制造的单一化学物质的气味会改变其他雌性体内激素的产生。仅由蜂王制造的单一化学物质的气味会改变其他雌性体内激素的产生。</w:t>
      </w:r>
    </w:p>
    <w:p>
      <w:pPr>
        <w:spacing w:before="0" w:after="200" w:lineRule="auto" w:line="276"/>
      </w:pPr>
      <w:r>
        <w:rPr>
          <w:b/>
        </w:rPr>
        <w:t xml:space="preserve">Abstract (EN): </w:t>
      </w:r>
      <w:r>
        <w:t>The scent of a single chemical, made only by the queen, alters hormone production in other females. The scent of a single chemical, made only by the queen, alters hormone production in other females.</w:t>
      </w:r>
    </w:p>
    <w:p>
      <w:pPr>
        <w:spacing w:before="120" w:after="120"/>
      </w:pPr>
      <w:r>
        <w:rPr>
          <w:sz w:val="18"/>
        </w:rPr>
        <w:t>——————————————————————————————————————————————————————————————————————</w:t>
      </w:r>
    </w:p>
    <w:p>
      <w:pPr>
        <w:spacing w:before="160" w:after="40" w:line="240" w:lineRule="auto"/>
      </w:pPr>
      <w:r>
        <w:rPr>
          <w:b/>
        </w:rPr>
        <w:t xml:space="preserve">[331] </w:t>
      </w:r>
      <w:hyperlink r:id="rId971">
        <w:r>
          <w:rPr>
            <w:color w:val="1155CC"/>
            <w:u w:val="single"/>
          </w:rPr>
          <w:t>裸鼹鼠研究的“圣杯”揭示了女王如何统治</w:t>
        </w:r>
      </w:hyperlink>
    </w:p>
    <w:p>
      <w:pPr>
        <w:spacing w:before="0" w:after="80"/>
      </w:pPr>
      <w:r>
        <w:rPr>
          <w:i/>
          <w:sz w:val="20"/>
        </w:rPr>
        <w:t>EN: ‘Holy grail’ of naked mole-rat research reveals how queens rule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72">
        <w:r>
          <w:rPr>
            <w:color w:val="1155CC"/>
            <w:u w:val="single"/>
          </w:rPr>
          <w:t>10.1038/d41586-026-02221-0</w:t>
        </w:r>
      </w:hyperlink>
    </w:p>
    <w:p>
      <w:pPr>
        <w:spacing w:before="0" w:after="120"/>
      </w:pPr>
      <w:r>
        <w:rPr>
          <w:b/>
        </w:rPr>
        <w:t xml:space="preserve">Notes: </w:t>
      </w:r>
      <w:r>
        <w:t>abstract_source=nature_html</w:t>
      </w:r>
    </w:p>
    <w:p>
      <w:pPr>
        <w:spacing w:before="0" w:after="80" w:lineRule="auto" w:line="276"/>
      </w:pPr>
      <w:r>
        <w:rPr>
          <w:b/>
        </w:rPr>
        <w:t xml:space="preserve">摘要（ZH）: </w:t>
      </w:r>
      <w:r>
        <w:t>使鼹鼠女王保持在王位上的简单化学物质，以及人们如何玩新游戏。聆听科学界最伟大的故事 | 2026 年 7 月 15 日</w:t>
      </w:r>
    </w:p>
    <w:p>
      <w:pPr>
        <w:spacing w:before="0" w:after="200" w:lineRule="auto" w:line="276"/>
      </w:pPr>
      <w:r>
        <w:rPr>
          <w:b/>
        </w:rPr>
        <w:t xml:space="preserve">Abstract (EN): </w:t>
      </w:r>
      <w:r>
        <w:t>The simple chemical that keeps a mole-rat queen atop her throne — plus, how people approach new games. Hear the biggest stories from the world of science | 15 July 2026</w:t>
      </w:r>
    </w:p>
    <w:p>
      <w:pPr>
        <w:spacing w:before="120" w:after="120"/>
      </w:pPr>
      <w:r>
        <w:rPr>
          <w:sz w:val="18"/>
        </w:rPr>
        <w:t>——————————————————————————————————————————————————————————————————————</w:t>
      </w:r>
    </w:p>
    <w:p>
      <w:pPr>
        <w:spacing w:before="160" w:after="40" w:line="240" w:lineRule="auto"/>
      </w:pPr>
      <w:r>
        <w:rPr>
          <w:b/>
        </w:rPr>
        <w:t xml:space="preserve">[332] </w:t>
      </w:r>
      <w:hyperlink r:id="rId973">
        <w:r>
          <w:rPr>
            <w:color w:val="1155CC"/>
            <w:u w:val="single"/>
          </w:rPr>
          <w:t>协调城市萜类化合物排放的观测和模型估算</w:t>
        </w:r>
      </w:hyperlink>
    </w:p>
    <w:p>
      <w:pPr>
        <w:spacing w:before="0" w:after="80"/>
      </w:pPr>
      <w:r>
        <w:rPr>
          <w:i/>
          <w:sz w:val="20"/>
        </w:rPr>
        <w:t>EN: Reconciling observed and modeled estimates of urban terpenoid emissions</w:t>
      </w:r>
    </w:p>
    <w:p>
      <w:pPr>
        <w:spacing w:before="0" w:after="120"/>
      </w:pPr>
      <w:r>
        <w:rPr>
          <w:b/>
        </w:rPr>
        <w:t xml:space="preserve">Source: </w:t>
      </w:r>
      <w:r>
        <w:t>Earth and environmental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广泛的观察强调了萜类化合物在城市空气质量中的重要性。然而，排放框架无法捕捉其规模和空间变化，限制了空气质量管理和大气建模。在这里，我们协调了观测到的和模拟的城市萜类化合物排放，并通过结合改进的排放清单、空气通量测量和地面移动测量，揭示了大洛杉矶地区强烈的、代表性不足的人为源。我们证明，增强的生物库存显着减少了模拟和观察到的异戊二烯通量之间的差异，而单萜类化合物中的剩余差距主要由人类活动部门解释。我们发现这些排放源自以前被忽视的食品工业和商业企业，它们表现出类似生物的温度依赖性。这些人为来源占观测到的前 10% 类单萜通量热点的 44%，并贡献了总通量的 17%。鉴于它们在全球城市和工业化地区普遍存在，这些特征不明的来源可能会影响洛杉矶以外的空气质量。</w:t>
      </w:r>
    </w:p>
    <w:p>
      <w:pPr>
        <w:spacing w:before="0" w:after="200" w:lineRule="auto" w:line="276"/>
      </w:pPr>
      <w:r>
        <w:rPr>
          <w:b/>
        </w:rPr>
        <w:t xml:space="preserve">Abstract (EN): </w:t>
      </w:r>
      <w:r>
        <w:t>Extensive observations highlight the significance of terpenoids in urban air quality. However, emission frameworks fail to capture their magnitude and spatial variability, limiting air quality management and atmospheric modeling. Here we reconcile observed and modeled urban terpenoid emissions and uncover intense, underrepresented anthropogenic sources in Greater Los Angeles by combining improved emission inventories, airborne flux measurements, and ground-based mobile measurements. We demonstrate that an enhanced biogenic inventory significantly reduces the discrepancy between modeled and observed isoprene fluxes, and the remaining gap in monoterpenoids is explained predominantly by anthropogenic sectors. We identify that these emissions originate from previously overlooked food industry and commercial businesses, which exhibit a biogenic-like temperature dependence. These anthropogenic sources account for 44% of the top 10% observed monoterpenoid flux hotspots and contribute 17% of the total flux. Given their ubiquity in urban and industrialized regions worldwide, these poorly characterized sources may influence air quality beyond Los Angeles.</w:t>
      </w:r>
    </w:p>
    <w:p>
      <w:pPr>
        <w:spacing w:before="120" w:after="120"/>
      </w:pPr>
      <w:r>
        <w:rPr>
          <w:sz w:val="18"/>
        </w:rPr>
        <w:t>——————————————————————————————————————————————————————————————————————</w:t>
      </w:r>
    </w:p>
    <w:p>
      <w:pPr>
        <w:spacing w:before="160" w:after="40" w:line="240" w:lineRule="auto"/>
      </w:pPr>
      <w:r>
        <w:rPr>
          <w:b/>
        </w:rPr>
        <w:t xml:space="preserve">[333] </w:t>
      </w:r>
      <w:hyperlink r:id="rId974">
        <w:r>
          <w:rPr>
            <w:color w:val="1155CC"/>
            <w:u w:val="single"/>
          </w:rPr>
          <w:t>在量子硬件上编织和融合任意子的通用门</w:t>
        </w:r>
      </w:hyperlink>
    </w:p>
    <w:p>
      <w:pPr>
        <w:spacing w:before="0" w:after="80"/>
      </w:pPr>
      <w:r>
        <w:rPr>
          <w:i/>
          <w:sz w:val="20"/>
        </w:rPr>
        <w:t>EN: Universal gates from braiding and fusing anyons on quantum hardware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75">
        <w:r>
          <w:rPr>
            <w:color w:val="1155CC"/>
            <w:u w:val="single"/>
          </w:rPr>
          <w:t>10.1038/s41586-026-10709-y</w:t>
        </w:r>
      </w:hyperlink>
    </w:p>
    <w:p>
      <w:pPr>
        <w:spacing w:before="0" w:after="120"/>
      </w:pPr>
      <w:r>
        <w:rPr>
          <w:b/>
        </w:rPr>
        <w:t xml:space="preserve">Notes: </w:t>
      </w:r>
      <w:r>
        <w:t>abstract_source=nature_html</w:t>
      </w:r>
    </w:p>
    <w:p>
      <w:pPr>
        <w:spacing w:before="0" w:after="80" w:lineRule="auto" w:line="276"/>
      </w:pPr>
      <w:r>
        <w:rPr>
          <w:b/>
        </w:rPr>
        <w:t xml:space="preserve">摘要（ZH）: </w:t>
      </w:r>
      <w:r>
        <w:t>量子计算机需要能够在全球范围内存储和操作信息，以防止局部噪声。拓扑有序的相 1,2 提供两种途径：在基态子空间 3 或任意子激励 1,4,5 中编码信息。环面代码 1 举例说明了第一种方法，但本质上并不支持通用门集。后者——拓扑量子计算——通过将非阿贝尔任意子6相互编织来实现门。然而，环面码最简单的非阿贝尔推广不能仅通过编织来实现普遍性7,8,9。在这里，我们证明了用作计算原语的任意子融合使这些最小非阿贝尔拓扑有序状态具有普遍性。我们在 Quantinuum 的 H2 处理器上准备了 S3 的量子双倍（最小的非阿贝尔群）的 54 量子位基态。我们在非阿贝尔任意子的全局融合空间中编码逻辑信息，并通过将编织与融合相结合，我们实现了通用的拓扑门集和读出，我们通过拓扑准备魔法状态来证明这一点。这表明 S3 拓扑有序状态是可扩展准备的，而且足够丰富以支持通用门集。更广泛地说，这项工作开辟了利用量子物质的固有特性来操纵量子信息的新途径。</w:t>
      </w:r>
    </w:p>
    <w:p>
      <w:pPr>
        <w:spacing w:before="0" w:after="200" w:lineRule="auto" w:line="276"/>
      </w:pPr>
      <w:r>
        <w:rPr>
          <w:b/>
        </w:rPr>
        <w:t xml:space="preserve">Abstract (EN): </w:t>
      </w:r>
      <w:r>
        <w:t>A quantum computer requires the ability to store and manipulate information globally to protect against local noise. Topologically ordered phases1,2 offer two routes: encoding information in the ground-state subspace3 or in anyonic excitations1,4,5. The toric code1 exemplifies the first approach but does not intrinsically support a universal gate set. The latter—topological quantum computation—implements gates by braiding non-Abelian anyons6 around each other. However, the simplest non-Abelian generalizations of the toric code cannot achieve universality by braiding alone7,8,9. Here we demonstrate that anyon fusion, used as a computational primitive, renders these minimally non-Abelian topologically ordered states universal. We prepare a 54-qubit ground state of the quantum double of S3, the smallest non-Abelian group, on the H2 processor of Quantinuum. We encode logical information in the global fusion space of non-Abelian anyons, and by combining braiding with fusion, we realize a universal topological gate set and read-out, which we demonstrate by topologically preparing a magic state. This demonstrates that the S3 topologically ordered state is scalably preparable, yet rich enough to support a universal gate set. More broadly, this work opens up new pathways for harnessing the intrinsic properties of quantum matter to manipulate quantum information.</w:t>
      </w:r>
    </w:p>
    <w:p>
      <w:pPr>
        <w:spacing w:before="120" w:after="120"/>
      </w:pPr>
      <w:r>
        <w:rPr>
          <w:sz w:val="18"/>
        </w:rPr>
        <w:t>——————————————————————————————————————————————————————————————————————</w:t>
      </w:r>
    </w:p>
    <w:p>
      <w:pPr>
        <w:spacing w:before="160" w:after="40" w:line="240" w:lineRule="auto"/>
      </w:pPr>
      <w:r>
        <w:rPr>
          <w:b/>
        </w:rPr>
        <w:t xml:space="preserve">[334] </w:t>
      </w:r>
      <w:hyperlink r:id="rId976">
        <w:r>
          <w:rPr>
            <w:color w:val="1155CC"/>
            <w:u w:val="single"/>
          </w:rPr>
          <w:t>反应介质作为纳米晶体超晶格的建筑师</w:t>
        </w:r>
      </w:hyperlink>
    </w:p>
    <w:p>
      <w:pPr>
        <w:spacing w:before="0" w:after="80"/>
      </w:pPr>
      <w:r>
        <w:rPr>
          <w:i/>
          <w:sz w:val="20"/>
        </w:rPr>
        <w:t>EN: Reaction Medium as an Architect of Nanocrystal Superlattices</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77">
        <w:r>
          <w:rPr>
            <w:color w:val="1155CC"/>
            <w:u w:val="single"/>
          </w:rPr>
          <w:t>10.1021/jacs.6c07859</w:t>
        </w:r>
      </w:hyperlink>
    </w:p>
    <w:p>
      <w:pPr>
        <w:spacing w:before="0" w:after="120"/>
      </w:pPr>
      <w:r>
        <w:rPr>
          <w:b/>
        </w:rPr>
        <w:t xml:space="preserve">Notes: </w:t>
      </w:r>
      <w:r>
        <w:t>abstract_source=pubmed</w:t>
      </w:r>
    </w:p>
    <w:p>
      <w:pPr>
        <w:spacing w:before="0" w:after="80" w:lineRule="auto" w:line="276"/>
      </w:pPr>
      <w:r>
        <w:rPr>
          <w:b/>
        </w:rPr>
        <w:t xml:space="preserve">摘要（ZH）: </w:t>
      </w:r>
      <w:r>
        <w:t>纳米晶体超晶格通常是通过改变浓度、溶剂条件或颗粒表面化学形成的。虽然有效，但这些方法同时改变了对粒子间势的多种贡献，使得难以分离负责有序或控制化学复杂环境中的组装的相互作用。在这里，我们表明纳米晶体反应介质中存在的低聚物通过耗尽机制驱动超晶格形成。使用 PbTe 纳米晶体作为模型系统，我们识别了粗反应混合物中的油酸铅低聚物，表征了它们的溶液结构，并量化了它们对颗粒间电势的贡献，将耗尽确定为控制自发体心立方超晶格形成的主要短程相互作用。然后，我们通过证明不同的耗尽剂浓度可预测地改变有序-无序边界并在分散态和有序态之间产生热可逆转变来确认有序的耗尽起源——这种行为与范德华或配体介导的机制不一致，但却是耗尽控制的直接结果。在建立并验证了该机制后，我们证明了相同的耗尽框架可以在纯化的分散体中被故意激活，并在不同成分和形状的纳米晶体系统（包括各向异性和二元组装体）之间转移。这些结果将前驱体衍生的耗尽确立为纳米晶体超级的通用且化学基础的机制。</w:t>
      </w:r>
    </w:p>
    <w:p>
      <w:pPr>
        <w:spacing w:before="0" w:after="200" w:lineRule="auto" w:line="276"/>
      </w:pPr>
      <w:r>
        <w:rPr>
          <w:b/>
        </w:rPr>
        <w:t xml:space="preserve">Abstract (EN): </w:t>
      </w:r>
      <w:r>
        <w:t>Nanocrystal superlattices are commonly formed by changing concentration, solvent conditions, or particle surface chemistry. Although effective, these approaches alter multiple contributions to the interparticle potential simultaneously, making it difficult to isolate the interactions responsible for ordering or to control assembly in chemically complex environments. Here, we show that oligomeric species present in a nanocrystal reaction medium drive superlattice formation through a depletion mechanism. Using PbTe nanocrystals as a model system, we identify Pb-oleate oligomers in the crude reaction mixture, characterize their solution structure, and quantify their contribution to the interparticle potential, establishing depletion as the dominant short-range interaction governing spontaneous body-centered cubic superlattice formation. We then confirm the depletion origin of ordering by showing that varying depletant concentration predictably shifts the order-disorder boundary and produces a thermally reversible transition between dispersed and ordered states ─ behavior that is inconsistent with van der Waals or ligand-mediated mechanisms but is a direct consequence of depletion control. Having established and validated the mechanism, we demonstrate that the same depletion framework can be deliberately activated in purified dispersions and transferred across nanocrystal systems of different composition and shape, including anisotropic and binary assemblies. These results establish precursor-derived depletion as a general and chemically grounded mechanism for nanocrystal superlattice formation, and show that collective ordering can be programmed through the surrounding medium rather than through particle surface modification.</w:t>
      </w:r>
    </w:p>
    <w:p>
      <w:pPr>
        <w:spacing w:before="120" w:after="120"/>
      </w:pPr>
      <w:r>
        <w:rPr>
          <w:sz w:val="18"/>
        </w:rPr>
        <w:t>——————————————————————————————————————————————————————————————————————</w:t>
      </w:r>
    </w:p>
    <w:p>
      <w:pPr>
        <w:spacing w:before="160" w:after="40" w:line="240" w:lineRule="auto"/>
      </w:pPr>
      <w:r>
        <w:rPr>
          <w:b/>
        </w:rPr>
        <w:t xml:space="preserve">[335] </w:t>
      </w:r>
      <w:hyperlink r:id="rId978">
        <w:r>
          <w:rPr>
            <w:color w:val="1155CC"/>
            <w:u w:val="single"/>
          </w:rPr>
          <w:t>感觉引导人机联合学习加速运动想象脑机接口控制的获取</w:t>
        </w:r>
      </w:hyperlink>
    </w:p>
    <w:p>
      <w:pPr>
        <w:spacing w:before="0" w:after="80"/>
      </w:pPr>
      <w:r>
        <w:rPr>
          <w:i/>
          <w:sz w:val="20"/>
        </w:rPr>
        <w:t>EN: Sensory-guided human-machine joint learning accelerates the acquisition of motor imagery brain computer interface control</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脑机接口（BCIs）提供了恢复功能和增强人类能力的潜力。然而，基于非侵入性脑电图 (EEG) 的脑机接口仍然面临学习效率和控制精度方面的挑战，特别是对于执行复杂任务的新手用户而言。在这里，我们提出了一个感官引导的联合学习框架，它将人类运动学习与自适应机器学习相结合，以改善 BCI 训练和性能。在 31 名未接触过 BCI 的参与者中，该框架实现了快速技能获取，一维 (1D) 运动想象任务的平均在线离散精度为 86.0%，二维 (2D) 运动想象任务的平均在线离散精度为 77.5%，连续控制精度为 77.5% (1D) 和 66.9% (2D)。从机制上讲，触觉引导减少了用户探索并加速了神经适应，而样本重新加权则使解码器更新与人类学习轨迹保持一致。通过将强化驱动的神经可塑性与自适应算法优化相结合，该框架将 BCI 训练从被动校准推进到主动人机联合学习，从而为通信和康复提供实用且可扩展的神经接口。</w:t>
      </w:r>
    </w:p>
    <w:p>
      <w:pPr>
        <w:spacing w:before="0" w:after="200" w:lineRule="auto" w:line="276"/>
      </w:pPr>
      <w:r>
        <w:rPr>
          <w:b/>
        </w:rPr>
        <w:t xml:space="preserve">Abstract (EN): </w:t>
      </w:r>
      <w:r>
        <w:t>Brain–computer interfaces (BCIs) offer the potential to restore function and augment human capabilities. However, non-invasive electroencephalography (EEG)-based BCIs still face challenges in learning efficiency and control precision, particularly for naïve users performing complex tasks. Here, we present a sensory-guided joint learning framework that integrates human motor learning with adaptive machine learning to improve BCI training and performance. In 31 BCI-naïve participants, the framework enabled rapid skill acquisition, achieving average online discrete accuracies of 86.0% for one-dimensional (1D) and 77.5% for two-dimensional (2D) motor imagery tasks, along with continuous control accuracies of 77.5% (1D) and 66.9% (2D). Mechanistically, tactile guidance reduced user exploration and accelerated neural adaptation, while sample reweighting aligned decoder updates with human learning trajectories. By coupling reinforcement-driven neural plasticity with adaptive algorithmic optimization, this framework advances BCI training from passive calibration to active human–machine joint learning, enabling practical and scalable neural interfaces for communication and rehabilitation.</w:t>
      </w:r>
    </w:p>
    <w:p>
      <w:pPr>
        <w:spacing w:before="120" w:after="120"/>
      </w:pPr>
      <w:r>
        <w:rPr>
          <w:sz w:val="18"/>
        </w:rPr>
        <w:t>——————————————————————————————————————————————————————————————————————</w:t>
      </w:r>
    </w:p>
    <w:p>
      <w:pPr>
        <w:spacing w:before="160" w:after="40" w:line="240" w:lineRule="auto"/>
      </w:pPr>
      <w:r>
        <w:rPr>
          <w:b/>
        </w:rPr>
        <w:t xml:space="preserve">[336] </w:t>
      </w:r>
      <w:hyperlink r:id="rId979">
        <w:r>
          <w:rPr>
            <w:color w:val="1155CC"/>
            <w:u w:val="single"/>
          </w:rPr>
          <w:t>Pd/Mo 催化芳环邻位二羟基化：双金属介导的 C(sp 2 )–H 官能化</w:t>
        </w:r>
      </w:hyperlink>
    </w:p>
    <w:p>
      <w:pPr>
        <w:spacing w:before="0" w:after="80"/>
      </w:pPr>
      <w:r>
        <w:rPr>
          <w:i/>
          <w:sz w:val="20"/>
        </w:rPr>
        <w:t>EN: Pd/Mo-Catalyzed ortho -Dihydroxylation of Aromatic Rings: Dual-Metal-Mediated C(sp 2 )–H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80">
        <w:r>
          <w:rPr>
            <w:color w:val="1155CC"/>
            <w:u w:val="single"/>
          </w:rPr>
          <w:t>10.1021/jacs.6c10830</w:t>
        </w:r>
      </w:hyperlink>
    </w:p>
    <w:p>
      <w:pPr>
        <w:spacing w:before="0" w:after="120"/>
      </w:pPr>
      <w:r>
        <w:rPr>
          <w:b/>
        </w:rPr>
        <w:t xml:space="preserve">Notes: </w:t>
      </w:r>
      <w:r>
        <w:t>abstract_source=pubmed</w:t>
      </w:r>
    </w:p>
    <w:p>
      <w:pPr>
        <w:spacing w:before="0" w:after="80" w:lineRule="auto" w:line="276"/>
      </w:pPr>
      <w:r>
        <w:rPr>
          <w:b/>
        </w:rPr>
        <w:t xml:space="preserve">摘要（ZH）: </w:t>
      </w:r>
      <w:r>
        <w:t>我们报告了使用 Pd/Mo 双金属催化剂和叔丁基过氧化氢 (TBHP) 作为氧化剂的苯甲酸直接邻二羟基化方案。 Mo组分通过提高TBHP的氧化能力并可能促进Pd-Ar σ-中间体的氧化加成过程，显着促进二羟基化反应，特别是第二羟基化步骤。包括自由基抑制实验、光谱分析和取代基效应评估在内的机理研究表明，Mo很可能通过引入自由基生成步骤来促进传统的Pd催化途径。值得注意的是，这种双金属介导的方法可以通过简单地减少 TBHP 的量来轻松调整以提供单羟基化产物。克级反应和随后的衍生化进一步证实了该方法的实用性。由于定向羧基可以通过催化或热脱羧轻松去除，因此这种 Pd/Mo 双金属催化系统为间二酚化合物提供了一条简洁的合成路线，间二酚化合物是传统上通过多步工业过程合成的重要精细化学品。</w:t>
      </w:r>
    </w:p>
    <w:p>
      <w:pPr>
        <w:spacing w:before="0" w:after="200" w:lineRule="auto" w:line="276"/>
      </w:pPr>
      <w:r>
        <w:rPr>
          <w:b/>
        </w:rPr>
        <w:t xml:space="preserve">Abstract (EN): </w:t>
      </w:r>
      <w:r>
        <w:t>We report a direct ortho-dihydroxylation protocol of benzoic acids using a Pd/Mo bimetallic catalyst and tert-butyl hydroperoxide (TBHP) as the oxidant. The Mo component significantly promotes the dihydroxylation reaction, especially the second hydroxylation step, by boosting the oxidative capacity of TBHP and presumably facilitating the oxidative addition process of Pd-Ar σ-intermediate. Mechanistic studies, including radical inhibition experiments, spectroscopic analyses, and substituent effect evaluations, reveal that Mo most likely facilitates the conventional Pd-catalyzed pathway by introducing a radical-generating step. Notably, this dual-metal-mediated method can be readily tuned to afford monohydroxylation products by simply reducing the amount of TBHP. Gram-scale reactions and subsequent derivatizations further confirm the practicality of this method. Since the directing carboxyl group can be easily removed via catalytic or thermal decarboxylation, this Pd/Mo bimetallic catalytic system offers a concise synthetic route to meta-diphenolic compounds, the vital fine chemicals conventionally synthesized via multistep industrial processes.</w:t>
      </w:r>
    </w:p>
    <w:p>
      <w:pPr>
        <w:spacing w:before="120" w:after="120"/>
      </w:pPr>
      <w:r>
        <w:rPr>
          <w:sz w:val="18"/>
        </w:rPr>
        <w:t>——————————————————————————————————————————————————————————————————————</w:t>
      </w:r>
    </w:p>
    <w:p>
      <w:pPr>
        <w:spacing w:before="160" w:after="40" w:line="240" w:lineRule="auto"/>
      </w:pPr>
      <w:r>
        <w:rPr>
          <w:b/>
        </w:rPr>
        <w:t xml:space="preserve">[337] </w:t>
      </w:r>
      <w:hyperlink r:id="rId981">
        <w:r>
          <w:rPr>
            <w:color w:val="1155CC"/>
            <w:u w:val="single"/>
          </w:rPr>
          <w:t>具有追随者响应不确定性的交互能源系统中的鲁棒决策：耦合悲观斯塔克尔伯格博弈方法</w:t>
        </w:r>
      </w:hyperlink>
    </w:p>
    <w:p>
      <w:pPr>
        <w:spacing w:before="0" w:after="80"/>
      </w:pPr>
      <w:r>
        <w:rPr>
          <w:i/>
          <w:sz w:val="20"/>
        </w:rPr>
        <w:t>EN: Robust decisions in transactive energy systems with follower response uncertainty: A coupled pessimistic stackelberg game approach</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[338] </w:t>
      </w:r>
      <w:hyperlink r:id="rId982">
        <w:r>
          <w:rPr>
            <w:color w:val="1155CC"/>
            <w:u w:val="single"/>
          </w:rPr>
          <w:t>通过CoT推理对大语言模型进行两阶段微调以实现配电网服务恢复</w:t>
        </w:r>
      </w:hyperlink>
    </w:p>
    <w:p>
      <w:pPr>
        <w:spacing w:before="0" w:after="80"/>
      </w:pPr>
      <w:r>
        <w:rPr>
          <w:i/>
          <w:sz w:val="20"/>
        </w:rPr>
        <w:t>EN: Two-stage fine-tuning of large language models for distribution network service restoration via CoT reasoning</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983">
        <w:r>
          <w:rPr>
            <w:color w:val="1155CC"/>
            <w:u w:val="single"/>
          </w:rPr>
          <w:t>使用动态更新时间融合变压器的风力涡轮机在线故障预警框架</w:t>
        </w:r>
      </w:hyperlink>
    </w:p>
    <w:p>
      <w:pPr>
        <w:spacing w:before="0" w:after="80"/>
      </w:pPr>
      <w:r>
        <w:rPr>
          <w:i/>
          <w:sz w:val="20"/>
        </w:rPr>
        <w:t>EN: An online fault early warning framework for wind turbines using a dynamically updated temporal fusion transformer</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[340] </w:t>
      </w:r>
      <w:hyperlink r:id="rId984">
        <w:r>
          <w:rPr>
            <w:color w:val="1155CC"/>
            <w:u w:val="single"/>
          </w:rPr>
          <w:t>确定网格感知代表天数，以进行基于风险的配电网络托管容量快速分析</w:t>
        </w:r>
      </w:hyperlink>
    </w:p>
    <w:p>
      <w:pPr>
        <w:spacing w:before="0" w:after="80"/>
      </w:pPr>
      <w:r>
        <w:rPr>
          <w:i/>
          <w:sz w:val="20"/>
        </w:rPr>
        <w:t>EN: Identifying grid-aware representative days for fast risk-based distribution network hosting capacity analysis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[341] </w:t>
      </w:r>
      <w:hyperlink r:id="rId985">
        <w:r>
          <w:rPr>
            <w:color w:val="1155CC"/>
            <w:u w:val="single"/>
          </w:rPr>
          <w:t>生物学家查明常见病毒如何引发多发性硬化症</w:t>
        </w:r>
      </w:hyperlink>
    </w:p>
    <w:p>
      <w:pPr>
        <w:spacing w:before="0" w:after="80"/>
      </w:pPr>
      <w:r>
        <w:rPr>
          <w:i/>
          <w:sz w:val="20"/>
        </w:rPr>
        <w:t>EN: Biologists pinpoint how common virus triggers multiple sclerosis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986">
        <w:r>
          <w:rPr>
            <w:color w:val="1155CC"/>
            <w:u w:val="single"/>
          </w:rPr>
          <w:t>10.1038/d41586-026-02204-1</w:t>
        </w:r>
      </w:hyperlink>
    </w:p>
    <w:p>
      <w:pPr>
        <w:spacing w:before="0" w:after="120"/>
      </w:pPr>
      <w:r>
        <w:rPr>
          <w:b/>
        </w:rPr>
        <w:t xml:space="preserve">Notes: </w:t>
      </w:r>
      <w:r>
        <w:t>abstract_source=nature_html</w:t>
      </w:r>
    </w:p>
    <w:p>
      <w:pPr>
        <w:spacing w:before="0" w:after="80" w:lineRule="auto" w:line="276"/>
      </w:pPr>
      <w:r>
        <w:rPr>
          <w:b/>
        </w:rPr>
        <w:t xml:space="preserve">摘要（ZH）: </w:t>
      </w:r>
      <w:r>
        <w:t>长期以来人们一直怀疑 Epstein-Barr 病毒与多发性硬化症之间存在联系，但迄今为止其潜在机制尚不清楚。长期以来人们一直怀疑 Epstein-Barr 病毒与多发性硬化症之间存在联系，但迄今为止其潜在机制尚不清楚。</w:t>
      </w:r>
    </w:p>
    <w:p>
      <w:pPr>
        <w:spacing w:before="0" w:after="200" w:lineRule="auto" w:line="276"/>
      </w:pPr>
      <w:r>
        <w:rPr>
          <w:b/>
        </w:rPr>
        <w:t xml:space="preserve">Abstract (EN): </w:t>
      </w:r>
      <w:r>
        <w:t>A connection between Epstein–Barr virus and MS has long been suspected, but the underlying mechanism was unclear until now. A connection between Epstein–Barr virus and MS has long been suspected, but the underlying mechanism was unclear until now.</w:t>
      </w:r>
    </w:p>
    <w:p>
      <w:pPr>
        <w:spacing w:before="120" w:after="120"/>
      </w:pPr>
      <w:r>
        <w:rPr>
          <w:sz w:val="18"/>
        </w:rPr>
        <w:t>——————————————————————————————————————————————————————————————————————</w:t>
      </w:r>
    </w:p>
    <w:p>
      <w:pPr>
        <w:spacing w:before="160" w:after="40" w:line="240" w:lineRule="auto"/>
      </w:pPr>
      <w:r>
        <w:rPr>
          <w:b/>
        </w:rPr>
        <w:t xml:space="preserve">[342] </w:t>
      </w:r>
      <w:hyperlink r:id="rId987">
        <w:r>
          <w:rPr>
            <w:color w:val="1155CC"/>
            <w:u w:val="single"/>
          </w:rPr>
          <w:t>N-桥环烯的高效合成</w:t>
        </w:r>
      </w:hyperlink>
    </w:p>
    <w:p>
      <w:pPr>
        <w:spacing w:before="0" w:after="80"/>
      </w:pPr>
      <w:r>
        <w:rPr>
          <w:i/>
          <w:sz w:val="20"/>
        </w:rPr>
        <w:t>EN: Efficient Synthesis of N-Bridged Annulenes</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88">
        <w:r>
          <w:rPr>
            <w:color w:val="1155CC"/>
            <w:u w:val="single"/>
          </w:rPr>
          <w:t>10.1021/jacs.6c07345</w:t>
        </w:r>
      </w:hyperlink>
    </w:p>
    <w:p>
      <w:pPr>
        <w:spacing w:before="0" w:after="120"/>
      </w:pPr>
      <w:r>
        <w:rPr>
          <w:b/>
        </w:rPr>
        <w:t xml:space="preserve">Notes: </w:t>
      </w:r>
      <w:r>
        <w:t>abstract_source=pubmed</w:t>
      </w:r>
    </w:p>
    <w:p>
      <w:pPr>
        <w:spacing w:before="0" w:after="80" w:lineRule="auto" w:line="276"/>
      </w:pPr>
      <w:r>
        <w:rPr>
          <w:b/>
        </w:rPr>
        <w:t xml:space="preserve">摘要（ZH）: </w:t>
      </w:r>
      <w:r>
        <w:t>最常见的芳香族结构是苯环，在多种药物和有机材料中都可以观察到这种结构。然而，对非苯环共轭多烯芳香族分子的研究仍然很少，这主要是由于合成挑战和固有的角应变。在此，我们报告了一种前所未有的单铜中继双催化级联序列，用于有效构建独特的芳香族N桥[10]轮烯（NBA）框架（也称为环[3,2,2]嗪），其中涉及铜催化的10π电环化。为了深入了解反应机理，进行了一系列控制实验和密度泛函理论计算。所开发的反应表现出广泛的官能团耐受性，并且可以扩展到不同类别的 14π 组分。值得注意的是，所得的 NBA 化合物显示出强荧光和全色可调性。因此，这些创新不仅加深了我们对非苯环系统芳香性的理解，而且凸显了金属催化电环化在合成化学中的潜力。</w:t>
      </w:r>
    </w:p>
    <w:p>
      <w:pPr>
        <w:spacing w:before="0" w:after="200" w:lineRule="auto" w:line="276"/>
      </w:pPr>
      <w:r>
        <w:rPr>
          <w:b/>
        </w:rPr>
        <w:t xml:space="preserve">Abstract (EN): </w:t>
      </w:r>
      <w:r>
        <w:t>The most commonly encountered aromatic structure is the benzenoid ring, which is observed in a wide variety of pharmaceuticals and organic materials. However, studies on nonbenzenoid conjugated polyene aromatic molecules remain scarce, largely due to synthetic challenges and inherent angle strain. Herein, we report an unprecedented single-copper relay dual-catalyzed cascade sequence for the efficient construction of a unique aromatic N-bridged [10]annulene (NBA) framework (also called cycl[3,2,2]azine), in which a copper-catalyzed 10π electrocyclization is involved. To gain insight into the reaction mechanism, a series of control experiments and density functional theory calculations were conducted. The developed reaction exhibits broad functional-group tolerance and can be extended to different classes of 14π components. Significantly, the resulting NBA compounds display strong fluorescence with full-color tunability. Therefore, these innovations not only deepen our understanding of the aromaticity of nonbenzenoid systems but also highlight the potential of metal-catalyzed electrocyclization in synthetic chemistry.</w:t>
      </w:r>
    </w:p>
    <w:p>
      <w:pPr>
        <w:spacing w:before="120" w:after="120"/>
      </w:pPr>
      <w:r>
        <w:rPr>
          <w:sz w:val="18"/>
        </w:rPr>
        <w:t>——————————————————————————————————————————————————————————————————————</w:t>
      </w:r>
    </w:p>
    <w:p>
      <w:pPr>
        <w:spacing w:before="160" w:after="40" w:line="240" w:lineRule="auto"/>
      </w:pPr>
      <w:r>
        <w:rPr>
          <w:b/>
        </w:rPr>
        <w:t xml:space="preserve">[343] </w:t>
      </w:r>
      <w:hyperlink r:id="rId989">
        <w:r>
          <w:rPr>
            <w:color w:val="1155CC"/>
            <w:u w:val="single"/>
          </w:rPr>
          <w:t>用光开关小分子恢复环境白光下的扫视眼运动和视觉引导行为</w:t>
        </w:r>
      </w:hyperlink>
    </w:p>
    <w:p>
      <w:pPr>
        <w:spacing w:before="0" w:after="80"/>
      </w:pPr>
      <w:r>
        <w:rPr>
          <w:i/>
          <w:sz w:val="20"/>
        </w:rPr>
        <w:t>EN: Restoration of Saccadic Eye Movements and Visually Guided Behavior in Ambient White Light with Photoswitchable Small Molecules</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90">
        <w:r>
          <w:rPr>
            <w:color w:val="1155CC"/>
            <w:u w:val="single"/>
          </w:rPr>
          <w:t>10.1021/jacs.5c18611</w:t>
        </w:r>
      </w:hyperlink>
    </w:p>
    <w:p>
      <w:pPr>
        <w:spacing w:before="0" w:after="120"/>
      </w:pPr>
      <w:r>
        <w:rPr>
          <w:b/>
        </w:rPr>
        <w:t xml:space="preserve">Notes: </w:t>
      </w:r>
      <w:r>
        <w:t>abstract_source=pubmed</w:t>
      </w:r>
    </w:p>
    <w:p>
      <w:pPr>
        <w:spacing w:before="0" w:after="80" w:lineRule="auto" w:line="276"/>
      </w:pPr>
      <w:r>
        <w:rPr>
          <w:b/>
        </w:rPr>
        <w:t xml:space="preserve">摘要（ZH）: </w:t>
      </w:r>
      <w:r>
        <w:t>由于光感受器（PhR）退化而导致的致盲性疾病，例如干性年龄相关性黄斑变性继发的地理萎缩（GA）和色素性视网膜炎（RP），使视网膜电路的其余部分基本完好无损，尽管无法对光做出反应。基因疗法已经能够逆转 PhR 退化，但它只能应用于影响一小部分 RP 患者的罕见突变。或者，植入的电子视网膜假体通过电刺激幸存的神经元来瞄准更大的人群。然而，这种治疗是侵入性的、成本高昂且解决方案有限。光药理学可以开发光可开关小分子，通过赋予在剩余的视网膜内神经元中广泛表达的离子通道光敏感性来恢复视力障碍，并且一项首次人体临床试验正在进行中。在这里，我们开发了代谢型谷氨酸 6 (mGlu6) 受体的新型光开关小分子配体，这些配体仅位于 ON 双极细胞的树突（突触后到 PhR），并且可以利用特殊位置来模拟残余视网膜回路中的生理信号。因此，这些光开关配体（prosthe6）充当“分子假体”，可以在 PhR 变性后通过对电路的上游目标控制来恢复视网膜的光输入。 Prosthe6 化合物具有变构、类似药物、水溶性，并显示出出色的体外特性，包括完全功效、纳摩尔效力、在环境白光下快速失活以及在黑暗中快速重新激活。</w:t>
      </w:r>
    </w:p>
    <w:p>
      <w:pPr>
        <w:spacing w:before="0" w:after="200" w:lineRule="auto" w:line="276"/>
      </w:pPr>
      <w:r>
        <w:rPr>
          <w:b/>
        </w:rPr>
        <w:t xml:space="preserve">Abstract (EN): </w:t>
      </w:r>
      <w:r>
        <w:t>Blinding diseases due to the degeneration of photoreceptors (PhRs), such as geographic atrophy (GA) secondary to dry age-related macular degeneration and retinitis pigmentosa (RP), leave the rest of the retinal circuitry largely intact, albeit unable to respond to light. Gene therapy has been able to revert PhR degeneration, but it can be applied only to a rare mutation affecting a small subset of RP patients. Alternatively, implanted electronic retinal prostheses aim at a larger population by electrically stimulating surviving neurons. However, the treatment is invasive and costly and provides limited resolution. Photopharmacology can develop photoswitchable small molecules to restore vision impairment by conferring light sensitivity to ion channels that are widely expressed in the remaining inner retinal neurons, and a first-in-human clinical trial is ongoing. Here, we have developed novel photoswitchable small-molecule ligands of metabotropic glutamate 6 (mGlu6) receptors, which are located exclusively at the dendrites of ON bipolar cells (postsynaptic to PhRs) and can leverage a privileged position to mimic physiological signals in the remnant retinal circuit. These photoswitchable ligands (prosthe6) thus act as "molecular prostheses" that can restore the light input to the retina via upstream-targeted control of the circuit after PhR degeneration. Prosthe6 compounds are allosteric, drug-like, water-soluble, and display outstanding in vitro properties including full efficacy, nanomolar potency, fast deactivation in ambient white light, and fast reactivation in the dark. In vivo experiments show that they readily recover the saccadic eye movements of blinded zebrafish larvae and restore the innate light-avoidance behavior in the mouse models of blindness (GA and RP). These effects are mediated by mGlu6 receptors in vivo. In addition, at least two compounds (prosthe6-12 and -15) can restore sight by topical administration and display promising safety properties to become potential drug candidates for sight restoration in patients with degenerative blinding diseases.</w:t>
      </w:r>
    </w:p>
    <w:p>
      <w:pPr>
        <w:spacing w:before="120" w:after="120"/>
      </w:pPr>
      <w:r>
        <w:rPr>
          <w:sz w:val="18"/>
        </w:rPr>
        <w:t>——————————————————————————————————————————————————————————————————————</w:t>
      </w:r>
    </w:p>
    <w:p>
      <w:pPr>
        <w:spacing w:before="160" w:after="40" w:line="240" w:lineRule="auto"/>
      </w:pPr>
      <w:r>
        <w:rPr>
          <w:b/>
        </w:rPr>
        <w:t xml:space="preserve">[344] </w:t>
      </w:r>
      <w:hyperlink r:id="rId991">
        <w:r>
          <w:rPr>
            <w:color w:val="1155CC"/>
            <w:u w:val="single"/>
          </w:rPr>
          <w:t>为基于 MILP 的电力系统运行制定值得信赖的安全规则：不确定性感知提取框架</w:t>
        </w:r>
      </w:hyperlink>
    </w:p>
    <w:p>
      <w:pPr>
        <w:spacing w:before="0" w:after="80"/>
      </w:pPr>
      <w:r>
        <w:rPr>
          <w:i/>
          <w:sz w:val="20"/>
        </w:rPr>
        <w:t>EN: Toward trustworthy security rules for MILP-based power system operation: An uncertainty-aware extraction framework</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[345] </w:t>
      </w:r>
      <w:hyperlink r:id="rId992">
        <w:r>
          <w:rPr>
            <w:color w:val="1155CC"/>
            <w:u w:val="single"/>
          </w:rPr>
          <w:t>超分子倾向促进分子内重原子效应的自敏化氧化</w:t>
        </w:r>
      </w:hyperlink>
    </w:p>
    <w:p>
      <w:pPr>
        <w:spacing w:before="0" w:after="80"/>
      </w:pPr>
      <w:r>
        <w:rPr>
          <w:i/>
          <w:sz w:val="20"/>
        </w:rPr>
        <w:t>EN: Supramolecular Predisposition Promotes Intramolecular Heavy-Atom Effects for Self-Sensitized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93">
        <w:r>
          <w:rPr>
            <w:color w:val="1155CC"/>
            <w:u w:val="single"/>
          </w:rPr>
          <w:t>10.1021/jacs.6c06445</w:t>
        </w:r>
      </w:hyperlink>
    </w:p>
    <w:p>
      <w:pPr>
        <w:spacing w:before="0" w:after="120"/>
      </w:pPr>
      <w:r>
        <w:rPr>
          <w:b/>
        </w:rPr>
        <w:t xml:space="preserve">Notes: </w:t>
      </w:r>
      <w:r>
        <w:t>abstract_source=pubmed</w:t>
      </w:r>
    </w:p>
    <w:p>
      <w:pPr>
        <w:spacing w:before="0" w:after="80" w:lineRule="auto" w:line="276"/>
      </w:pPr>
      <w:r>
        <w:rPr>
          <w:b/>
        </w:rPr>
        <w:t xml:space="preserve">摘要（ZH）: </w:t>
      </w:r>
      <w:r>
        <w:t>超分子限制广泛用于控制分子结构，但其用于指导激发态反应途径的用途仍未得到充分探索。这种限制对于自旋禁止过程尤其明显，例如系统间交叉（ISC），这些过程很难通过超分子设计来调节。重原子效应虽然对于促进 ISC 至关重要，但通常被视为固有的取代基特性，而不是依赖于几何形状的超分子参数。在这里，我们表明，大环定向的超分子倾向可以故意增强分子内重原子效应，以激活潜在的自旋禁止跃迁，从而实现有效的自敏化氧化。通过溶液研究和单晶分析确定，将柔性醛和溴取代的客体封装在葫芦[8]尿素 (CB[8]) 中，强制形成将重原子和活性醛并置的折叠几何结构。在白光照射下，这种预先形成的复合物选择性地将醛氧化成相应的羧酸。不同重原子身份、空腔大小和客体结合模式的对照实验将 CB[8] 强制空间并置定义为关键的结构要求，而清除剂和 EPR 研究支持三线态氧能量转移以产生单线态氧作为操作途径。 CB[8] 优先与底物结合而不是与产物结合，减轻了产物抑制，并允许在亚化学计量宿主负载下进行催化周转。这些结果表明大环封装</w:t>
      </w:r>
    </w:p>
    <w:p>
      <w:pPr>
        <w:spacing w:before="0" w:after="200" w:lineRule="auto" w:line="276"/>
      </w:pPr>
      <w:r>
        <w:rPr>
          <w:b/>
        </w:rPr>
        <w:t xml:space="preserve">Abstract (EN): </w:t>
      </w:r>
      <w:r>
        <w:t>Supramolecular confinement is widely used to control molecular architecture, but its use to direct excited-state reaction pathways remains underexplored. This limitation is particularly evident for spin-forbidden processes such as intersystem crossing (ISC), which are difficult to regulate through supramolecular design. The heavy-atom effect, although central to promoting ISC, is typically regarded as an intrinsic substituent property rather than a geometry-dependent supramolecular parameter. Here we show that macrocycle-directed supramolecular predisposition can deliberately enforce intramolecular heavy-atom effects to activate latent spin-forbidden transitions, enabling efficient self-sensitized oxidation. Encapsulation of a flexible aldehyde- and bromine-substituted guest within cucurbit[8]uril (CB[8]) enforces a folded geometry that juxtaposes the heavy atom and reactive aldehyde, as established by solution studies and single-crystal analysis. Under white-light irradiation, this predisposed complex undergoes selective oxidation of the aldehyde to the corresponding carboxylic acid. Control experiments varying heavy-atom identity, cavity size, and guest binding modes define CB[8]-enforced spatial juxtaposition as the critical structural requirement, while scavenger and EPR studies support triplet-oxygen energy transfer to generate singlet oxygen as the operative pathway. Preferential binding of CB[8] to the substrate over the product mitigates product inhibition and allows catalytic turnover under substoichiometric host loadings. These results show that macrocyclic encapsulation does more than statically stabilize a host-guest complex: it transforms spatial geometry into a structurally gated switch for spin-forbidden pathways, establishing supramolecular predisposition as a versatile design principle for developing switchable photocatalysts and conformationally responsive smart materials.</w:t>
      </w:r>
    </w:p>
    <w:p>
      <w:pPr>
        <w:spacing w:before="120" w:after="120"/>
      </w:pPr>
      <w:r>
        <w:rPr>
          <w:sz w:val="18"/>
        </w:rPr>
        <w:t>——————————————————————————————————————————————————————————————————————</w:t>
      </w:r>
    </w:p>
    <w:p>
      <w:pPr>
        <w:spacing w:before="160" w:after="40" w:line="240" w:lineRule="auto"/>
      </w:pPr>
      <w:r>
        <w:rPr>
          <w:b/>
        </w:rPr>
        <w:t xml:space="preserve">[346] </w:t>
      </w:r>
      <w:hyperlink r:id="rId994">
        <w:r>
          <w:rPr>
            <w:color w:val="1155CC"/>
            <w:u w:val="single"/>
          </w:rPr>
          <w:t>利用 SAM 核酶 SAMURI 催化的 RNA 烷基化反应的起源</w:t>
        </w:r>
      </w:hyperlink>
    </w:p>
    <w:p>
      <w:pPr>
        <w:spacing w:before="0" w:after="80"/>
      </w:pPr>
      <w:r>
        <w:rPr>
          <w:i/>
          <w:sz w:val="20"/>
        </w:rPr>
        <w:t>EN: Origins of Reactivity in SAM-Utilizing Ribozyme SAMURI-Catalyzed RNA Alkylation</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95">
        <w:r>
          <w:rPr>
            <w:color w:val="1155CC"/>
            <w:u w:val="single"/>
          </w:rPr>
          <w:t>10.1021/jacs.6c08579</w:t>
        </w:r>
      </w:hyperlink>
    </w:p>
    <w:p>
      <w:pPr>
        <w:spacing w:before="0" w:after="120"/>
      </w:pPr>
      <w:r>
        <w:rPr>
          <w:b/>
        </w:rPr>
        <w:t xml:space="preserve">Notes: </w:t>
      </w:r>
      <w:r>
        <w:t>abstract_source=pubmed</w:t>
      </w:r>
    </w:p>
    <w:p>
      <w:pPr>
        <w:spacing w:before="0" w:after="80" w:lineRule="auto" w:line="276"/>
      </w:pPr>
      <w:r>
        <w:rPr>
          <w:b/>
        </w:rPr>
        <w:t xml:space="preserve">摘要（ZH）: </w:t>
      </w:r>
      <w:r>
        <w:t>解锁能够进行位点特异性化学修饰的可编程 RNA 催化剂的设计原理对于扩展 RNA 的功能和治疗潜力至关重要。利用 SAM 类似物的核酶 (SAMURI) 可以使用 S-腺苷甲硫氨酸 (SAM) 或合成辅因子炔丙酸 Se-2,6-二氨基嘌呤核糖基硒代甲硫氨酸酰胺 (ProSeDMA) 进行位点特异性 RNA 烷基化，但其反应性的分子决定因素仍不完全清楚。在这里，我们结合了分子动力学、3D-RISM 溶剂化分析、炼金自由能计算、量子 pKa 位移预测和从头算 QM/MM 自由能模拟来表征控制催化的构象和电子因素。模拟表明，尽管 SAMURI 的整体折叠在溶液中保持稳定，但具有催化能力的近攻击构型的形成很少见，这表明观察到的速率取决于对这些反应性构象的一小部分的访问（freact）。 SAM 羧酸盐和 G30 磷酸盐之间假定的 Mg2+ 结合位点，以及辅因子 α-胺和 U8:O2 之间的氢键，丰富了 freact。 QM/MM 模拟支持类似 SN2 的烷基转移机制，并表明 ProSeDMA 比 SAM 更容易反应，主要是因为其更有利的电子离去基团特性可提高固有速率 (kint)。 A52 处的原子取代可调节 N3 pKa，增强亲核性，进一步降低活化势垒，并增加 kint。总之，这些结果表明 SAMURI 催化是</w:t>
      </w:r>
    </w:p>
    <w:p>
      <w:pPr>
        <w:spacing w:before="0" w:after="200" w:lineRule="auto" w:line="276"/>
      </w:pPr>
      <w:r>
        <w:rPr>
          <w:b/>
        </w:rPr>
        <w:t xml:space="preserve">Abstract (EN): </w:t>
      </w:r>
      <w:r>
        <w:t>Unlocking the design principles of programmable RNA catalysts capable of site-specific chemical modification is critical for expanding the functional and therapeutic potential of RNA. The SAM analogue-utilizing ribozyme (SAMURI) enables site-specific RNA alkylation using either S-adenosylmethionine (SAM) or the synthetic cofactor propargylic Se-2,6-diaminopurinribosyl-selenomethionineamide (ProSeDMA), yet the molecular determinants of its reactivity remain incompletely understood. Here, we combined molecular dynamics, 3D-RISM solvation analysis, alchemical free energy calculations, quantum pKa shift predictions, and ab initio QM/MM free energy simulations to characterize the conformational and electronic factors that govern catalysis. Simulations show that, although the global fold of SAMURI remains stable in solution, the formation of catalytically competent near-attack configurations is rare, indicating that the observed rate depends on access to a minor fraction of these reactive conformations (freact). A putative Mg2+ binding site between the SAM carboxylate and the G30 phosphate, together with a hydrogen bond between the cofactor α-amine and U8:O2, enriches freact. QM/MM simulations support an SN2-like alkyl transfer mechanism and show that ProSeDMA reacts more readily than SAM primarily due to its more favorable electronic leaving group properties that enhance the intrinsic rate (kint). Atomic substitutions at A52 that tune the N3 pKa enhance nucleophilicity, further lower the activation barrier, and increase kint. Together, these results show that SAMURI catalysis is governed by a combination of conformational preorganization and electronic effects, providing a framework to guide the design of new programmable RNA alkyltransferases.</w:t>
      </w:r>
    </w:p>
    <w:p>
      <w:pPr>
        <w:spacing w:before="120" w:after="120"/>
      </w:pPr>
      <w:r>
        <w:rPr>
          <w:sz w:val="18"/>
        </w:rPr>
        <w:t>——————————————————————————————————————————————————————————————————————</w:t>
      </w:r>
    </w:p>
    <w:p>
      <w:pPr>
        <w:spacing w:before="160" w:after="40" w:line="240" w:lineRule="auto"/>
      </w:pPr>
      <w:r>
        <w:rPr>
          <w:b/>
        </w:rPr>
        <w:t xml:space="preserve">[347] </w:t>
      </w:r>
      <w:hyperlink r:id="rId996">
        <w:r>
          <w:rPr>
            <w:color w:val="1155CC"/>
            <w:u w:val="single"/>
          </w:rPr>
          <w:t>羧酸的脱二氧膦酰化</w:t>
        </w:r>
      </w:hyperlink>
    </w:p>
    <w:p>
      <w:pPr>
        <w:spacing w:before="0" w:after="80"/>
      </w:pPr>
      <w:r>
        <w:rPr>
          <w:i/>
          <w:sz w:val="20"/>
        </w:rPr>
        <w:t>EN: Dedioxygenative Phosphonylation of Carboxylic Acids</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997">
        <w:r>
          <w:rPr>
            <w:color w:val="1155CC"/>
            <w:u w:val="single"/>
          </w:rPr>
          <w:t>10.1021/jacs.6c09874</w:t>
        </w:r>
      </w:hyperlink>
    </w:p>
    <w:p>
      <w:pPr>
        <w:spacing w:before="0" w:after="120"/>
      </w:pPr>
      <w:r>
        <w:rPr>
          <w:b/>
        </w:rPr>
        <w:t xml:space="preserve">Notes: </w:t>
      </w:r>
      <w:r>
        <w:t>abstract_source=pubmed</w:t>
      </w:r>
    </w:p>
    <w:p>
      <w:pPr>
        <w:spacing w:before="0" w:after="80" w:lineRule="auto" w:line="276"/>
      </w:pPr>
      <w:r>
        <w:rPr>
          <w:b/>
        </w:rPr>
        <w:t xml:space="preserve">摘要（ZH）: </w:t>
      </w:r>
      <w:r>
        <w:t>羧酸的脱二氧转化面临着有效打破多个C-O键并实现多种羧酸的广泛适用性的重大挑战，从而阻碍了该领域的发展和应用。在这项工作中，通过多种催化剂的配合，我们实现了羧酸的脱二氧膦酰化，该反应适用于脂肪族和芳香族底物，表现出良好的范围和官能团耐受性。该协议还展示了复杂分子后期修饰的良好性能。同时，它建立了一种正式的脱氧偶联方法，可以从羧酸和醛或醇快速获得烯烃。机理研究揭示了不同C-O键的不同激活模式，并进一步强调了羧酸的碳保留转化模式，补充了基于氧化还原活性酯或其他策略的传统碳缺失脱羧磷酸化。</w:t>
      </w:r>
    </w:p>
    <w:p>
      <w:pPr>
        <w:spacing w:before="0" w:after="200" w:lineRule="auto" w:line="276"/>
      </w:pPr>
      <w:r>
        <w:rPr>
          <w:b/>
        </w:rPr>
        <w:t xml:space="preserve">Abstract (EN): </w:t>
      </w:r>
      <w:r>
        <w:t>Dedioxygenative transformations of carboxylic acids are faced with the significant challenges in efficiently breaking multiple C-O bonds and achieving broad applicability across diverse carboxylic acids, thereby hampering the development and application of this field. In this work, through the cooperation of multiple catalysts, we realized a dedioxygenative phosphonylation of carboxylic acids that is applicable to both aliphatic and aromatic substrates, showing good scope and functional-group tolerance. This protocol also demonstrates promising performance in the late-stage modification of complex molecules. Meanwhile, it establishes a formal deoxygenative coupling approach that enables rapid access to alkenes from carboxylic acids and aldehydes or alcohols. Mechanistic studies reveal distinct activation modes for different C-O bonds and further highlight a carbon-retentive transformation pattern of carboxylic acids, complementing conventional carbon-deletion decarboxylative phosphonylation based on redox-active esters or other strategies.</w:t>
      </w:r>
    </w:p>
    <w:p>
      <w:pPr>
        <w:spacing w:before="120" w:after="120"/>
      </w:pPr>
      <w:r>
        <w:rPr>
          <w:sz w:val="18"/>
        </w:rPr>
        <w:t>——————————————————————————————————————————————————————————————————————</w:t>
      </w:r>
    </w:p>
    <w:p>
      <w:pPr>
        <w:spacing w:before="160" w:after="40" w:line="240" w:lineRule="auto"/>
      </w:pPr>
      <w:r>
        <w:rPr>
          <w:b/>
        </w:rPr>
        <w:t xml:space="preserve">[348] </w:t>
      </w:r>
      <w:hyperlink r:id="rId998">
        <w:r>
          <w:rPr>
            <w:color w:val="1155CC"/>
            <w:u w:val="single"/>
          </w:rPr>
          <w:t>从卫星图像实时估计云特性和表面下降长波辐射：两阶段替代建模方法</w:t>
        </w:r>
      </w:hyperlink>
    </w:p>
    <w:p>
      <w:pPr>
        <w:spacing w:before="0" w:after="80"/>
      </w:pPr>
      <w:r>
        <w:rPr>
          <w:i/>
          <w:sz w:val="20"/>
        </w:rPr>
        <w:t>EN: Real-time estimation of cloud properties and surface downwelling longwave radiation from satellite imagery: A two-stage surrogate modeling approach</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[349] </w:t>
      </w:r>
      <w:hyperlink r:id="rId999">
        <w:r>
          <w:rPr>
            <w:color w:val="1155CC"/>
            <w:u w:val="single"/>
          </w:rPr>
          <w:t>考虑基于逆变器的可再生资源的电网之间非线性耦合的电力系统暂态稳定性分析评估</w:t>
        </w:r>
      </w:hyperlink>
    </w:p>
    <w:p>
      <w:pPr>
        <w:spacing w:before="0" w:after="80"/>
      </w:pPr>
      <w:r>
        <w:rPr>
          <w:i/>
          <w:sz w:val="20"/>
        </w:rPr>
        <w:t>EN: Analytical power system transient stability assessment considering nonlinear couplings among grid following inverter-based renewable resources</w:t>
      </w:r>
    </w:p>
    <w:p>
      <w:pPr>
        <w:spacing w:before="0" w:after="120"/>
      </w:pPr>
      <w:r>
        <w:rPr>
          <w:b/>
        </w:rPr>
        <w:t xml:space="preserve">Source: </w:t>
      </w:r>
      <w:r>
        <w:t>ScienceDirect Publication: Applied Energy</w:t>
      </w:r>
      <w:r>
        <w:t xml:space="preserve">    </w:t>
      </w:r>
      <w:r>
        <w:rPr>
          <w:b/>
        </w:rPr>
        <w:t xml:space="preserve">Pub date: </w:t>
      </w:r>
      <w:r>
        <w:t>2026-07-15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[350] </w:t>
      </w:r>
      <w:hyperlink r:id="rId1000">
        <w:r>
          <w:rPr>
            <w:color w:val="1155CC"/>
            <w:u w:val="single"/>
          </w:rPr>
          <w:t>被篡改的数据集可能会欺骗人工智能代理</w:t>
        </w:r>
      </w:hyperlink>
    </w:p>
    <w:p>
      <w:pPr>
        <w:spacing w:before="0" w:after="80"/>
      </w:pPr>
      <w:r>
        <w:rPr>
          <w:i/>
          <w:sz w:val="20"/>
        </w:rPr>
        <w:t>EN: Doctored data sets could trick AI agents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01">
        <w:r>
          <w:rPr>
            <w:color w:val="1155CC"/>
            <w:u w:val="single"/>
          </w:rPr>
          <w:t>10.1038/d41586-026-02071-w</w:t>
        </w:r>
      </w:hyperlink>
    </w:p>
    <w:p>
      <w:pPr>
        <w:spacing w:before="0" w:after="120"/>
      </w:pPr>
      <w:r>
        <w:rPr>
          <w:b/>
        </w:rPr>
        <w:t xml:space="preserve">Notes: </w:t>
      </w:r>
      <w:r>
        <w:t>abstract_source=nature_html</w:t>
      </w:r>
    </w:p>
    <w:p>
      <w:pPr>
        <w:spacing w:before="0" w:after="80" w:lineRule="auto" w:line="276"/>
      </w:pPr>
      <w:r>
        <w:rPr>
          <w:b/>
        </w:rPr>
        <w:t xml:space="preserve">摘要（ZH）: </w:t>
      </w:r>
      <w:r>
        <w:t>研究人员警告说，“中毒”信息可能会破坏自主分析数据工具的可靠性。研究人员警告说，“中毒”信息可能会破坏自主分析数据工具的可靠性。</w:t>
      </w:r>
    </w:p>
    <w:p>
      <w:pPr>
        <w:spacing w:before="0" w:after="200" w:lineRule="auto" w:line="276"/>
      </w:pPr>
      <w:r>
        <w:rPr>
          <w:b/>
        </w:rPr>
        <w:t xml:space="preserve">Abstract (EN): </w:t>
      </w:r>
      <w:r>
        <w:t>Researchers warn that ‘poisoned’ information can undermine the reliability of tools that analyse data autonomously. Researchers warn that ‘poisoned’ information can undermine the reliability of tools that analyse data autonomously.</w:t>
      </w:r>
    </w:p>
    <w:p>
      <w:pPr>
        <w:spacing w:before="120" w:after="120"/>
      </w:pPr>
      <w:r>
        <w:rPr>
          <w:sz w:val="18"/>
        </w:rPr>
        <w:t>——————————————————————————————————————————————————————————————————————</w:t>
      </w:r>
    </w:p>
    <w:p>
      <w:pPr>
        <w:spacing w:before="160" w:after="40" w:line="240" w:lineRule="auto"/>
      </w:pPr>
      <w:r>
        <w:rPr>
          <w:b/>
        </w:rPr>
        <w:t xml:space="preserve">[351] </w:t>
      </w:r>
      <w:hyperlink r:id="rId1002">
        <w:r>
          <w:rPr>
            <w:color w:val="1155CC"/>
            <w:u w:val="single"/>
          </w:rPr>
          <w:t>将吸附与反应性解耦：蛋白质展开控制金属有机框架纳米片上的肽键水解</w:t>
        </w:r>
      </w:hyperlink>
    </w:p>
    <w:p>
      <w:pPr>
        <w:spacing w:before="0" w:after="80"/>
      </w:pPr>
      <w:r>
        <w:rPr>
          <w:i/>
          <w:sz w:val="20"/>
        </w:rPr>
        <w:t>EN: Decoupling Adsorption from Reactivity: Protein Unfolding Governs Peptide Bond Hydrolysis on Metal–Organic Framework Nanosheets</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1003">
        <w:r>
          <w:rPr>
            <w:color w:val="1155CC"/>
            <w:u w:val="single"/>
          </w:rPr>
          <w:t>10.1021/jacs.6c08412</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金属有机框架（MOF）因其可调节的结构、高表面积和催化功能而成为生物分子应用的有前途的平台。特别是，基于 Zr 的 MOF 表现出类似蛋白酶的活性；然而，控制 MOF 材料上蛋白质吸附的界面因素及其对肽键裂解的影响仍然知之甚少。在这里，我们采用发光二维金属有机纳米片 LMOF-601 作为平台来研究蛋白质吸附和肽键水解之间的相互作用。 LMOF-601 的纳米片形态增强了表面可及性并最大限度地减少了扩散限制，从而能够通过基于连接体的发光来实时研究蛋白质-MOF 相互作用。使用具有不同理化性质的三种蛋白质（溶菌酶、α-乳白蛋白和肌红蛋白），我们结合吸附等温线、荧光光谱和生物信息学分析来探测界面行为。我们发现仅吸附不足以诱导蛋白质水解；相反，催化活性与吸附诱导的结构适应相关，从而增加了 Zr6O8 节点的肽键可及性。这种适应的程度与内在蛋白质的“柔软度”相关，肌红蛋白表现出最大的荧光响应并被 LMOF-601 选择性切割。这些结果建立了蛋白质内在特性和 MOF 介导的水解之间的关系，并支持了一个机制框架，其中界面适应性而不是单独的吸附强度，</w:t>
      </w:r>
    </w:p>
    <w:p>
      <w:pPr>
        <w:spacing w:before="0" w:after="200" w:lineRule="auto" w:line="276"/>
      </w:pPr>
      <w:r>
        <w:rPr>
          <w:b/>
        </w:rPr>
        <w:t xml:space="preserve">Abstract (EN): </w:t>
      </w:r>
      <w:r>
        <w:t>Metal-organic frameworks (MOFs) are promising platforms for biomolecular applications due to their tunable structures, high surface areas, and catalytic functionality. Zr-based MOFs, in particular, exhibit protease-like activity; however, the interfacial factors governing protein adsorption onto MOF materials and their impact on peptide bond cleavage remain poorly understood. Here, we employ the luminescent two-dimensional metal-organic nanosheet LMOF-601 as a platform to investigate the interplay between protein adsorption and peptide bond hydrolysis. The nanosheet morphology of LMOF-601 enhances surface accessibility and minimizes diffusion limitations, enabling real-time investigation of protein-MOF interactions via linker-based luminescence. Using three proteins with distinct physicochemical properties (lysozyme, α-lactalbumin, and myoglobin) we combine adsorption isotherms, fluorescence spectroscopy, and bioinformatic analysis to probe interfacial behavior. We find that adsorption alone is insufficient to induce protein hydrolysis; instead, catalytic activity is associated with adsorption-induced structural adaptation that increases peptide bond accessibility to the Zr6O8 nodes. The extent of this adaptation correlates with intrinsic protein "softness," with myoglobin exhibiting the largest fluorescence response and undergoing selective cleavage by LMOF-601. These results establish a relationship between intrinsic protein properties and MOF-mediated hydrolysis and support a mechanistic framework in which interfacial adaptability, rather than adsorption strength alone, governs catalytic outcome. More broadly, this work highlights luminescent MONs as sensitive probes of protein-surface interactions and provides molecular-level insight to guide the design of selective MOF-based nanozymes for applications in biocatalysis and biomedicine.</w:t>
      </w:r>
    </w:p>
    <w:p>
      <w:pPr>
        <w:spacing w:before="120" w:after="120"/>
      </w:pPr>
      <w:r>
        <w:rPr>
          <w:sz w:val="18"/>
        </w:rPr>
        <w:t>——————————————————————————————————————————————————————————————————————</w:t>
      </w:r>
    </w:p>
    <w:p>
      <w:pPr>
        <w:spacing w:before="160" w:after="40" w:line="240" w:lineRule="auto"/>
      </w:pPr>
      <w:r>
        <w:rPr>
          <w:b/>
        </w:rPr>
        <w:t xml:space="preserve">[352] </w:t>
      </w:r>
      <w:hyperlink r:id="rId1004">
        <w:r>
          <w:rPr>
            <w:color w:val="1155CC"/>
            <w:u w:val="single"/>
          </w:rPr>
          <w:t>整体偏向的二硫化物化学协调多维面筋网络拓扑</w:t>
        </w:r>
      </w:hyperlink>
    </w:p>
    <w:p>
      <w:pPr>
        <w:spacing w:before="0" w:after="80"/>
      </w:pPr>
      <w:r>
        <w:rPr>
          <w:i/>
          <w:sz w:val="20"/>
        </w:rPr>
        <w:t>EN: Ensemble-Biased Disulfide Chemistry Orchestrates the Multidimensional Gluten Network Topology</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1005">
        <w:r>
          <w:rPr>
            <w:color w:val="1155CC"/>
            <w:u w:val="single"/>
          </w:rPr>
          <w:t>10.1021/jacs.6c07565</w:t>
        </w:r>
      </w:hyperlink>
    </w:p>
    <w:p>
      <w:pPr>
        <w:spacing w:before="0" w:after="120"/>
      </w:pPr>
      <w:r>
        <w:rPr>
          <w:b/>
        </w:rPr>
        <w:t xml:space="preserve">Notes: </w:t>
      </w:r>
      <w:r>
        <w:t>abstract_source=pubmed</w:t>
      </w:r>
    </w:p>
    <w:p>
      <w:pPr>
        <w:spacing w:before="0" w:after="80" w:lineRule="auto" w:line="276"/>
      </w:pPr>
      <w:r>
        <w:rPr>
          <w:b/>
        </w:rPr>
        <w:t xml:space="preserve">摘要（ZH）: </w:t>
      </w:r>
      <w:r>
        <w:t>将小麦粉与水混合，将原本可分散的粉末转变为能够承受较大变形的粘性且可延展的面团。这种可塑性材料的出现是由于麦谷蛋白亚基的聚合。然而，控制这种转变的分子原理仍不清楚。在这里，我们研究了高分子量麦谷蛋白亚基 1Dx5 (1Dx5-NTD) N 端结构域的水合诱导的关联行为。水合后，1Dx5-NTD 采用塌陷的异质整体，而不是单一的、明确的折叠结构，并经历分子间关联形成从三聚体到约 70,000 聚体的组装体。这些关联主要由有利的焓相互作用决定，而该相互作用受中等离子强度的调节。疏水性残基（Tyr52、Phe65、Tyr66 和 Trp82）被埋藏在塌陷的单体内，但通过相关的整体动力学间接调节蛋白质关联，这一点得到了突变分析的支持。重要的是，1Dx5-NTD 包含三个半胱氨酸残基（Cys10、Cys25 和 Cys40），它们在缔合过程中形成二硫键。虽然多种二硫键模式在化学上是可能的，但基于质谱的交联分析揭示了优先二硫键的有限子集。这一发现表明二硫键的形成受到构象整体和局部半胱氨酸可及性的影响，而不是随机发生。总之，这些结果支持了一个模型，其中麦谷蛋白聚合来自整体平均 i</w:t>
      </w:r>
    </w:p>
    <w:p>
      <w:pPr>
        <w:spacing w:before="0" w:after="200" w:lineRule="auto" w:line="276"/>
      </w:pPr>
      <w:r>
        <w:rPr>
          <w:b/>
        </w:rPr>
        <w:t xml:space="preserve">Abstract (EN): </w:t>
      </w:r>
      <w:r>
        <w:t>Mixing wheat flour with water transforms an otherwise dispersible powder into a cohesive and extensible dough capable of sustaining large deformations. The emergence of this malleable material is due to polymerization of glutenin subunits. However, the molecular principles governing this transformation remain unclear. Here, we investigate the hydration-induced association behavior of the N-terminal domain of the high-molecular-weight glutenin subunit 1Dx5 (1Dx5-NTD). Upon hydration, 1Dx5-NTD adopts a collapsed, heterogeneous ensemble rather than a single, well-defined folded structure and undergoes intermolecular association into assemblies ranging from trimers to ∼70,000-mers. These associations are primarily determined by favorable enthalpic interactions that are modulated by moderate ionic strength. Hydrophobic residues (Tyr52, Phe65, Tyr66, and Trp82) are buried within the collapsed monomer yet indirectly modulate protein association through correlated ensemble dynamics, as supported by mutational analysis. Importantly, 1Dx5-NTD contains three cysteine residues (Cys10, Cys25, and Cys40) that undergo disulfide bond formation during association. While multiple disulfide linkage patterns are chemically possible, mass spectrometry-based cross-linking analysis reveals a limited subset of preferential disulfide linkages. This finding suggests that disulfide formation is biased by the conformational ensemble and local cysteine accessibility, rather than occurring randomly. Together, these results support a model in which glutenin polymerization emerges from ensemble-averaged intermolecular contacts coupled with statistically biased disulfide bond formation, giving rise to a cohesive, multidimensional protein network without requiring a uniquely defined folded structure. This work highlights how collapsed protein ensembles can encode chemical selectivity and macroscopic material properties.</w:t>
      </w:r>
    </w:p>
    <w:p>
      <w:pPr>
        <w:spacing w:before="120" w:after="120"/>
      </w:pPr>
      <w:r>
        <w:rPr>
          <w:sz w:val="18"/>
        </w:rPr>
        <w:t>——————————————————————————————————————————————————————————————————————</w:t>
      </w:r>
    </w:p>
    <w:p>
      <w:pPr>
        <w:spacing w:before="160" w:after="40" w:line="240" w:lineRule="auto"/>
      </w:pPr>
      <w:r>
        <w:rPr>
          <w:b/>
        </w:rPr>
        <w:t xml:space="preserve">[353] </w:t>
      </w:r>
      <w:hyperlink r:id="rId1006">
        <w:r>
          <w:rPr>
            <w:color w:val="1155CC"/>
            <w:u w:val="single"/>
          </w:rPr>
          <w:t>效率滚降可忽略不计的超亮近红外无铅钙钛矿发光二极管</w:t>
        </w:r>
      </w:hyperlink>
    </w:p>
    <w:p>
      <w:pPr>
        <w:spacing w:before="0" w:after="80"/>
      </w:pPr>
      <w:r>
        <w:rPr>
          <w:i/>
          <w:sz w:val="20"/>
        </w:rPr>
        <w:t>EN: Ultrabright Near-Infrared Lead-Free Perovskite Light-Emitting Diodes with Negligible Efficiency Roll-Off</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1007">
        <w:r>
          <w:rPr>
            <w:color w:val="1155CC"/>
            <w:u w:val="single"/>
          </w:rPr>
          <w:t>10.1021/jacs.6c05302</w:t>
        </w:r>
      </w:hyperlink>
    </w:p>
    <w:p>
      <w:pPr>
        <w:spacing w:before="0" w:after="120"/>
      </w:pPr>
      <w:r>
        <w:rPr>
          <w:b/>
        </w:rPr>
        <w:t xml:space="preserve">Notes: </w:t>
      </w:r>
      <w:r>
        <w:t>abstract_source=pubmed</w:t>
      </w:r>
    </w:p>
    <w:p>
      <w:pPr>
        <w:spacing w:before="0" w:after="80" w:lineRule="auto" w:line="276"/>
      </w:pPr>
      <w:r>
        <w:rPr>
          <w:b/>
        </w:rPr>
        <w:t xml:space="preserve">摘要（ZH）: </w:t>
      </w:r>
      <w:r>
        <w:t>无铅卤化物钙钛矿半导体受益于可调谐的光电特性和溶液可加工性，在发光二极管（LED）方面显示出巨大的前景。然而，它们在高电流密度 LED 中的实际应用从根本上受到严重的效率滚降的限制，这主要是由非辐射复合和载流子引起的结构不稳定性引起的。在这项研究中，我们引入了一种分子 N,N'-二苯基硫脲 (DPTA) 工程设计的锡钙钛矿半导体 (CsSnI3)，该半导体在载流子浓度为 1018 cm-3 时实现了 36% 的光致发光量子效率 (PLQE)。我们的方法能够精确控制载流子浓度和晶格生长。高分辨率透射电子显微镜进一步表明，掺杂薄膜中均匀的局部应变分布增强了载流子波函数重叠，从而显着提高了 PLQE。利用经 DPTA 处理的 CsSnI3 增强的光电特性，我们制造的近红外 LED 具有 13.4% 的外量子效率 (EQE) 和前所未有的 1248 W sr-1 m-2 峰值辐射率，即使在脉冲模式操作中超过 3500 mA cm-2 的高电流密度下，效率滚降也极小。这项工作介绍了一种新的无铅钙钛矿材料掺杂策略，展示了它们在高功率光电应用中的潜力，并提高了电泵浦钙钛矿激光二极管的可行性。</w:t>
      </w:r>
    </w:p>
    <w:p>
      <w:pPr>
        <w:spacing w:before="0" w:after="200" w:lineRule="auto" w:line="276"/>
      </w:pPr>
      <w:r>
        <w:rPr>
          <w:b/>
        </w:rPr>
        <w:t xml:space="preserve">Abstract (EN): </w:t>
      </w:r>
      <w:r>
        <w:t>Lead-free halide perovskite semiconductors show great promise for light-emitting diodes (LEDs), benefiting from tunable optoelectronic properties and solution processability. However, their practical applications in high-current-density LEDs are fundamentally constrained by severe efficiency roll-off, primarily caused by nonradiative recombination and carrier-induced structural instabilities. In this study, we introduce a molecular N,N'-diphenylthiourea (DPTA)-engineered tin perovskite semiconductor (CsSnI3) that achieves a photoluminescence quantum efficiency (PLQE) of 36% at a carrier concentration of 1018 cm-3. Our approach enables precise control over the charge-carrier concentration and lattice growth. High-resolution transmission electron microscopy further demonstrates that the uniform local strain distribution in the doped films enhances carrier wave-function overlap, leading to a substantial boost in PLQE. Leveraging the enhanced optoelectronic properties of DPTA-treated CsSnI3, we fabricate near-infrared LEDs that exhibit an external quantum efficiency (EQE) of 13.4% and an unprecedented peak radiance of 1248 W sr-1 m-2, with minimal efficiency roll-off even at high current densities exceeding 3500 mA cm-2 in pulse-mode operation. This work introduces a new material-doping strategy for lead-free perovskites, demonstrating their potential for high-power optoelectronic applications and advancing the feasibility of electrically pumped perovskite laser diodes.</w:t>
      </w:r>
    </w:p>
    <w:p>
      <w:pPr>
        <w:spacing w:before="120" w:after="120"/>
      </w:pPr>
      <w:r>
        <w:rPr>
          <w:sz w:val="18"/>
        </w:rPr>
        <w:t>——————————————————————————————————————————————————————————————————————</w:t>
      </w:r>
    </w:p>
    <w:p>
      <w:pPr>
        <w:spacing w:before="160" w:after="40" w:line="240" w:lineRule="auto"/>
      </w:pPr>
      <w:r>
        <w:rPr>
          <w:b/>
        </w:rPr>
        <w:t xml:space="preserve">[354] </w:t>
      </w:r>
      <w:hyperlink r:id="rId1008">
        <w:r>
          <w:rPr>
            <w:color w:val="1155CC"/>
            <w:u w:val="single"/>
          </w:rPr>
          <w:t>由钙钛矿材料制成的蓝色 LED 因氢键而发出明亮的光</w:t>
        </w:r>
      </w:hyperlink>
    </w:p>
    <w:p>
      <w:pPr>
        <w:spacing w:before="0" w:after="80"/>
      </w:pPr>
      <w:r>
        <w:rPr>
          <w:i/>
          <w:sz w:val="20"/>
        </w:rPr>
        <w:t>EN: Blue LEDs made from perovskite material shine bright thanks to hydrogen bonds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09">
        <w:r>
          <w:rPr>
            <w:color w:val="1155CC"/>
            <w:u w:val="single"/>
          </w:rPr>
          <w:t>10.1038/d41586-026-02161-9</w:t>
        </w:r>
      </w:hyperlink>
    </w:p>
    <w:p>
      <w:pPr>
        <w:spacing w:before="0" w:after="120"/>
      </w:pPr>
      <w:r>
        <w:rPr>
          <w:b/>
        </w:rPr>
        <w:t xml:space="preserve">Notes: </w:t>
      </w:r>
      <w:r>
        <w:t>abstract_source=nature_html</w:t>
      </w:r>
    </w:p>
    <w:p>
      <w:pPr>
        <w:spacing w:before="0" w:after="80" w:lineRule="auto" w:line="276"/>
      </w:pPr>
      <w:r>
        <w:rPr>
          <w:b/>
        </w:rPr>
        <w:t xml:space="preserve">摘要（ZH）: </w:t>
      </w:r>
      <w:r>
        <w:t>具有宽色彩范围的高清显示器需要蓝色发光二极管 (LED)。现在，通过添加可产生氢键网络的异构分子，稳定钙钛矿晶体的八面体结构，可以制造出包含钙钛矿制成的发射器的高效、稳定且色彩饱和的蓝色 LED。通过添加异构分子产生的氢键网络稳定了钙钛矿的发光层。</w:t>
      </w:r>
    </w:p>
    <w:p>
      <w:pPr>
        <w:spacing w:before="0" w:after="200" w:lineRule="auto" w:line="276"/>
      </w:pPr>
      <w:r>
        <w:rPr>
          <w:b/>
        </w:rPr>
        <w:t xml:space="preserve">Abstract (EN): </w:t>
      </w:r>
      <w:r>
        <w:t>Blue light-emitting diodes (LEDs) are needed for high-definition displays with wide colour range. Efficient, stable and colour-saturated blue LEDs containing emitters made of perovskites have now been fabricated by adding isomeric molecules that generate a network of hydrogen bonds, stabilizing the octahedral structure of the perovskite crystal. A network of hydrogen bonds generated by adding isomeric molecules stabilizes the light-emitting layer of perovskites.</w:t>
      </w:r>
    </w:p>
    <w:p>
      <w:pPr>
        <w:spacing w:before="120" w:after="120"/>
      </w:pPr>
      <w:r>
        <w:rPr>
          <w:sz w:val="18"/>
        </w:rPr>
        <w:t>——————————————————————————————————————————————————————————————————————</w:t>
      </w:r>
    </w:p>
    <w:p>
      <w:pPr>
        <w:spacing w:before="160" w:after="40" w:line="240" w:lineRule="auto"/>
      </w:pPr>
      <w:r>
        <w:rPr>
          <w:b/>
        </w:rPr>
        <w:t xml:space="preserve">[355] </w:t>
      </w:r>
      <w:hyperlink r:id="rId1010">
        <w:r>
          <w:rPr>
            <w:color w:val="1155CC"/>
            <w:u w:val="single"/>
          </w:rPr>
          <w:t>高脂肪、低碳水化合物饮食可能会滋生肠道肿瘤</w:t>
        </w:r>
      </w:hyperlink>
    </w:p>
    <w:p>
      <w:pPr>
        <w:spacing w:before="0" w:after="80"/>
      </w:pPr>
      <w:r>
        <w:rPr>
          <w:i/>
          <w:sz w:val="20"/>
        </w:rPr>
        <w:t>EN: A high-fat, low-carbohydrate diet can feed intestinal tumours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11">
        <w:r>
          <w:rPr>
            <w:color w:val="1155CC"/>
            <w:u w:val="single"/>
          </w:rPr>
          <w:t>10.1038/d41586-026-02039-w</w:t>
        </w:r>
      </w:hyperlink>
    </w:p>
    <w:p>
      <w:pPr>
        <w:spacing w:before="0" w:after="120"/>
      </w:pPr>
      <w:r>
        <w:rPr>
          <w:b/>
        </w:rPr>
        <w:t xml:space="preserve">Notes: </w:t>
      </w:r>
      <w:r>
        <w:t>abstract_source=nature_html</w:t>
      </w:r>
    </w:p>
    <w:p>
      <w:pPr>
        <w:spacing w:before="0" w:after="80" w:lineRule="auto" w:line="276"/>
      </w:pPr>
      <w:r>
        <w:rPr>
          <w:b/>
        </w:rPr>
        <w:t xml:space="preserve">摘要（ZH）: </w:t>
      </w:r>
      <w:r>
        <w:t>生酮饮食会促进易感小鼠小肠肿瘤的生长。对于人类来说，饮食建议可能需要根据个人癌症风险进行调整。生酮饮食会促进易感小鼠小肠肿瘤的生长。对于人类来说，饮食建议可能需要根据个人癌症风险进行调整。</w:t>
      </w:r>
    </w:p>
    <w:p>
      <w:pPr>
        <w:spacing w:before="0" w:after="200" w:lineRule="auto" w:line="276"/>
      </w:pPr>
      <w:r>
        <w:rPr>
          <w:b/>
        </w:rPr>
        <w:t xml:space="preserve">Abstract (EN): </w:t>
      </w:r>
      <w:r>
        <w:t>A ketogenic diet promotes tumour growth in the small intestine in susceptible mice. In people, diet advice might need to be tailored to individual cancer risks. A ketogenic diet promotes tumour growth in the small intestine in susceptible mice. In people, diet advice might need to be tailored to individual cancer risks.</w:t>
      </w:r>
    </w:p>
    <w:p>
      <w:pPr>
        <w:spacing w:before="120" w:after="120"/>
      </w:pPr>
      <w:r>
        <w:rPr>
          <w:sz w:val="18"/>
        </w:rPr>
        <w:t>——————————————————————————————————————————————————————————————————————</w:t>
      </w:r>
    </w:p>
    <w:p>
      <w:pPr>
        <w:spacing w:before="160" w:after="40" w:line="240" w:lineRule="auto"/>
      </w:pPr>
      <w:r>
        <w:rPr>
          <w:b/>
        </w:rPr>
        <w:t xml:space="preserve">[356] </w:t>
      </w:r>
      <w:hyperlink r:id="rId1012">
        <w:r>
          <w:rPr>
            <w:color w:val="1155CC"/>
            <w:u w:val="single"/>
          </w:rPr>
          <w:t>为什么需要就不平等问题进行全球辩论</w:t>
        </w:r>
      </w:hyperlink>
    </w:p>
    <w:p>
      <w:pPr>
        <w:spacing w:before="0" w:after="80"/>
      </w:pPr>
      <w:r>
        <w:rPr>
          <w:i/>
          <w:sz w:val="20"/>
        </w:rPr>
        <w:t>EN: Why there needs to be a global debate on inequality</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13">
        <w:r>
          <w:rPr>
            <w:color w:val="1155CC"/>
            <w:u w:val="single"/>
          </w:rPr>
          <w:t>10.1038/d41586-026-02147-7</w:t>
        </w:r>
      </w:hyperlink>
    </w:p>
    <w:p>
      <w:pPr>
        <w:spacing w:before="0" w:after="120"/>
      </w:pPr>
      <w:r>
        <w:rPr>
          <w:b/>
        </w:rPr>
        <w:t xml:space="preserve">Notes: </w:t>
      </w:r>
      <w:r>
        <w:t>abstract_source=nature_html</w:t>
      </w:r>
    </w:p>
    <w:p>
      <w:pPr>
        <w:spacing w:before="0" w:after="80" w:lineRule="auto" w:line="276"/>
      </w:pPr>
      <w:r>
        <w:rPr>
          <w:b/>
        </w:rPr>
        <w:t xml:space="preserve">摘要（ZH）: </w:t>
      </w:r>
      <w:r>
        <w:t>研究人员有责任就这一关键问题寻求共识，无论是为了子孙后代还是地球的未来。研究人员有责任就这一关键问题寻求共识，无论是为了子孙后代还是地球的未来。</w:t>
      </w:r>
    </w:p>
    <w:p>
      <w:pPr>
        <w:spacing w:before="0" w:after="200" w:lineRule="auto" w:line="276"/>
      </w:pPr>
      <w:r>
        <w:rPr>
          <w:b/>
        </w:rPr>
        <w:t xml:space="preserve">Abstract (EN): </w:t>
      </w:r>
      <w:r>
        <w:t>Researchers have a responsibility to search for consensus on this crucial issue, both for future generations and the future of our planet. Researchers have a responsibility to search for consensus on this crucial issue, both for future generations and the future of our planet.</w:t>
      </w:r>
    </w:p>
    <w:p>
      <w:pPr>
        <w:spacing w:before="120" w:after="120"/>
      </w:pPr>
      <w:r>
        <w:rPr>
          <w:sz w:val="18"/>
        </w:rPr>
        <w:t>——————————————————————————————————————————————————————————————————————</w:t>
      </w:r>
    </w:p>
    <w:p>
      <w:pPr>
        <w:spacing w:before="160" w:after="40" w:line="240" w:lineRule="auto"/>
      </w:pPr>
      <w:r>
        <w:rPr>
          <w:b/>
        </w:rPr>
        <w:t xml:space="preserve">[357] </w:t>
      </w:r>
      <w:hyperlink r:id="rId1014">
        <w:r>
          <w:rPr>
            <w:color w:val="1155CC"/>
            <w:u w:val="single"/>
          </w:rPr>
          <w:t>[V 2 As 17 ] 3– 和 [V 2 Sb 17 ] 4– 的结构化学：V-Pn 和 Pn-Pn 键合之间的复杂相互作用</w:t>
        </w:r>
      </w:hyperlink>
    </w:p>
    <w:p>
      <w:pPr>
        <w:spacing w:before="0" w:after="80"/>
      </w:pPr>
      <w:r>
        <w:rPr>
          <w:i/>
          <w:sz w:val="20"/>
        </w:rPr>
        <w:t>EN: Structural Chemistry of [V 2 As 17 ] 3– and [V 2 Sb 17 ] 4– : A Complex Interplay between V-Pn and Pn-Pn Bonding</w:t>
      </w:r>
    </w:p>
    <w:p>
      <w:pPr>
        <w:spacing w:before="0" w:after="120"/>
      </w:pPr>
      <w:r>
        <w:rPr>
          <w:b/>
        </w:rPr>
        <w:t xml:space="preserve">Source: </w:t>
      </w:r>
      <w:r>
        <w:t>Journal of the American Chemical Society: Latest Articles (ACS Publications)</w:t>
      </w:r>
      <w:r>
        <w:t xml:space="preserve">    </w:t>
      </w:r>
      <w:r>
        <w:rPr>
          <w:b/>
        </w:rPr>
        <w:t xml:space="preserve">Pub date: </w:t>
      </w:r>
      <w:r>
        <w:t>2026-07-15 00:00:00+00:00</w:t>
      </w:r>
      <w:r>
        <w:t xml:space="preserve">    </w:t>
      </w:r>
      <w:r>
        <w:rPr>
          <w:b/>
        </w:rPr>
        <w:t xml:space="preserve">DOI: </w:t>
      </w:r>
      <w:hyperlink r:id="rId1015">
        <w:r>
          <w:rPr>
            <w:color w:val="1155CC"/>
            <w:u w:val="single"/>
          </w:rPr>
          <w:t>10.1021/jacs.6c11866</w:t>
        </w:r>
      </w:hyperlink>
    </w:p>
    <w:p>
      <w:pPr>
        <w:spacing w:before="0" w:after="120"/>
      </w:pPr>
      <w:r>
        <w:rPr>
          <w:b/>
        </w:rPr>
        <w:t xml:space="preserve">Notes: </w:t>
      </w:r>
      <w:r>
        <w:t>abstract_source=pubmed</w:t>
      </w:r>
    </w:p>
    <w:p>
      <w:pPr>
        <w:spacing w:before="0" w:after="80" w:lineRule="auto" w:line="276"/>
      </w:pPr>
      <w:r>
        <w:rPr>
          <w:b/>
        </w:rPr>
        <w:t xml:space="preserve">摘要（ZH）: </w:t>
      </w:r>
      <w:r>
        <w:t>较重的磷元素（P、As、Sb 和 Bi）形成广泛链状结构的能力已得到充分证实，并且已知多种结构，包括孤立离子及其配位络合物。在这项工作中，我们报告了两个新的钒簇，[V2As17]3-和[V2Sb17]4-，它们包含由单个桥接原子连接的冠状VPn8单元。使用 ESI-MS 进行的反应监测表明，生长途径涉及 VPn8 和 VPn9 单位，后者在反应混合物中短暂出现。密度泛函理论揭示了氧化还原活性轨道具有 Pn-Pn 反键特性：因此，这两个簇可以被认为映射了将完全分离的片段连接到单个融合的 Pn17 单元的势能表面的一部分。</w:t>
      </w:r>
    </w:p>
    <w:p>
      <w:pPr>
        <w:spacing w:before="0" w:after="200" w:lineRule="auto" w:line="276"/>
      </w:pPr>
      <w:r>
        <w:rPr>
          <w:b/>
        </w:rPr>
        <w:t xml:space="preserve">Abstract (EN): </w:t>
      </w:r>
      <w:r>
        <w:t>The ability of the heavier pnictogen elements, P, As, Sb and Bi, to form extensively catenated structures is well established, and a wide range of architectures is known, both for the isolated ions and for their coordination complexes. In this work, we report two new vanadium clusters, [V2As17]3- and [V2Sb17]4-, which contain crown-like VPn8 units, linked by a single bridging atom. Reaction monitoring using ESI-MS suggests a growth pathway involving both VPn8 and VPn9 units, the latter appearing transiently in the reaction mixture. Density functional theory reveals that the redox-active orbital has Pn-Pn antibonding character: the two clusters can therefore be considered to map a segment of the potential energy surface linking the entirely separated fragments to a single fused Pn17 unit.</w:t>
      </w:r>
    </w:p>
    <w:p>
      <w:pPr>
        <w:spacing w:before="120" w:after="120"/>
      </w:pPr>
      <w:r>
        <w:rPr>
          <w:sz w:val="18"/>
        </w:rPr>
        <w:t>——————————————————————————————————————————————————————————————————————</w:t>
      </w:r>
    </w:p>
    <w:p>
      <w:pPr>
        <w:spacing w:before="160" w:after="40" w:line="240" w:lineRule="auto"/>
      </w:pPr>
      <w:r>
        <w:rPr>
          <w:b/>
        </w:rPr>
        <w:t xml:space="preserve">[358] </w:t>
      </w:r>
      <w:hyperlink r:id="rId1016">
        <w:r>
          <w:rPr>
            <w:color w:val="1155CC"/>
            <w:u w:val="single"/>
          </w:rPr>
          <w:t>超越锂：钠离子电池如何改变世界</w:t>
        </w:r>
      </w:hyperlink>
    </w:p>
    <w:p>
      <w:pPr>
        <w:spacing w:before="0" w:after="80"/>
      </w:pPr>
      <w:r>
        <w:rPr>
          <w:i/>
          <w:sz w:val="20"/>
        </w:rPr>
        <w:t>EN: Beyond lithium: how sodium-ion batteries could change the world</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17">
        <w:r>
          <w:rPr>
            <w:color w:val="1155CC"/>
            <w:u w:val="single"/>
          </w:rPr>
          <w:t>10.1038/d41586-026-02150-y</w:t>
        </w:r>
      </w:hyperlink>
    </w:p>
    <w:p>
      <w:pPr>
        <w:spacing w:before="0" w:after="120"/>
      </w:pPr>
      <w:r>
        <w:rPr>
          <w:b/>
        </w:rPr>
        <w:t xml:space="preserve">Notes: </w:t>
      </w:r>
      <w:r>
        <w:t>abstract_source=nature_html</w:t>
      </w:r>
    </w:p>
    <w:p>
      <w:pPr>
        <w:spacing w:before="0" w:after="80" w:lineRule="auto" w:line="276"/>
      </w:pPr>
      <w:r>
        <w:rPr>
          <w:b/>
        </w:rPr>
        <w:t xml:space="preserve">摘要（ZH）: </w:t>
      </w:r>
      <w:r>
        <w:t>基于钠离子的电池正在进入批量生产。一些研究人员表示，它们最终可能成为电动汽车和其他能源应用中锂的更便宜、更安全的替代品。基于钠离子的电池正在进入批量生产。一些研究人员表示，它们最终可能成为电动汽车和其他能源应用中锂的更便宜、更安全的替代品。</w:t>
      </w:r>
    </w:p>
    <w:p>
      <w:pPr>
        <w:spacing w:before="0" w:after="200" w:lineRule="auto" w:line="276"/>
      </w:pPr>
      <w:r>
        <w:rPr>
          <w:b/>
        </w:rPr>
        <w:t xml:space="preserve">Abstract (EN): </w:t>
      </w:r>
      <w:r>
        <w:t>Batteries based on sodium ions are entering mass production. Some researchers say they could ultimately be a cheaper, safer alternative to lithium in electric cars and other energy applications. Batteries based on sodium ions are entering mass production. Some researchers say they could ultimately be a cheaper, safer alternative to lithium in electric cars and other energy applications.</w:t>
      </w:r>
    </w:p>
    <w:p>
      <w:pPr>
        <w:spacing w:before="120" w:after="120"/>
      </w:pPr>
      <w:r>
        <w:rPr>
          <w:sz w:val="18"/>
        </w:rPr>
        <w:t>——————————————————————————————————————————————————————————————————————</w:t>
      </w:r>
    </w:p>
    <w:p>
      <w:pPr>
        <w:spacing w:before="160" w:after="40" w:line="240" w:lineRule="auto"/>
      </w:pPr>
      <w:r>
        <w:rPr>
          <w:b/>
        </w:rPr>
        <w:t xml:space="preserve">[359] </w:t>
      </w:r>
      <w:hyperlink r:id="rId1018">
        <w:r>
          <w:rPr>
            <w:color w:val="1155CC"/>
            <w:u w:val="single"/>
          </w:rPr>
          <w:t>突现压电作为原子级精确铜纳米团簇晶体中机械发光的驱动力</w:t>
        </w:r>
      </w:hyperlink>
    </w:p>
    <w:p>
      <w:pPr>
        <w:spacing w:before="0" w:after="80"/>
      </w:pPr>
      <w:r>
        <w:rPr>
          <w:i/>
          <w:sz w:val="20"/>
        </w:rPr>
        <w:t>EN: Emergent piezoelectricity as the driving force for mechanoluminescence in crystals of atomically precise copper nanoclusters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机械发光（ML）是一种力响应自发光现象，很早以前就被观察到。然而，由于发光过程的复杂性，机器学习的基本机制仍然不明确。原子精确的金属纳米团簇有望成为解开特定纳米系统中机器学习机制的理想模型系统。在此，我们报告了金属纳米团簇机械发光晶体的观察。 Cu7 团簇在非中心对称三角空间群中结晶，在受到机械应力时表现出亮绿色的 ML。通过压电实验和理论计算，我们证明了晶体机械变形产生的压电性导致晶体内内部偶极子的不对称分布。此外，外力作用下的晶体破裂会引起电荷分离。这种改变调节跃迁偶极矩并通过应变诱导的电荷不对称性诱导局部电子跃迁，从而触发应力依赖性发光。这些发现为原子水平的纳米团簇系统中的机器学习机制提供了深入的见解。</w:t>
      </w:r>
    </w:p>
    <w:p>
      <w:pPr>
        <w:spacing w:before="0" w:after="200" w:lineRule="auto" w:line="276"/>
      </w:pPr>
      <w:r>
        <w:rPr>
          <w:b/>
        </w:rPr>
        <w:t xml:space="preserve">Abstract (EN): </w:t>
      </w:r>
      <w:r>
        <w:t>Mechanoluminescence (ML) is a phenomenon of force-response self-luminescence, which was observed long ago. However, the underlying mechanism of ML remains ambiguous due to the complexity of light-emitting processes. Atomically precise metal nanoclusters are expected to serve as ideal model systems for unraveling ML mechanisms in specific nano-systems. Herein, we report the observation of mechanoluminescent crystals of metal nanoclusters. Cu7 clusters, which crystallize in a non-centrosymmetric trigonal space group, exhibit bright green ML when subjected to mechanical stress. Through piezoelectric experiments and theoretical calculations, we demonstrate that piezoelectricity arising from mechanical deformation of the crystal leads to an asymmetric distribution of internal dipoles within the crystal. Furthermore, crystal fracture under external force induces charge separation. Such alterations modulate the transition dipole moments and induce localized electronic transitions through strain-induced charge asymmetry, thus triggering stress-dependent luminescence. The findings provide insights into the mechanism of ML in a nanocluster system at the atomic level.</w:t>
      </w:r>
    </w:p>
    <w:p>
      <w:pPr>
        <w:spacing w:before="120" w:after="120"/>
      </w:pPr>
      <w:r>
        <w:rPr>
          <w:sz w:val="18"/>
        </w:rPr>
        <w:t>——————————————————————————————————————————————————————————————————————</w:t>
      </w:r>
    </w:p>
    <w:p>
      <w:pPr>
        <w:spacing w:before="160" w:after="40" w:line="240" w:lineRule="auto"/>
      </w:pPr>
      <w:r>
        <w:rPr>
          <w:b/>
        </w:rPr>
        <w:t xml:space="preserve">[360] </w:t>
      </w:r>
      <w:hyperlink r:id="rId1019">
        <w:r>
          <w:rPr>
            <w:color w:val="1155CC"/>
            <w:u w:val="single"/>
          </w:rPr>
          <w:t>用于单细胞神经代谢成像的集成双光子和光声显微镜</w:t>
        </w:r>
      </w:hyperlink>
    </w:p>
    <w:p>
      <w:pPr>
        <w:spacing w:before="0" w:after="80"/>
      </w:pPr>
      <w:r>
        <w:rPr>
          <w:i/>
          <w:sz w:val="20"/>
        </w:rPr>
        <w:t>EN: Integrated two-photon and photoacoustic microscopy for single-cell neurometabolic imaging</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了解神经元活动如何与局部能量代谢相结合是大脑功能的基础。单个神经元和红细胞（RBC）之间的氧气交换是这一过程的核心，但现有的方法无法在体内以单细胞分辨率同时捕获它们的动态。在这里，我们介绍了集成的双光子和光声显微镜（TPM-PAM），它能够实时成像清醒小鼠中单神经元钙活动以及单个红细胞释放的氧气。在 TPM-PAM 中，基于透明微环谐振器的超声波传感器打破了光学接入和声学灵敏度之间长期存在的权衡，而双波长 kymography 同时量化单红细胞氧合和流量，以得出氧气释放率。 TPM-PAM 将神经血管单元的非线性光学操纵与细胞精度相结合，揭示了对晶须刺激、单毛细血管闭塞和单神经元刺激的独特神经代谢反应。这项工作建立了一个强大的平台，用于在细胞尺度上剖析神经代谢耦合并了解大脑健康和疾病中的氧代谢调节。</w:t>
      </w:r>
    </w:p>
    <w:p>
      <w:pPr>
        <w:spacing w:before="0" w:after="200" w:lineRule="auto" w:line="276"/>
      </w:pPr>
      <w:r>
        <w:rPr>
          <w:b/>
        </w:rPr>
        <w:t xml:space="preserve">Abstract (EN): </w:t>
      </w:r>
      <w:r>
        <w:t>Understanding how neuronal activity couples with local energy metabolism is fundamental to brain function. Oxygen exchange between individual neurons and red blood cells (RBCs) is central to this process, yet no existing method can simultaneously capture their dynamics at single-cell resolution in vivo. Here, we introduce integrated two-photon and photoacoustic microscopy (TPM-PAM), which enables real-time imaging of single-neuron calcium activity alongside oxygen release from individual RBCs in awake mice. In TPM-PAM, a transparent micro-ring resonator-based ultrasound sensor breaks the long-standing tradeoff between optical access and acoustic sensitivity, while dual-wavelength kymography simultaneously quantifies single-RBC oxygenation and flow to derive the oxygen release rate. Incorporating nonlinear optical manipulation of the neurovascular unit with cellular precision, TPM-PAM reveals distinct neurometabolic responses to whisker stimulation, single-capillary occlusion, and single-neuron stimulation. This work establishes a powerful platform for dissecting neurometabolic coupling at the cellular scale and understanding oxygen-metabolic regulation in brain health and disease.</w:t>
      </w:r>
    </w:p>
    <w:p>
      <w:pPr>
        <w:spacing w:before="120" w:after="120"/>
      </w:pPr>
      <w:r>
        <w:rPr>
          <w:sz w:val="18"/>
        </w:rPr>
        <w:t>——————————————————————————————————————————————————————————————————————</w:t>
      </w:r>
    </w:p>
    <w:p>
      <w:pPr>
        <w:spacing w:before="160" w:after="40" w:line="240" w:lineRule="auto"/>
      </w:pPr>
      <w:r>
        <w:rPr>
          <w:b/>
        </w:rPr>
        <w:t xml:space="preserve">[361] </w:t>
      </w:r>
      <w:hyperlink r:id="rId1020">
        <w:r>
          <w:rPr>
            <w:color w:val="1155CC"/>
            <w:u w:val="single"/>
          </w:rPr>
          <w:t>教育机会的改善与创新齐头并进</w:t>
        </w:r>
      </w:hyperlink>
    </w:p>
    <w:p>
      <w:pPr>
        <w:spacing w:before="0" w:after="80"/>
      </w:pPr>
      <w:r>
        <w:rPr>
          <w:i/>
          <w:sz w:val="20"/>
        </w:rPr>
        <w:t>EN: Improvements in educational opportunities go hand in hand with innovation</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21">
        <w:r>
          <w:rPr>
            <w:color w:val="1155CC"/>
            <w:u w:val="single"/>
          </w:rPr>
          <w:t>10.1038/d41586-026-02016-3</w:t>
        </w:r>
      </w:hyperlink>
    </w:p>
    <w:p>
      <w:pPr>
        <w:spacing w:before="0" w:after="120"/>
      </w:pPr>
      <w:r>
        <w:rPr>
          <w:b/>
        </w:rPr>
        <w:t xml:space="preserve">Notes: </w:t>
      </w:r>
      <w:r>
        <w:t>abstract_source=nature_html</w:t>
      </w:r>
    </w:p>
    <w:p>
      <w:pPr>
        <w:spacing w:before="0" w:after="80" w:lineRule="auto" w:line="276"/>
      </w:pPr>
      <w:r>
        <w:rPr>
          <w:b/>
        </w:rPr>
        <w:t xml:space="preserve">摘要（ZH）: </w:t>
      </w:r>
      <w:r>
        <w:t>第一份代际教育流动性纵向区域图集显示，个人教育机会最不依赖父母教育背景的欧洲次国家地区往往拥有最多的创新，如专利数量所示。欧洲地区的人们的教育水平较少依赖于父母的教育，因此产生了更多的专利。</w:t>
      </w:r>
    </w:p>
    <w:p>
      <w:pPr>
        <w:spacing w:before="0" w:after="200" w:lineRule="auto" w:line="276"/>
      </w:pPr>
      <w:r>
        <w:rPr>
          <w:b/>
        </w:rPr>
        <w:t xml:space="preserve">Abstract (EN): </w:t>
      </w:r>
      <w:r>
        <w:t>The first longitudinal regional atlas of intergenerational educational mobility shows that the subnational regions of Europe in which individuals’ educational opportunities are least dependent on the educational background of their parents tend to have the most innovation, as shown by the number of patents. European regions in which people’s education level is less dependent on their parents’ education generate more patents.</w:t>
      </w:r>
    </w:p>
    <w:p>
      <w:pPr>
        <w:spacing w:before="120" w:after="120"/>
      </w:pPr>
      <w:r>
        <w:rPr>
          <w:sz w:val="18"/>
        </w:rPr>
        <w:t>——————————————————————————————————————————————————————————————————————</w:t>
      </w:r>
    </w:p>
    <w:p>
      <w:pPr>
        <w:spacing w:before="160" w:after="40" w:line="240" w:lineRule="auto"/>
      </w:pPr>
      <w:r>
        <w:rPr>
          <w:b/>
        </w:rPr>
        <w:t xml:space="preserve">[362] </w:t>
      </w:r>
      <w:hyperlink r:id="rId1022">
        <w:r>
          <w:rPr>
            <w:color w:val="1155CC"/>
            <w:u w:val="single"/>
          </w:rPr>
          <w:t>阿尔茨海默氏病的细胞类型特征在不同人群中共有</w:t>
        </w:r>
      </w:hyperlink>
    </w:p>
    <w:p>
      <w:pPr>
        <w:spacing w:before="0" w:after="80"/>
      </w:pPr>
      <w:r>
        <w:rPr>
          <w:i/>
          <w:sz w:val="20"/>
        </w:rPr>
        <w:t>EN: Cell-type signatures of Alzheimer’s disease shared across population groups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23">
        <w:r>
          <w:rPr>
            <w:color w:val="1155CC"/>
            <w:u w:val="single"/>
          </w:rPr>
          <w:t>10.1038/s41586-026-10793-0</w:t>
        </w:r>
      </w:hyperlink>
    </w:p>
    <w:p>
      <w:pPr>
        <w:spacing w:before="0" w:after="120"/>
      </w:pPr>
      <w:r>
        <w:rPr>
          <w:b/>
        </w:rPr>
        <w:t xml:space="preserve">Notes: </w:t>
      </w:r>
      <w:r>
        <w:t>abstract_source=nature_html</w:t>
      </w:r>
    </w:p>
    <w:p>
      <w:pPr>
        <w:spacing w:before="0" w:after="80" w:lineRule="auto" w:line="276"/>
      </w:pPr>
      <w:r>
        <w:rPr>
          <w:b/>
        </w:rPr>
        <w:t xml:space="preserve">摘要（ZH）: </w:t>
      </w:r>
      <w:r>
        <w:t>单细胞分辨率的基因组研究已经确定了与阿尔茨海默氏病临床和病理特征相关的几种细胞类型1,2,3,4,5,6,7,8,9，但尚未检查人群之间共有的关联。为了弥补这一差距，我们在这里使用单核 RNA 测序和转座酶可及染色质分析来分析拉丁裔、白人（不包括拉丁裔）和非裔美国人（不包括拉丁裔）个体死后脑组织样本中的皮质和皮质下区域。通过对分子程序的离散和连续剖析，我们以区域特异性的方式在所有三个人群中识别出与阿尔茨海默病相关的细胞类型特异性簇，包括小胶质细胞（GPNMB+和CD74+亚组）、星形胶质细胞（SERPINH1+、CD44+和WIF1+亚组）和神经元（SST+GABA能和浅层谷氨酸能）特征。我们还报告了星形胶质细胞和少突胶质细胞中的连续基因表达因子，这些因子未被离散的聚类分配捕获，但显示出与疾病表型的强烈关联；这些因子富含与注释功能相关的基因，例如脂质加工和神经递质再摄取。最后，我们发现分子程序揭示了跨越所有三个人群的六个不同的认知障碍个体亚组，这些亚组并未被神经病理学捕获，而是通过分子特征来区分，这些分子特征并不普遍存在，但仍然与生前损伤相关。总的来说，我们的研究确定</w:t>
      </w:r>
    </w:p>
    <w:p>
      <w:pPr>
        <w:spacing w:before="0" w:after="200" w:lineRule="auto" w:line="276"/>
      </w:pPr>
      <w:r>
        <w:rPr>
          <w:b/>
        </w:rPr>
        <w:t xml:space="preserve">Abstract (EN): </w:t>
      </w:r>
      <w:r>
        <w:t>Genomic studies at single-cell resolution have identified several cell types associated with clinical and pathological traits in Alzheimer’s disease1,2,3,4,5,6,7,8,9, but have not examined associations that are shared across populations. To bridge this gap, here we use single-nucleus RNA sequencing and assay for transposase-accessible chromatin with sequencing to profile cortical and subcortical regions in post-mortem brain-tissue samples from Latin, white (excluding Latin) and African American (excluding Latin) individuals. Using discrete and continuous dissections of molecular programs, we identify cell-type-specific clusters associated with Alzheimer’s disease in a region-specific manner across all three population groups, including microglial (GPNMB+ and CD74+ subgroups), astrocytic (SERPINH1+, CD44+ and WIF1+ subgroups) and neuronal (SST+ GABAergic and superficial-layer glutamatergic) signatures. We also report continuous gene-expression factors in astrocytes and oligodendrocytes that are not captured by discrete cluster assignments, but which show strong associations with disease phenotypes; these factors are enriched for genes associated with annotated functions such as lipid processing and neurotransmitter reuptake. Finally, we find that molecular programs reveal six distinct subgroups of individuals with cognitive impairment that span all three populations, are not captured by neuropathology, and are instead distinguished by molecular signatures that are not universally present but are nonetheless associated with ante-mortem impairment. Overall, our study identifies key cell types and gene programs implicated in Alzheimer’s disease that are shared across population groups, and underscores how representative sampling can capture both shared signatures and disease heterogeneity, thereby enabling better prioritization of key cell types for further investigation.</w:t>
      </w:r>
    </w:p>
    <w:p>
      <w:pPr>
        <w:spacing w:before="120" w:after="120"/>
      </w:pPr>
      <w:r>
        <w:rPr>
          <w:sz w:val="18"/>
        </w:rPr>
        <w:t>——————————————————————————————————————————————————————————————————————</w:t>
      </w:r>
    </w:p>
    <w:p>
      <w:pPr>
        <w:spacing w:before="160" w:after="40" w:line="240" w:lineRule="auto"/>
      </w:pPr>
      <w:r>
        <w:rPr>
          <w:b/>
        </w:rPr>
        <w:t xml:space="preserve">[363] </w:t>
      </w:r>
      <w:hyperlink r:id="rId1024">
        <w:r>
          <w:rPr>
            <w:color w:val="1155CC"/>
            <w:u w:val="single"/>
          </w:rPr>
          <w:t>生酮饮食通过脂质而非酮介导肠道肿瘤发生</w:t>
        </w:r>
      </w:hyperlink>
    </w:p>
    <w:p>
      <w:pPr>
        <w:spacing w:before="0" w:after="80"/>
      </w:pPr>
      <w:r>
        <w:rPr>
          <w:i/>
          <w:sz w:val="20"/>
        </w:rPr>
        <w:t>EN: Ketogenic diet mediates intestinal tumorigenesis through lipids not ketones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25">
        <w:r>
          <w:rPr>
            <w:color w:val="1155CC"/>
            <w:u w:val="single"/>
          </w:rPr>
          <w:t>10.1038/s41586-026-10779-y</w:t>
        </w:r>
      </w:hyperlink>
    </w:p>
    <w:p>
      <w:pPr>
        <w:spacing w:before="0" w:after="120"/>
      </w:pPr>
      <w:r>
        <w:rPr>
          <w:b/>
        </w:rPr>
        <w:t xml:space="preserve">Notes: </w:t>
      </w:r>
      <w:r>
        <w:t>abstract_source=nature_html</w:t>
      </w:r>
    </w:p>
    <w:p>
      <w:pPr>
        <w:spacing w:before="0" w:after="80" w:lineRule="auto" w:line="276"/>
      </w:pPr>
      <w:r>
        <w:rPr>
          <w:b/>
        </w:rPr>
        <w:t xml:space="preserve">摘要（ZH）: </w:t>
      </w:r>
      <w:r>
        <w:t>饮食成分通过调节营养可用性、代谢状态和细胞动力学来塑造组织功能和疾病风险1。在胃肠道中，致胖的高脂肪饮食会增强小肠干细胞的活性和肿瘤发生2。然而，生酮饮食 (KD) 的脂质含量更高，但会减少循环胰岛素并诱导生酮，但其影响仍知之甚少3。这对于面临小肠肿瘤高风险的家族性腺瘤性息肉病患者尤其重要4。在这里，我们将饮食、遗传和代谢操作结合在自发性肠腺瘤形成的小鼠模型中，以剖析全身和上皮生酮在肠癌中的作用。我们发现 KD 会加速肿瘤负荷并缩短生存期，与酮代谢物无关。通过生酮途径的基因操作，我们调节局部和全身酮代谢物的产生；然而，生酮酶 3-羟基-3-甲基戊二酰辅酶 A 合酶 2 的抑制或增强以及酮解作用的破坏都不会改变肿瘤发生。肠道内 PPARα/δ/γ 的联合缺失会减弱 KD 驱动的肠道干细胞扩增、增殖和克隆形成，而通过 CPT1A 缺失抑制下游脂肪酸氧化则可限制腺瘤的形成，特别是在 KD 下，将肿瘤的发生与膳食脂质的脂肪酸氧化而不是脂质积累联系起来。这些发现表明，饮食中的脂质含量是通过脂肪酸氧化而不是酮代谢来调节的。</w:t>
      </w:r>
    </w:p>
    <w:p>
      <w:pPr>
        <w:spacing w:before="0" w:after="200" w:lineRule="auto" w:line="276"/>
      </w:pPr>
      <w:r>
        <w:rPr>
          <w:b/>
        </w:rPr>
        <w:t xml:space="preserve">Abstract (EN): </w:t>
      </w:r>
      <w:r>
        <w:t>Diet composition shapes tissue function and disease risk by modulating nutrient availability, metabolic state and cellular dynamics1. In the gastrointestinal tract, obesogenic high-fat diets enhance small-intestinal stem cell activity and tumorigenesis2. However, the impact of ketogenic diets (KDs), which contain even higher lipid content but reduce circulating insulin and induce ketogenesis, remains poorly understood3. This is particularly relevant for patients with familial adenomatous polyposis who face a high risk of small-intestinal tumours4. Here we combine dietary, genetic and metabolic manipulations in mouse models of spontaneous intestinal adenoma formation to dissect the role of systemic and epithelial ketogenesis in intestinal cancer. We show that KD accelerates tumour burden and shortens survival, independent of ketone metabolites. Through genetic manipulation of the ketogenic pathway, we modulate the production of local and systemic ketone metabolites; however, neither inhibition nor augmentation of the ketogenic enzyme 3-hydroxy-3-methylglutaryl-coenzyme A synthase 2 nor disruption of ketolysis altered tumorigenesis. Combined intestinal loss of PPARα/δ/γ attenuates KD-driven intestinal stem cell expansion, proliferation and clonogenicity, whereas inhibition of downstream fatty acid oxidation through CPT1A loss limits adenoma formation specifically under KD, linking tumour initiation to fatty acid oxidation of dietary lipids rather than lipid accumulation. These findings reveal that dietary lipid content, through fatty acid oxidation rather than ketone metabolism, influences intestinal tumorigenesis and highlight the need for nuanced consideration of dietary strategies for cancer prevention in genetically susceptible populations.</w:t>
      </w:r>
    </w:p>
    <w:p>
      <w:pPr>
        <w:spacing w:before="120" w:after="120"/>
      </w:pPr>
      <w:r>
        <w:rPr>
          <w:sz w:val="18"/>
        </w:rPr>
        <w:t>——————————————————————————————————————————————————————————————————————</w:t>
      </w:r>
    </w:p>
    <w:p>
      <w:pPr>
        <w:spacing w:before="160" w:after="40" w:line="240" w:lineRule="auto"/>
      </w:pPr>
      <w:r>
        <w:rPr>
          <w:b/>
        </w:rPr>
        <w:t xml:space="preserve">[364] </w:t>
      </w:r>
      <w:hyperlink r:id="rId1026">
        <w:r>
          <w:rPr>
            <w:color w:val="1155CC"/>
            <w:u w:val="single"/>
          </w:rPr>
          <w:t>扭曲菱形石墨烯中的分数高陈绝缘体</w:t>
        </w:r>
      </w:hyperlink>
    </w:p>
    <w:p>
      <w:pPr>
        <w:spacing w:before="0" w:after="80"/>
      </w:pPr>
      <w:r>
        <w:rPr>
          <w:i/>
          <w:sz w:val="20"/>
        </w:rPr>
        <w:t>EN: Fractional high-Chern insulator in twisted rhombohedral graphene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27">
        <w:r>
          <w:rPr>
            <w:color w:val="1155CC"/>
            <w:u w:val="single"/>
          </w:rPr>
          <w:t>10.1038/s41586-026-10762-7</w:t>
        </w:r>
      </w:hyperlink>
    </w:p>
    <w:p>
      <w:pPr>
        <w:spacing w:before="0" w:after="120"/>
      </w:pPr>
      <w:r>
        <w:rPr>
          <w:b/>
        </w:rPr>
        <w:t xml:space="preserve">Notes: </w:t>
      </w:r>
      <w:r>
        <w:t>abstract_source=nature_html</w:t>
      </w:r>
    </w:p>
    <w:p>
      <w:pPr>
        <w:spacing w:before="0" w:after="80" w:lineRule="auto" w:line="276"/>
      </w:pPr>
      <w:r>
        <w:rPr>
          <w:b/>
        </w:rPr>
        <w:t xml:space="preserve">摘要（ZH）: </w:t>
      </w:r>
      <w:r>
        <w:t>分数陈绝缘体的实现开启了在没有磁场的情况下探索分数电荷激励1,2,3,4,5,6,7 和任意子统计8,9,10,11 的可能性。一个核心问题是基于晶格的系统是否可以产生全新的状态，与传统分数量子霍尔系统中观察到的状态不同12,13,14,15,16,17,18,19,20。在这里，我们研究了一种由伯纳尔双层石墨烯和菱面体四层石墨烯组成的莫尔平带系统。我们发现了前所未有的丰富的量子反常霍尔绝缘体，其陈数来自 |C| = 1 至 |C| = 7，莫尔填充因子 v = 1 且 v = 3 左右。值得注意的是，我们观察到一种奇特的分数陈绝缘体，在 v = 2/3 附近，C = 7/3，这超出了 Jain 序列或当前高陈理论 21,22,1 分数陈绝缘体描述的所有已知分数陈绝缘体。物理。 Rev. B 87, 205137 (2013)。" href="#ref-CR23" id="ref-link-section-d86594981e577_2"&gt;23,24,25,26,27。我们的工作扩展了对朗道能级基础之外的分数带电激发的理解，并为探索任意子提供了莫尔平台。</w:t>
      </w:r>
    </w:p>
    <w:p>
      <w:pPr>
        <w:spacing w:before="0" w:after="200" w:lineRule="auto" w:line="276"/>
      </w:pPr>
      <w:r>
        <w:rPr>
          <w:b/>
        </w:rPr>
        <w:t xml:space="preserve">Abstract (EN): </w:t>
      </w:r>
      <w:r>
        <w:t>The realization of fractional Chern insulators opens the possibility of exploring fractionally charged excitations1,2,3,4,5,6,7 and anyonic statistics8,9,10,11 in the absence of a magnetic field. A central question is whether lattice-based systems can give rise to radically new states, distinct from those observed in traditional fractional quantum Hall systems12,13,14,15,16,17,18,19,20. Here we investigate a type of moiré flat-band system composed of Bernal bilayer graphene and rhombohedral tetralayer graphene. We discover an unprecedented richness of quantum anomalous Hall insulators with Chern numbers from |C| = 1 to |C| = 7 at a moiré filling factor v = 1 and around v = 3. Remarkably, we observe an exotic fractional Chern insulator with C = 7/3 around v = 2/3, which is beyond all known fractional Chern insulators described by either the Jain sequence or current high-Chern theory21,22, 1 fractional Chern insulators. Phys. Rev. B 87, 205137 (2013)." href="#ref-CR23" id="ref-link-section-d86594981e577_2"&gt;23,24,25,26,27. Our work expands the understanding of fractionally charged excitations beyond the Landau-level basis and offers a moiré platform for exploring anyons.</w:t>
      </w:r>
    </w:p>
    <w:p>
      <w:pPr>
        <w:spacing w:before="120" w:after="120"/>
      </w:pPr>
      <w:r>
        <w:rPr>
          <w:sz w:val="18"/>
        </w:rPr>
        <w:t>——————————————————————————————————————————————————————————————————————</w:t>
      </w:r>
    </w:p>
    <w:p>
      <w:pPr>
        <w:spacing w:before="160" w:after="40" w:line="240" w:lineRule="auto"/>
      </w:pPr>
      <w:r>
        <w:rPr>
          <w:b/>
        </w:rPr>
        <w:t xml:space="preserve">[365] </w:t>
      </w:r>
      <w:hyperlink r:id="rId1028">
        <w:r>
          <w:rPr>
            <w:color w:val="1155CC"/>
            <w:u w:val="single"/>
          </w:rPr>
          <w:t>人类增强子-基因调控相互作用的百科全书</w:t>
        </w:r>
      </w:hyperlink>
    </w:p>
    <w:p>
      <w:pPr>
        <w:spacing w:before="0" w:after="80"/>
      </w:pPr>
      <w:r>
        <w:rPr>
          <w:i/>
          <w:sz w:val="20"/>
        </w:rPr>
        <w:t>EN: An encyclopedia of human enhancer–gene regulatory interactions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29">
        <w:r>
          <w:rPr>
            <w:color w:val="1155CC"/>
            <w:u w:val="single"/>
          </w:rPr>
          <w:t>10.1038/s41586-026-10781-4</w:t>
        </w:r>
      </w:hyperlink>
    </w:p>
    <w:p>
      <w:pPr>
        <w:spacing w:before="0" w:after="120"/>
      </w:pPr>
      <w:r>
        <w:rPr>
          <w:b/>
        </w:rPr>
        <w:t xml:space="preserve">Notes: </w:t>
      </w:r>
      <w:r>
        <w:t>abstract_source=nature_html</w:t>
      </w:r>
    </w:p>
    <w:p>
      <w:pPr>
        <w:spacing w:before="0" w:after="80" w:lineRule="auto" w:line="276"/>
      </w:pPr>
      <w:r>
        <w:rPr>
          <w:b/>
        </w:rPr>
        <w:t xml:space="preserve">摘要（ZH）: </w:t>
      </w:r>
      <w:r>
        <w:t>识别转录增强子及其靶基因对于了解基因调控和人类遗传变异对疾病的影响至关重要1,2,3,4,5,6。在这里，我们通过整合 ENCODE 联盟7生成的预测模型、染色质状态、三维接触和大规模遗传扰动，创建并评估了涵盖 369 种细胞类型和组织的 1,458 个生物样本中超过 9200 万个增强子-基因调控相互作用的资源。我们首先创建一个系统基准测试流程来比较预测模型，组装一个由 CRISPR 扰动实验中测量的 10,356 个元素-基因对、超过 30,000 个精细映射的表达数量性状位点和 569 个与可能的因果基因相关的精细映射的全基因组关联研究 (GWAS) 变体的数据集。使用这个框架，我们开发了 ENCODE-rE2G，这是一种在多个预测任务中实现最先进性能的预测模型，证明迭代扰动和监督机器学习可以构建越来越准确的增强子调节预测模型。使用ENCODE-rE2G，我们构建了人类基因组中增强子-基因调控相互作用的百科全书，揭示了增强子网络的全局特性，识别了基因间调控复杂性的差异，并改进了将非编码变异与常见复杂疾病的目标基因和细胞类型联系起来的分析。通过解释模型，我们发现除了增强子活性和三维增强子-启动子接触之外，还有指导增强子-启动子的其他特征</w:t>
      </w:r>
    </w:p>
    <w:p>
      <w:pPr>
        <w:spacing w:before="0" w:after="200" w:lineRule="auto" w:line="276"/>
      </w:pPr>
      <w:r>
        <w:rPr>
          <w:b/>
        </w:rPr>
        <w:t xml:space="preserve">Abstract (EN): </w:t>
      </w:r>
      <w:r>
        <w:t>Identifying transcriptional enhancers and their target genes is essential for understanding gene regulation and the effect of human genetic variation on disease1,2,3,4,5,6. Here we create and evaluate a resource of more than 92 million enhancer–gene regulatory interactions across 1,458 biosamples covering 369 cell types and tissues, by integrating predictive models, chromatin states, three-dimensional contacts and large-scale genetic perturbations generated by the ENCODE Consortium7. We first create a systematic benchmarking pipeline to compare predictive models, assembling a dataset of 10,356 element–gene pairs measured in CRISPR perturbation experiments, more than 30,000 fine-mapped expression quantitative trait loci and 569 fine-mapped genome-wide association study (GWAS) variants linked to a probable causal gene. Using this framework, we develop ENCODE-rE2G, a predictive model achieving state-of-the-art performance across several prediction tasks, demonstrating that iterative perturbations and supervised machine learning can build increasingly accurate predictive models of enhancer regulation. Using ENCODE-rE2G, we build an encyclopedia of enhancer–gene regulatory interactions in the human genome, revealing global properties of enhancer networks, identifying differences in regulatory complexity across genes and improving analyses linking noncoding variants to target genes and cell types for common complex diseases. By interpreting the model, we find that beyond enhancer activity and three-dimensional enhancer–promoter contacts, additional features that guide enhancer–promoter communication include promoter class and enhancer–enhancer synergy. These genome-wide maps of enhancer–gene regulatory interactions, benchmarking software, predictive models and insights about enhancer function provide a valuable resource for future studies of gene regulation and human genetics.</w:t>
      </w:r>
    </w:p>
    <w:p>
      <w:pPr>
        <w:spacing w:before="120" w:after="120"/>
      </w:pPr>
      <w:r>
        <w:rPr>
          <w:sz w:val="18"/>
        </w:rPr>
        <w:t>——————————————————————————————————————————————————————————————————————</w:t>
      </w:r>
    </w:p>
    <w:p>
      <w:pPr>
        <w:spacing w:before="160" w:after="40" w:line="240" w:lineRule="auto"/>
      </w:pPr>
      <w:r>
        <w:rPr>
          <w:b/>
        </w:rPr>
        <w:t xml:space="preserve">[366] </w:t>
      </w:r>
      <w:hyperlink r:id="rId1030">
        <w:r>
          <w:rPr>
            <w:color w:val="1155CC"/>
            <w:u w:val="single"/>
          </w:rPr>
          <w:t>70Zn低能强化的磁特性</w:t>
        </w:r>
      </w:hyperlink>
    </w:p>
    <w:p>
      <w:pPr>
        <w:spacing w:before="0" w:after="80"/>
      </w:pPr>
      <w:r>
        <w:rPr>
          <w:i/>
          <w:sz w:val="20"/>
        </w:rPr>
        <w:t>EN: Magnetic character of the low-energy enhancement in 70Zn</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31">
        <w:r>
          <w:rPr>
            <w:color w:val="1155CC"/>
            <w:u w:val="single"/>
          </w:rPr>
          <w:t>10.1038/s41586-026-10758-3</w:t>
        </w:r>
      </w:hyperlink>
    </w:p>
    <w:p>
      <w:pPr>
        <w:spacing w:before="0" w:after="120"/>
      </w:pPr>
      <w:r>
        <w:rPr>
          <w:b/>
        </w:rPr>
        <w:t xml:space="preserve">Notes: </w:t>
      </w:r>
      <w:r>
        <w:t>abstract_source=nature_html</w:t>
      </w:r>
    </w:p>
    <w:p>
      <w:pPr>
        <w:spacing w:before="0" w:after="80" w:lineRule="auto" w:line="276"/>
      </w:pPr>
      <w:r>
        <w:rPr>
          <w:b/>
        </w:rPr>
        <w:t xml:space="preserve">摘要（ZH）: </w:t>
      </w:r>
      <w:r>
        <w:t>原子核从激发态到较低能量态的转变通常伴随着光子的发射。光子发射的可能性是光子能量以及初始和最终核态特性的函数，被称为光子（或 γ 射线）强度函数 (γSF)1,2。在 γSF 中存在的特征中，在某些原子核中观察到低能区域的增强，但这种增强的电磁性质仍然是一个悬而未决的问题 3,4。 γSF 中的这种低能增强极大地影响了我们对恒星中元素如何产生以及原子核结构的理解5,6。在这里，我们展示了 70Zn γSF 的实验结果，表明该核的 γSF 的增强具有磁性。这一观察结果有助于解决有关原子核中 γSF 的长期悬而未决的问题，并直接影响我们在核科学中的预测能力。</w:t>
      </w:r>
    </w:p>
    <w:p>
      <w:pPr>
        <w:spacing w:before="0" w:after="200" w:lineRule="auto" w:line="276"/>
      </w:pPr>
      <w:r>
        <w:rPr>
          <w:b/>
        </w:rPr>
        <w:t xml:space="preserve">Abstract (EN): </w:t>
      </w:r>
      <w:r>
        <w:t>The transition of an atomic nucleus from an excited state to a state of lower energy is typically accompanied by the emission of photons. The likelihood of photon emission is a function of the photon energy and of properties of the initial and final nuclear states and is known as the photon (or γ-ray) strength function (γSF)1,2. Of the features present in the γSF, an enhancement in the low-energy region has been observed in some nuclei, but the electromagnetic nature of this enhancement remains an open question3,4. This low-energy enhancement in the γSF significantly impacts our understanding of how elements are created in stars and the structure of the nucleus5,6. Here we present the results from an experiment on the γSF of 70Zn that show that the enhancement in the γSF of this nucleus is of magnetic nature. This observation helps address a long-open question about γSFs in atomic nuclei and directly impacts our predictive capabilities in nuclear science.</w:t>
      </w:r>
    </w:p>
    <w:p>
      <w:pPr>
        <w:spacing w:before="120" w:after="120"/>
      </w:pPr>
      <w:r>
        <w:rPr>
          <w:sz w:val="18"/>
        </w:rPr>
        <w:t>——————————————————————————————————————————————————————————————————————</w:t>
      </w:r>
    </w:p>
    <w:p>
      <w:pPr>
        <w:spacing w:before="160" w:after="40" w:line="240" w:lineRule="auto"/>
      </w:pPr>
      <w:r>
        <w:rPr>
          <w:b/>
        </w:rPr>
        <w:t xml:space="preserve">[367] </w:t>
      </w:r>
      <w:hyperlink r:id="rId1032">
        <w:r>
          <w:rPr>
            <w:color w:val="1155CC"/>
            <w:u w:val="single"/>
          </w:rPr>
          <w:t>GPC3 特异性 dnTGFβRII 装甲 CAR T 细胞治疗肝细胞癌</w:t>
        </w:r>
      </w:hyperlink>
    </w:p>
    <w:p>
      <w:pPr>
        <w:spacing w:before="0" w:after="80"/>
      </w:pPr>
      <w:r>
        <w:rPr>
          <w:i/>
          <w:sz w:val="20"/>
        </w:rPr>
        <w:t>EN: GPC3-specific dnTGFβRII-armoured CAR T cells for hepatocellular carcinoma</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33">
        <w:r>
          <w:rPr>
            <w:color w:val="1155CC"/>
            <w:u w:val="single"/>
          </w:rPr>
          <w:t>10.1038/s41586-026-10786-z</w:t>
        </w:r>
      </w:hyperlink>
    </w:p>
    <w:p>
      <w:pPr>
        <w:spacing w:before="0" w:after="120"/>
      </w:pPr>
      <w:r>
        <w:rPr>
          <w:b/>
        </w:rPr>
        <w:t xml:space="preserve">Notes: </w:t>
      </w:r>
      <w:r>
        <w:t>abstract_source=nature_html</w:t>
      </w:r>
    </w:p>
    <w:p>
      <w:pPr>
        <w:spacing w:before="0" w:after="80" w:lineRule="auto" w:line="276"/>
      </w:pPr>
      <w:r>
        <w:rPr>
          <w:b/>
        </w:rPr>
        <w:t xml:space="preserve">摘要（ZH）: </w:t>
      </w:r>
      <w:r>
        <w:t>Glypican-3 (GPC3) 在肝细胞癌 (HCC) 中高表达，使其成为嵌合抗原受体 (CAR) T 细胞治疗的有吸引力的靶点；然而，这种方法之前显示出有限的临床疗效，可能是由于肿瘤微环境中转化生长因子-β (TGFβ) 水平较高1,2,3,4。因此，我们用显性失活的 TGFβ 受体 II 改造了 CAR T 细胞，该受体在临床前研究中显示出增强的抗肿瘤活性5。在此，我们报告了一项首次人体试验的结果，该试验评估了 C-CAR031 在晚期难治性 HCC 患者中的安全性和有效性 (NCT05155189)。 36 名患者接受了四种剂量水平的 CAR T 输注（从每公斤 0.75 × 106 到 4.0 × 106 个细胞）。 34 名患者报告了细胞因子释放综合征，其中 2 例为 3 级。9 名患者出现 3 级或以上的非血液学不良事件。在 32 名患者中观察到肿瘤消退，目标病灶的平均最佳肿瘤减少量为 41.6%（范围：3.4-94.4%）。客观缓解率为 44.4%，中位缓解持续时间为 4.4 个月（95% 置信区间：2.9-7.4）。中位无进展生存期和总生存期分别为 4.2 个月（95% 置信区间：2.9-4.8）和 14.2 个月（95% 置信区间：10.1 至不可评估）。肿瘤样本的高通量分析和功能验证表明，GPC3 抗原丢失和 TGFβ 水平增加可能导致 C-CAR031 耐药。总的来说，这些结果表明 C-CAR031 具有</w:t>
      </w:r>
    </w:p>
    <w:p>
      <w:pPr>
        <w:spacing w:before="0" w:after="200" w:lineRule="auto" w:line="276"/>
      </w:pPr>
      <w:r>
        <w:rPr>
          <w:b/>
        </w:rPr>
        <w:t xml:space="preserve">Abstract (EN): </w:t>
      </w:r>
      <w:r>
        <w:t>Glypican-3 (GPC3) is highly expressed in hepatocellular carcinoma (HCC), making it an attractive target for chimeric antigen receptor (CAR) T cell therapy; however, this approach has previously shown limited clinical efficacy, potentially owing to high levels of transforming growth factor-β (TGFβ) in the tumour microenvironment1,2,3,4. We therefore engineered CAR T cells with a dominant-negative TGFβ receptor II, which showed enhanced antitumour activity in preclinical studies5. Here we report findings from a first-in-human trial evaluating the safety and efficacy of C-CAR031 in patients with advanced, treatment-refractory HCC (NCT05155189). Thirty-six patients received CAR T infusions at four dose levels (from 0.75 × 106 to 4.0 × 106 cells per kg). Cytokine release syndrome was reported in 34 patients, of which two cases were grade 3. Nine patients had non-haematological adverse events of grade 3 or higher. Tumour regression was observed in 32 patients, with a median best tumour reduction from baseline of 41.6% (range: 3.4–94.4%) in target lesions. The objective response rate was 44.4%, and the median duration of response was 4.4 months (95% confidence interval: 2.9–7.4). Median progression-free survival and overall survival were 4.2 months (95% confidence interval: 2.9–4.8) and 14.2 months (95% confidence interval: 10.1 to not evaluable), respectively. High-throughput analyses of tumour samples and functional validation suggested that GPC3 antigen loss and increased TGFβ levels may contribute to C-CAR031 resistance. Collectively, these results indicate that C-CAR031 has a manageable safety profile and encouraging antitumour activity in heavily pretreated patients with advanced HCC.</w:t>
      </w:r>
    </w:p>
    <w:p>
      <w:pPr>
        <w:spacing w:before="120" w:after="120"/>
      </w:pPr>
      <w:r>
        <w:rPr>
          <w:sz w:val="18"/>
        </w:rPr>
        <w:t>——————————————————————————————————————————————————————————————————————</w:t>
      </w:r>
    </w:p>
    <w:p>
      <w:pPr>
        <w:spacing w:before="160" w:after="40" w:line="240" w:lineRule="auto"/>
      </w:pPr>
      <w:r>
        <w:rPr>
          <w:b/>
        </w:rPr>
        <w:t xml:space="preserve">[368] </w:t>
      </w:r>
      <w:hyperlink r:id="rId1034">
        <w:r>
          <w:rPr>
            <w:color w:val="1155CC"/>
            <w:u w:val="single"/>
          </w:rPr>
          <w:t>具有受控层间距的氧化石墨烯-聚多巴胺膜</w:t>
        </w:r>
      </w:hyperlink>
    </w:p>
    <w:p>
      <w:pPr>
        <w:spacing w:before="0" w:after="80"/>
      </w:pPr>
      <w:r>
        <w:rPr>
          <w:i/>
          <w:sz w:val="20"/>
        </w:rPr>
        <w:t>EN: Graphene oxide-polydopamine membranes with controlled interlayer spacing</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35">
        <w:r>
          <w:rPr>
            <w:color w:val="1155CC"/>
            <w:u w:val="single"/>
          </w:rPr>
          <w:t>10.1038/s41586-026-10765-4</w:t>
        </w:r>
      </w:hyperlink>
    </w:p>
    <w:p>
      <w:pPr>
        <w:spacing w:before="0" w:after="120"/>
      </w:pPr>
      <w:r>
        <w:rPr>
          <w:b/>
        </w:rPr>
        <w:t xml:space="preserve">Notes: </w:t>
      </w:r>
      <w:r>
        <w:t>abstract_source=nature_html</w:t>
      </w:r>
    </w:p>
    <w:p>
      <w:pPr>
        <w:spacing w:before="0" w:after="80" w:lineRule="auto" w:line="276"/>
      </w:pPr>
      <w:r>
        <w:rPr>
          <w:b/>
        </w:rPr>
        <w:t xml:space="preserve">摘要（ZH）: </w:t>
      </w:r>
      <w:r>
        <w:t>堆叠式氧化石墨烯膜 (GOM) 在高通量筛选水、离子和分子方面表现出卓越的能力，为环境和能源领域提供了变革潜力1,2,3,4,5。然而，实现具有亚纳米层间距和亚埃可调性的 GOM，同时保持其结构稳健性以实现快速和选择性离子传输仍然是一个巨大的挑战6,7,8。在这里，我们提出了具有可调且稳定的层间距的聚多巴胺柱复合GOM，其特点是在干燥状态下可控层间距低至5.9 Å，并且能够在水环境中筛分尺寸差异小于0.1 Å的水合铷（Rb+）和钾（K+）离子，实现Rb+/K+分离因子为5,320。这些复合GOM是通过使用多巴胺组装和反应时标分离方法制造的。具体来说，GOM 的制造利用了纳米约束水的冻结温度低于散装水的事实，因此层间间距是通过多巴胺快速组装成纳米柱来调节的，纳米柱由纳米约束液态水驱动，而周围是散装冰。通过进一步降低温度来调整和固定层间距，可以随时停止组装过程。此后，GOM通过较慢的化学反应被硬化，包括多巴胺分子的聚合和氧化石墨烯表面上特定含氧位点的共价键合，同时保留充足的石墨烯亚纳米通道用于高通量传输。 GOM 德尔</w:t>
      </w:r>
    </w:p>
    <w:p>
      <w:pPr>
        <w:spacing w:before="0" w:after="200" w:lineRule="auto" w:line="276"/>
      </w:pPr>
      <w:r>
        <w:rPr>
          <w:b/>
        </w:rPr>
        <w:t xml:space="preserve">Abstract (EN): </w:t>
      </w:r>
      <w:r>
        <w:t>Stacked graphene oxide membranes (GOMs) show exceptional capabilities for high-throughput sieving of water, ions and molecules, offering transformative potential in environmental and energy sectors1,2,3,4,5. However, achieving GOMs with subnanometre interlayer spacing and subangstrom tunability while maintaining their structural robustness for rapid and selective ion transport remains a big challenge6,7,8. Here we present polydopamine-pillared composite GOMs with tunable and stable interlayer spacing, featuring controllable interlayer spacing down to 5.9 Å in the dry state, and capable of sieving hydrated rubidium (Rb+) and potassium (K+) ions differing in size by less than 0.1 Å in aqueous environments, achieving an Rb+/K+ separation factor of 5,320. These composite GOMs were fabricated by using the dopamine assembly and reaction timescale separation method. Specifically, the GOM fabrication capitalizes on the fact that nanoconfined water has a lower freezing temperature than that of bulk water, such that the interlayer spacing is regulated by the rapid assembly of dopamines into nanopillars, driven by nanoconfined liquid water while the surrounding is in bulk ice. The assembly process can be halted anytime by further lowering the temperature to tune and fix the interlayer spacing. Thereafter, the GOM is rigidified through the slower chemical reactions, including polymerization of dopamine molecules and covalent bonding at specific oxygen-containing sites on the graphene oxide surface while retaining ample graphene subnanochannels for high-flux transportation. The GOMs deliver continuous freshwater production for 30 days at a water permeance of 67.9 l m−2 h−1 bar−1, 1–2 orders of magnitude higher than conventional membranes9.</w:t>
      </w:r>
    </w:p>
    <w:p>
      <w:pPr>
        <w:spacing w:before="120" w:after="120"/>
      </w:pPr>
      <w:r>
        <w:rPr>
          <w:sz w:val="18"/>
        </w:rPr>
        <w:t>——————————————————————————————————————————————————————————————————————</w:t>
      </w:r>
    </w:p>
    <w:p>
      <w:pPr>
        <w:spacing w:before="160" w:after="40" w:line="240" w:lineRule="auto"/>
      </w:pPr>
      <w:r>
        <w:rPr>
          <w:b/>
        </w:rPr>
        <w:t xml:space="preserve">[369] </w:t>
      </w:r>
      <w:hyperlink r:id="rId1036">
        <w:r>
          <w:rPr>
            <w:color w:val="1155CC"/>
            <w:u w:val="single"/>
          </w:rPr>
          <w:t>复发</w:t>
        </w:r>
      </w:hyperlink>
    </w:p>
    <w:p>
      <w:pPr>
        <w:spacing w:before="0" w:after="80"/>
      </w:pPr>
      <w:r>
        <w:rPr>
          <w:i/>
          <w:sz w:val="20"/>
        </w:rPr>
        <w:t>EN: Relapse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37">
        <w:r>
          <w:rPr>
            <w:color w:val="1155CC"/>
            <w:u w:val="single"/>
          </w:rPr>
          <w:t>10.1038/d41586-026-02133-z</w:t>
        </w:r>
      </w:hyperlink>
    </w:p>
    <w:p>
      <w:pPr>
        <w:spacing w:before="0" w:after="120"/>
      </w:pPr>
      <w:r>
        <w:rPr>
          <w:b/>
        </w:rPr>
        <w:t xml:space="preserve">Notes: </w:t>
      </w:r>
      <w:r>
        <w:t>abstract_source=nature_html</w:t>
      </w:r>
    </w:p>
    <w:p>
      <w:pPr>
        <w:spacing w:before="0" w:after="80" w:lineRule="auto" w:line="276"/>
      </w:pPr>
      <w:r>
        <w:rPr>
          <w:b/>
        </w:rPr>
        <w:t xml:space="preserve">摘要（ZH）: </w:t>
      </w:r>
      <w:r>
        <w:t>恢复以前的版本？恢复以前的版本？</w:t>
      </w:r>
    </w:p>
    <w:p>
      <w:pPr>
        <w:spacing w:before="0" w:after="200" w:lineRule="auto" w:line="276"/>
      </w:pPr>
      <w:r>
        <w:rPr>
          <w:b/>
        </w:rPr>
        <w:t xml:space="preserve">Abstract (EN): </w:t>
      </w:r>
      <w:r>
        <w:t>Restore previous version? Restore previous version?</w:t>
      </w:r>
    </w:p>
    <w:p>
      <w:pPr>
        <w:spacing w:before="120" w:after="120"/>
      </w:pPr>
      <w:r>
        <w:rPr>
          <w:sz w:val="18"/>
        </w:rPr>
        <w:t>——————————————————————————————————————————————————————————————————————</w:t>
      </w:r>
    </w:p>
    <w:p>
      <w:pPr>
        <w:spacing w:before="160" w:after="40" w:line="240" w:lineRule="auto"/>
      </w:pPr>
      <w:r>
        <w:rPr>
          <w:b/>
        </w:rPr>
        <w:t xml:space="preserve">[370] </w:t>
      </w:r>
      <w:hyperlink r:id="rId1038">
        <w:r>
          <w:rPr>
            <w:color w:val="1155CC"/>
            <w:u w:val="single"/>
          </w:rPr>
          <w:t>通过 14-3-3 定向分子胶-PROTAC 诱导部分紊乱的雌激素受体 α 泛素化</w:t>
        </w:r>
      </w:hyperlink>
    </w:p>
    <w:p>
      <w:pPr>
        <w:spacing w:before="0" w:after="80"/>
      </w:pPr>
      <w:r>
        <w:rPr>
          <w:i/>
          <w:sz w:val="20"/>
        </w:rPr>
        <w:t>EN: Induced ubiquitination of the partially disordered estrogen receptor alpha via a 14-3-3 directed molecular glue-PROTAC</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缺乏明确的可配体口袋的蛋白质仍然具有挑战性的药物靶点。在这里，我们开发了一种基于分子胶的 PROTAC (MGPROTAC) 方法，该方法将分子胶稳定剂与 VHL 招募配体进行化学缀合，以捕获并泛素化 14-3-3/雌激素受体 α (ERα) 复合物。我们设计的 MGPROTAC 接合 14-3-3 和 ERα 无序 F 结构域之间的复合界面，促进协同复合物形成和靶向泛素化。生物物理表征揭示了 MGPROTAC 系列中明显的依赖于接头的协同作用，这影响了细胞通透性和泛素化效率。最合作的 MGPROTAC 的冷冻电镜发现了从头 VHL-14-3-3ze 接触，而分子动力学模拟合理化了合作性背后的稳定相互作用。引人注目的是，微调连接子设计能够选择性地泛素化不同的复杂亚基。这些发现建立了一个整合分子胶和 PROTAC 原理的结构和机制框架，将药物发现的范围扩展到以前难以处理的蛋白质复合物。</w:t>
      </w:r>
    </w:p>
    <w:p>
      <w:pPr>
        <w:spacing w:before="0" w:after="200" w:lineRule="auto" w:line="276"/>
      </w:pPr>
      <w:r>
        <w:rPr>
          <w:b/>
        </w:rPr>
        <w:t xml:space="preserve">Abstract (EN): </w:t>
      </w:r>
      <w:r>
        <w:t>Proteins lacking defined ligandable pockets remain challenging drug targets. Here, we develop a molecular glue-based PROTAC (MGPROTAC) approach that chemically conjugates a molecular glue stabilizer to a VHL-recruiting ligand to capture and ubiquitinate the 14-3-3/Estrogen receptor α (ERα) complex. Our designed MGPROTACs engage a composite interface between 14-3-3 and the disordered F-domain of ERα, promoting cooperative complex formation and targeted ubiquitination. Biophysical characterization revealed distinct linker-dependent cooperativities across the MGPROTAC series, which influenced both cellular permeability and ubiquitination efficiency. Cryo-EM of the most cooperative MGPROTAC uncovered de novo VHL–14-3-3ζ contacts, while molecular dynamics simulations rationalize the stabilizing interactions underlying cooperativity. Strikingly, fine-tuning linker design enables selective ubiquitination of distinct complex subunits. These findings establish a structural and mechanistic framework for integrating molecular glue and PROTAC principles, expanding the scope of drug discovery to previously intractable protein complexes.</w:t>
      </w:r>
    </w:p>
    <w:p>
      <w:pPr>
        <w:spacing w:before="120" w:after="120"/>
      </w:pPr>
      <w:r>
        <w:rPr>
          <w:sz w:val="18"/>
        </w:rPr>
        <w:t>——————————————————————————————————————————————————————————————————————</w:t>
      </w:r>
    </w:p>
    <w:p>
      <w:pPr>
        <w:spacing w:before="160" w:after="40" w:line="240" w:lineRule="auto"/>
      </w:pPr>
      <w:r>
        <w:rPr>
          <w:b/>
        </w:rPr>
        <w:t xml:space="preserve">[371] </w:t>
      </w:r>
      <w:hyperlink r:id="rId1039">
        <w:r>
          <w:rPr>
            <w:color w:val="1155CC"/>
            <w:u w:val="single"/>
          </w:rPr>
          <w:t>通过可逆适应正交组装异孔结构以实现有效的异构体分离</w:t>
        </w:r>
      </w:hyperlink>
    </w:p>
    <w:p>
      <w:pPr>
        <w:spacing w:before="0" w:after="80"/>
      </w:pPr>
      <w:r>
        <w:rPr>
          <w:i/>
          <w:sz w:val="20"/>
        </w:rPr>
        <w:t>EN: Orthogonal assembly of hetero-porous structures by reversible adaptation for efficient isomeric separation</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异构体分离是生物和化学过程中具有挑战性但至关重要的过程。混合基质膜（MMM）在聚合物基质中结合了选择性吸附剂，具有分离异构体混合物的潜力。然而，有限的相容性对于具有适当渗透性和选择性的有效分离来说是一个重大问题。在此，我们报告了通过动态适应氢键大环两亲物的正交组装来合理设计和构建高度定向的多孔膜。大环化合物可以在具有亲水性外部的垂直方向上进行螺旋传播，形成溶致液晶凝胶。通过同时控制具有相同氢键的不混溶孔，在凝胶基质中形成排列良好的手性纳米通道，从而实现精确的分子筛分，结构异构体的分离因子为 11.46，对映异构体的分离因子为 92% ee。该策略遵循动态化学原理，为手性拆分、精细化学纯化和仿生运输系统中的节能分离提供了一个多功能平台。</w:t>
      </w:r>
    </w:p>
    <w:p>
      <w:pPr>
        <w:spacing w:before="0" w:after="200" w:lineRule="auto" w:line="276"/>
      </w:pPr>
      <w:r>
        <w:rPr>
          <w:b/>
        </w:rPr>
        <w:t xml:space="preserve">Abstract (EN): </w:t>
      </w:r>
      <w:r>
        <w:t>Isomers separation is a challenging but crucial process in biological and chemical processes. Mixed-matrix membranes (MMMs) combining selective adsorbents within the polymer matrix have the potential for separating isomeric mixtures. However, the limited compatibility is a significant problem for efficient separation with appropriate permeability and selectivity. Herein, we report the rational design and construction of a highly oriented multi-porous membrane by the orthogonal assembly of hydrogen-bonded macrocycle amphiphiles through dynamic adaptation. The macrocycles can undergo helical propagation in the vertical direction with hydrophilic exteriors, forming lyotropic liquid crystal gels. By simultaneous control of immiscible pores with identical hydrogen bonding, well-aligned chiral nanochannels are created in gel matrix, enabling precise molecular sieving with separation factor of 11.46 for constitutional isomer and 92% ee for enantiomer. The strategy follows the principle of dynamic chemistry, providing a versatile platform for energy-efficient separations in chiral resolution, fine chemical purification and biomimetic transport systems.</w:t>
      </w:r>
    </w:p>
    <w:p>
      <w:pPr>
        <w:spacing w:before="120" w:after="120"/>
      </w:pPr>
      <w:r>
        <w:rPr>
          <w:sz w:val="18"/>
        </w:rPr>
        <w:t>——————————————————————————————————————————————————————————————————————</w:t>
      </w:r>
    </w:p>
    <w:p>
      <w:pPr>
        <w:spacing w:before="160" w:after="40" w:line="240" w:lineRule="auto"/>
      </w:pPr>
      <w:r>
        <w:rPr>
          <w:b/>
        </w:rPr>
        <w:t xml:space="preserve">[372] </w:t>
      </w:r>
      <w:hyperlink r:id="rId1040">
        <w:r>
          <w:rPr>
            <w:color w:val="1155CC"/>
            <w:u w:val="single"/>
          </w:rPr>
          <w:t>核苷酸充当“分子胶”，可以感知自身的丰度</w:t>
        </w:r>
      </w:hyperlink>
    </w:p>
    <w:p>
      <w:pPr>
        <w:spacing w:before="0" w:after="80"/>
      </w:pPr>
      <w:r>
        <w:rPr>
          <w:i/>
          <w:sz w:val="20"/>
        </w:rPr>
        <w:t>EN: Nucleotides act as ‘molecular glue’ and can sense their own abundance</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41">
        <w:r>
          <w:rPr>
            <w:color w:val="1155CC"/>
            <w:u w:val="single"/>
          </w:rPr>
          <w:t>10.1038/d41586-026-01945-3</w:t>
        </w:r>
      </w:hyperlink>
    </w:p>
    <w:p>
      <w:pPr>
        <w:spacing w:before="0" w:after="120"/>
      </w:pPr>
      <w:r>
        <w:rPr>
          <w:b/>
        </w:rPr>
        <w:t xml:space="preserve">Notes: </w:t>
      </w:r>
      <w:r>
        <w:t>abstract_source=nature_html</w:t>
      </w:r>
    </w:p>
    <w:p>
      <w:pPr>
        <w:spacing w:before="0" w:after="80" w:lineRule="auto" w:line="276"/>
      </w:pPr>
      <w:r>
        <w:rPr>
          <w:b/>
        </w:rPr>
        <w:t xml:space="preserve">摘要（ZH）: </w:t>
      </w:r>
      <w:r>
        <w:t>一些核苷酸已被证明可以通过将蛋白质“粘合”在一起来控制新陈代谢。其他由细胞自然产生的小分子是否也具有类似的功能？一些核苷酸已被证明可以通过将蛋白质“粘合”在一起来控制新陈代谢。其他由细胞自然产生的小分子是否也具有类似的功能？</w:t>
      </w:r>
    </w:p>
    <w:p>
      <w:pPr>
        <w:spacing w:before="0" w:after="200" w:lineRule="auto" w:line="276"/>
      </w:pPr>
      <w:r>
        <w:rPr>
          <w:b/>
        </w:rPr>
        <w:t xml:space="preserve">Abstract (EN): </w:t>
      </w:r>
      <w:r>
        <w:t>Some nucleotides have been shown to control metabolism by ‘gluing’ proteins together. Could other small molecules made naturally by cells have similar capabilities? Some nucleotides have been shown to control metabolism by ‘gluing’ proteins together. Could other small molecules made naturally by cells have similar capabilities?</w:t>
      </w:r>
    </w:p>
    <w:p>
      <w:pPr>
        <w:spacing w:before="120" w:after="120"/>
      </w:pPr>
      <w:r>
        <w:rPr>
          <w:sz w:val="18"/>
        </w:rPr>
        <w:t>——————————————————————————————————————————————————————————————————————</w:t>
      </w:r>
    </w:p>
    <w:p>
      <w:pPr>
        <w:spacing w:before="160" w:after="40" w:line="240" w:lineRule="auto"/>
      </w:pPr>
      <w:r>
        <w:rPr>
          <w:b/>
        </w:rPr>
        <w:t xml:space="preserve">[373] </w:t>
      </w:r>
      <w:hyperlink r:id="rId1042">
        <w:r>
          <w:rPr>
            <w:color w:val="1155CC"/>
            <w:u w:val="single"/>
          </w:rPr>
          <w:t>人工智能化身正在重塑中国社会——法律正在努力迎头赶上</w:t>
        </w:r>
      </w:hyperlink>
    </w:p>
    <w:p>
      <w:pPr>
        <w:spacing w:before="0" w:after="80"/>
      </w:pPr>
      <w:r>
        <w:rPr>
          <w:i/>
          <w:sz w:val="20"/>
        </w:rPr>
        <w:t>EN: AI avatars are reshaping society in China — the law is trying to catch up</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43">
        <w:r>
          <w:rPr>
            <w:color w:val="1155CC"/>
            <w:u w:val="single"/>
          </w:rPr>
          <w:t>10.1038/d41586-026-01674-7</w:t>
        </w:r>
      </w:hyperlink>
    </w:p>
    <w:p>
      <w:pPr>
        <w:spacing w:before="0" w:after="120"/>
      </w:pPr>
      <w:r>
        <w:rPr>
          <w:b/>
        </w:rPr>
        <w:t xml:space="preserve">Notes: </w:t>
      </w:r>
      <w:r>
        <w:t>abstract_source=nature_html</w:t>
      </w:r>
    </w:p>
    <w:p>
      <w:pPr>
        <w:spacing w:before="0" w:after="80" w:lineRule="auto" w:line="276"/>
      </w:pPr>
      <w:r>
        <w:rPr>
          <w:b/>
        </w:rPr>
        <w:t xml:space="preserve">摘要（ZH）: </w:t>
      </w:r>
      <w:r>
        <w:t>数字人正在履行从经营医院到讲课再到提供陪伴的各种角色。数字人正在履行从经营医院到讲课再到提供陪伴的各种角色。</w:t>
      </w:r>
    </w:p>
    <w:p>
      <w:pPr>
        <w:spacing w:before="0" w:after="200" w:lineRule="auto" w:line="276"/>
      </w:pPr>
      <w:r>
        <w:rPr>
          <w:b/>
        </w:rPr>
        <w:t xml:space="preserve">Abstract (EN): </w:t>
      </w:r>
      <w:r>
        <w:t>Digital people are fulfilling roles from running hospitals to giving lectures to offering companionship. Digital people are fulfilling roles from running hospitals to giving lectures to offering companionship.</w:t>
      </w:r>
    </w:p>
    <w:p>
      <w:pPr>
        <w:spacing w:before="120" w:after="120"/>
      </w:pPr>
      <w:r>
        <w:rPr>
          <w:sz w:val="18"/>
        </w:rPr>
        <w:t>——————————————————————————————————————————————————————————————————————</w:t>
      </w:r>
    </w:p>
    <w:p>
      <w:pPr>
        <w:spacing w:before="160" w:after="40" w:line="240" w:lineRule="auto"/>
      </w:pPr>
      <w:r>
        <w:rPr>
          <w:b/>
        </w:rPr>
        <w:t xml:space="preserve">[374] </w:t>
      </w:r>
      <w:hyperlink r:id="rId1044">
        <w:r>
          <w:rPr>
            <w:color w:val="1155CC"/>
            <w:u w:val="single"/>
          </w:rPr>
          <w:t>滤光片通过“量子统计”对光进行分类</w:t>
        </w:r>
      </w:hyperlink>
    </w:p>
    <w:p>
      <w:pPr>
        <w:spacing w:before="0" w:after="80"/>
      </w:pPr>
      <w:r>
        <w:rPr>
          <w:i/>
          <w:sz w:val="20"/>
        </w:rPr>
        <w:t>EN: Optical filter sorts light by its ‘quantum statistics’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45">
        <w:r>
          <w:rPr>
            <w:color w:val="1155CC"/>
            <w:u w:val="single"/>
          </w:rPr>
          <w:t>10.1038/d41586-026-02038-x</w:t>
        </w:r>
      </w:hyperlink>
    </w:p>
    <w:p>
      <w:pPr>
        <w:spacing w:before="0" w:after="120"/>
      </w:pPr>
      <w:r>
        <w:rPr>
          <w:b/>
        </w:rPr>
        <w:t xml:space="preserve">Notes: </w:t>
      </w:r>
      <w:r>
        <w:t>abstract_source=nature_html</w:t>
      </w:r>
    </w:p>
    <w:p>
      <w:pPr>
        <w:spacing w:before="0" w:after="80" w:lineRule="auto" w:line="276"/>
      </w:pPr>
      <w:r>
        <w:rPr>
          <w:b/>
        </w:rPr>
        <w:t xml:space="preserve">摘要（ZH）: </w:t>
      </w:r>
      <w:r>
        <w:t>纳米结构的金表面可以根据光子成对到达探测器的趋势来过滤光。纳米结构的金表面可以根据光子成对到达探测器的趋势来过滤光。</w:t>
      </w:r>
    </w:p>
    <w:p>
      <w:pPr>
        <w:spacing w:before="0" w:after="200" w:lineRule="auto" w:line="276"/>
      </w:pPr>
      <w:r>
        <w:rPr>
          <w:b/>
        </w:rPr>
        <w:t xml:space="preserve">Abstract (EN): </w:t>
      </w:r>
      <w:r>
        <w:t>A nanostructured gold surface can filter light depending on the tendency of its photons to arrive at a detector in pairs. A nanostructured gold surface can filter light depending on the tendency of its photons to arrive at a detector in pairs.</w:t>
      </w:r>
    </w:p>
    <w:p>
      <w:pPr>
        <w:spacing w:before="120" w:after="120"/>
      </w:pPr>
      <w:r>
        <w:rPr>
          <w:sz w:val="18"/>
        </w:rPr>
        <w:t>——————————————————————————————————————————————————————————————————————</w:t>
      </w:r>
    </w:p>
    <w:p>
      <w:pPr>
        <w:spacing w:before="160" w:after="40" w:line="240" w:lineRule="auto"/>
      </w:pPr>
      <w:r>
        <w:rPr>
          <w:b/>
        </w:rPr>
        <w:t xml:space="preserve">[375] </w:t>
      </w:r>
      <w:hyperlink r:id="rId1046">
        <w:r>
          <w:rPr>
            <w:color w:val="1155CC"/>
            <w:u w:val="single"/>
          </w:rPr>
          <w:t>超越电容比：有机电化学晶体管的电解质分压和新阻抗模型</w:t>
        </w:r>
      </w:hyperlink>
    </w:p>
    <w:p>
      <w:pPr>
        <w:spacing w:before="0" w:after="80"/>
      </w:pPr>
      <w:r>
        <w:rPr>
          <w:i/>
          <w:sz w:val="20"/>
        </w:rPr>
        <w:t>EN: Beyond Capacitance Ratio: Electrolyte Voltage Division and a New Impedance Model for Organic Electrochemical Transistors</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47">
        <w:r>
          <w:rPr>
            <w:color w:val="1155CC"/>
            <w:u w:val="single"/>
          </w:rPr>
          <w:t>10.1021/acsami.6c09414</w:t>
        </w:r>
      </w:hyperlink>
    </w:p>
    <w:p>
      <w:pPr>
        <w:spacing w:before="0" w:after="120"/>
      </w:pPr>
      <w:r>
        <w:rPr>
          <w:b/>
        </w:rPr>
        <w:t xml:space="preserve">Notes: </w:t>
      </w:r>
      <w:r>
        <w:t>abstract_source=pubmed</w:t>
      </w:r>
    </w:p>
    <w:p>
      <w:pPr>
        <w:spacing w:before="0" w:after="80" w:lineRule="auto" w:line="276"/>
      </w:pPr>
      <w:r>
        <w:rPr>
          <w:b/>
        </w:rPr>
        <w:t xml:space="preserve">摘要（ZH）: </w:t>
      </w:r>
      <w:r>
        <w:t>有机电化学晶体管（OECT）可以通过几何形状或材料调整栅极沟道电容比来优化。然而，电解质特性也严重影响性能，这是仅用电容模型无法解释的现象。这项研究表明，不同的电解质浓度会调节通态电流 (Ion)、断态电流 (Ioff)、开关比 (Ion/Ioff) 和阈值电压 (VT)。我们提出了一种新的基于阻抗的模型，结合了电解质上的电容耦合和电阻分压来解释这些效应。该模型成功预测并验证了高频信号下与频率相关的 VT 偏移。利用这一见解，我们证明了适当增加栅极直流偏置可以补偿这种变化，从而增强高频应用中的跨导。</w:t>
      </w:r>
    </w:p>
    <w:p>
      <w:pPr>
        <w:spacing w:before="0" w:after="200" w:lineRule="auto" w:line="276"/>
      </w:pPr>
      <w:r>
        <w:rPr>
          <w:b/>
        </w:rPr>
        <w:t xml:space="preserve">Abstract (EN): </w:t>
      </w:r>
      <w:r>
        <w:t>Organic electrochemical transistors (OECTs) can be optimized by tuning the gate-channel capacitance ratio via geometry or materials. However, electrolyte properties also critically influence performance, which is a phenomenon unexplained by capacitive models alone. This study demonstrates that varying electrolyte concentration modulates the on-state current (Ion), the off-state current (Ioff), the on-off ratio (Ion/Ioff), and the threshold voltage (VT). We propose a new impedance-based model incorporating both capacitive coupling and resistive voltage division across the electrolyte to explain these effects. This model successfully predicts and verifies a frequency-dependent VT shift under high-frequency signals. Leveraging this insight, we demonstrate that appropriately increasing the gate DC bias compensates for this shift, thereby enhancing transconductance in high-frequency applications.</w:t>
      </w:r>
    </w:p>
    <w:p>
      <w:pPr>
        <w:spacing w:before="120" w:after="120"/>
      </w:pPr>
      <w:r>
        <w:rPr>
          <w:sz w:val="18"/>
        </w:rPr>
        <w:t>——————————————————————————————————————————————————————————————————————</w:t>
      </w:r>
    </w:p>
    <w:p>
      <w:pPr>
        <w:spacing w:before="160" w:after="40" w:line="240" w:lineRule="auto"/>
      </w:pPr>
      <w:r>
        <w:rPr>
          <w:b/>
        </w:rPr>
        <w:t xml:space="preserve">[376] </w:t>
      </w:r>
      <w:hyperlink r:id="rId1048">
        <w:r>
          <w:rPr>
            <w:color w:val="1155CC"/>
            <w:u w:val="single"/>
          </w:rPr>
          <w:t>负载白藜芦醇的纳米酶通过 Wnt/β-Catenin 通路和微环境调节治疗骨关节炎</w:t>
        </w:r>
      </w:hyperlink>
    </w:p>
    <w:p>
      <w:pPr>
        <w:spacing w:before="0" w:after="80"/>
      </w:pPr>
      <w:r>
        <w:rPr>
          <w:i/>
          <w:sz w:val="20"/>
        </w:rPr>
        <w:t>EN: Nanozyme Loaded with Resveratrol for Osteoarthritis Therapy via Wnt/β-Catenin Pathway and Microenvironment Regulation</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49">
        <w:r>
          <w:rPr>
            <w:color w:val="1155CC"/>
            <w:u w:val="single"/>
          </w:rPr>
          <w:t>10.1021/acsami.6c05934</w:t>
        </w:r>
      </w:hyperlink>
    </w:p>
    <w:p>
      <w:pPr>
        <w:spacing w:before="0" w:after="120"/>
      </w:pPr>
      <w:r>
        <w:rPr>
          <w:b/>
        </w:rPr>
        <w:t xml:space="preserve">Notes: </w:t>
      </w:r>
      <w:r>
        <w:t>abstract_source=pubmed</w:t>
      </w:r>
    </w:p>
    <w:p>
      <w:pPr>
        <w:spacing w:before="0" w:after="80" w:lineRule="auto" w:line="276"/>
      </w:pPr>
      <w:r>
        <w:rPr>
          <w:b/>
        </w:rPr>
        <w:t xml:space="preserve">摘要（ZH）: </w:t>
      </w:r>
      <w:r>
        <w:t>骨关节炎 (OA) 是一种慢性退行性疾病，会导致骨和软骨退化、关节畸形和功能丧失。 OA 的发生和进展主要是由氧化应激和 Wnt/β-catenin 信号通路的异常激活驱动的。这项研究涉及将白藜芦醇 (Res) 和铂 (Pt) 纳米酶负载到金属有机框架 (MOF) 上，这些纳米酶具有超氧化物歧化酶 (SOD) 和过氧化氢酶 (CAT) 的特性，因其独特的孔隙率和高负载能力。该系统进一步用透明质酸（HA）修饰来合成Pt-MOF/Res@HA（PMRH）纳米颗粒。 PMRH 纳米颗粒通过同时抑制 Wnt/β-catenin 信号通路和消除活性氧 (ROS) 来改善早期 OA 的预防和治疗。体外和体内实验结果表明，PMRH 纳米颗粒可有效清除 OA 微环境中的 ROS。 PMRH 纳米粒子抑制受骨关节炎影响的软骨细胞中过度活跃的 Wnt/β-catenin 信号通路。这种双靶点方法可解决氧化应激并抑制 Wnt/β-catenin 信号通路，显示出治疗 OA 的广阔前景。</w:t>
      </w:r>
    </w:p>
    <w:p>
      <w:pPr>
        <w:spacing w:before="0" w:after="200" w:lineRule="auto" w:line="276"/>
      </w:pPr>
      <w:r>
        <w:rPr>
          <w:b/>
        </w:rPr>
        <w:t xml:space="preserve">Abstract (EN): </w:t>
      </w:r>
      <w:r>
        <w:t>Osteoarthritis (OA) is a chronic degenerative disease causing bone and cartilage deterioration, joint deformity, and functional loss. The initiation and progression of OA are primarily driven by oxidative stress and the abnormal activation of the Wnt/β-catenin signaling pathway. This study involved loading Resveratrol (Res) and platinum (Pt) nanozymes, which exhibit superoxide dismutase (SOD) and catalase (CAT), onto a metal-organic framework (MOF) due to its distinctive porosity and high loading capacity. The system was further modified with hyaluronic acid (HA) to synthesize Pt-MOF/Res@HA (PMRH) nanoparticles. The PMRH nanoparticles improve early OA prevention and treatment by concurrently inhibiting the Wnt/β-catenin signaling pathway and eliminating reactive oxygen species (ROS). Experimental results, both in vitro and in vivo, indicate that PMRH nanoparticles efficiently scavenge ROS within the OA microenvironment. The PMRH nanoparticles inhibit the overactive Wnt/β-catenin signaling pathway in chondrocytes affected by osteoarthritis. This dual-target approach, which addresses oxidative stress and inhibits the Wnt/β-catenin signaling pathway, shows promising therapeutic potential for OA.</w:t>
      </w:r>
    </w:p>
    <w:p>
      <w:pPr>
        <w:spacing w:before="120" w:after="120"/>
      </w:pPr>
      <w:r>
        <w:rPr>
          <w:sz w:val="18"/>
        </w:rPr>
        <w:t>——————————————————————————————————————————————————————————————————————</w:t>
      </w:r>
    </w:p>
    <w:p>
      <w:pPr>
        <w:spacing w:before="160" w:after="40" w:line="240" w:lineRule="auto"/>
      </w:pPr>
      <w:r>
        <w:rPr>
          <w:b/>
        </w:rPr>
        <w:t xml:space="preserve">[377] </w:t>
      </w:r>
      <w:hyperlink r:id="rId1050">
        <w:r>
          <w:rPr>
            <w:color w:val="1155CC"/>
            <w:u w:val="single"/>
          </w:rPr>
          <w:t>粘合策略构建的自供电静电纳米纤维膜耦合压电及其在生物气溶胶高效捕获中的应用</w:t>
        </w:r>
      </w:hyperlink>
    </w:p>
    <w:p>
      <w:pPr>
        <w:spacing w:before="0" w:after="80"/>
      </w:pPr>
      <w:r>
        <w:rPr>
          <w:i/>
          <w:sz w:val="20"/>
        </w:rPr>
        <w:t>EN: Constructed Self-Powered Electrostatic Nanofiber Membrane Coupled Piezoelectricity with Adhesive Strategy and Its Application in Efficient Capture of Bioaerosol</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51">
        <w:r>
          <w:rPr>
            <w:color w:val="1155CC"/>
            <w:u w:val="single"/>
          </w:rPr>
          <w:t>10.1021/acsami.6c09491</w:t>
        </w:r>
      </w:hyperlink>
    </w:p>
    <w:p>
      <w:pPr>
        <w:spacing w:before="0" w:after="120"/>
      </w:pPr>
      <w:r>
        <w:rPr>
          <w:b/>
        </w:rPr>
        <w:t xml:space="preserve">Notes: </w:t>
      </w:r>
      <w:r>
        <w:t>abstract_source=pubmed</w:t>
      </w:r>
    </w:p>
    <w:p>
      <w:pPr>
        <w:spacing w:before="0" w:after="80" w:lineRule="auto" w:line="276"/>
      </w:pPr>
      <w:r>
        <w:rPr>
          <w:b/>
        </w:rPr>
        <w:t xml:space="preserve">摘要（ZH）: </w:t>
      </w:r>
      <w:r>
        <w:t>在生物气溶胶中，病毒气溶胶具有体积小（&lt;300 nm）、大气悬浮时间长和传染性高等特点，对环境和公共卫生构成重大风险，特别是在人口稠密或通风不良的地区。在此，我们开发了一种基于静电粘合纳米纤维膜的病毒气溶胶捕获和后续定量的有效方法，该膜是通过将压电BaTiO3掺杂的聚苯乙烯与聚多巴胺（PDA）表面涂层协同组合而制成的。传统的生物采样器通常仅限于低于 6 L min-1 的流速才能有效捕获病毒。相比之下，设计的自供电静电纤维膜在流量高达 15 L min-1 时保持 &gt;90% 的捕获效率，在气流扰动下表现出约 2 V 的最大静态电压。 PDA涂层提供耐湿捕获，在不同大气条件（相对湿度范围40%-90%）下保持高效的捕获效率，进一步证实了这些自制纤维膜的环境适应性。此外，在实际大气条件下，这些膜的捕获性能超过了商业膜。分子动力学模拟进一步证明PDA涂层可以显着增强病毒结合亲和力，并且捕获的病毒可以在弱酸性条件下有效洗脱。这一突破能够有效捕获病毒气溶胶并随后进行环境监测定量。</w:t>
      </w:r>
    </w:p>
    <w:p>
      <w:pPr>
        <w:spacing w:before="0" w:after="200" w:lineRule="auto" w:line="276"/>
      </w:pPr>
      <w:r>
        <w:rPr>
          <w:b/>
        </w:rPr>
        <w:t xml:space="preserve">Abstract (EN): </w:t>
      </w:r>
      <w:r>
        <w:t>Among bioaerosols, viral aerosols, characterized by their small size (&lt;300 nm), prolonged atmospheric suspension, and high infectivity, pose significant environmental and public health risks, particularly in densely populated or poorly ventilated areas. Herein, we developed an efficient method for viral aerosol capture and subsequent quantification based on an electrostatic adhesive nanofibrous membrane, which was fabricated by synergistically combining piezoelectric BaTiO3-doped polystyrene with a polydopamine (PDA) surface coating. Conventional biosamplers are typically limited to flow rates below 6 L min-1 for efficient virus capture. In contrast, the designed self-powered electrostatic fiber membrane maintains &gt;90% capture efficiency at flow rates up to 15 L min-1, exhibiting a maximum static voltage of about 2 V under airflow disturbance. The PDA coating provides humidity-resistant capture, maintaining an efficient capture efficiency under different atmospheric conditions (relative humidity ranging from 40%-90%), further confirming the environmental adaptability of these home-made fibrous membranes. Moreover, under actual atmospheric conditions, the capture performance of these membranes surpasses commercial ones. Molecular dynamics simulation further proved that PDA coating could significantly enhance virus-binding affinity, and the captured virus can be efficiently eluted under mild acidic conditions. This breakthrough enables effective viral aerosol capture and subsequent quantification for environmental monitoring.</w:t>
      </w:r>
    </w:p>
    <w:p>
      <w:pPr>
        <w:spacing w:before="120" w:after="120"/>
      </w:pPr>
      <w:r>
        <w:rPr>
          <w:sz w:val="18"/>
        </w:rPr>
        <w:t>——————————————————————————————————————————————————————————————————————</w:t>
      </w:r>
    </w:p>
    <w:p>
      <w:pPr>
        <w:spacing w:before="160" w:after="40" w:line="240" w:lineRule="auto"/>
      </w:pPr>
      <w:r>
        <w:rPr>
          <w:b/>
        </w:rPr>
        <w:t xml:space="preserve">[378] </w:t>
      </w:r>
      <w:hyperlink r:id="rId1052">
        <w:r>
          <w:rPr>
            <w:color w:val="1155CC"/>
            <w:u w:val="single"/>
          </w:rPr>
          <w:t>基于 Dinks 的收缩仿生超微针促进伤口愈合</w:t>
        </w:r>
      </w:hyperlink>
    </w:p>
    <w:p>
      <w:pPr>
        <w:spacing w:before="0" w:after="80"/>
      </w:pPr>
      <w:r>
        <w:rPr>
          <w:i/>
          <w:sz w:val="20"/>
        </w:rPr>
        <w:t>EN: Shrinky Dinks-Based Bionic Meta-Microneedles for Advancing Wound Healing</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53">
        <w:r>
          <w:rPr>
            <w:color w:val="1155CC"/>
            <w:u w:val="single"/>
          </w:rPr>
          <w:t>10.1021/acsami.6c06581</w:t>
        </w:r>
      </w:hyperlink>
    </w:p>
    <w:p>
      <w:pPr>
        <w:spacing w:before="0" w:after="120"/>
      </w:pPr>
      <w:r>
        <w:rPr>
          <w:b/>
        </w:rPr>
        <w:t xml:space="preserve">Notes: </w:t>
      </w:r>
      <w:r>
        <w:t>abstract_source=pubmed</w:t>
      </w:r>
    </w:p>
    <w:p>
      <w:pPr>
        <w:spacing w:before="0" w:after="80" w:lineRule="auto" w:line="276"/>
      </w:pPr>
      <w:r>
        <w:rPr>
          <w:b/>
        </w:rPr>
        <w:t xml:space="preserve">摘要（ZH）: </w:t>
      </w:r>
      <w:r>
        <w:t>伤口愈合仍然是医疗保健领域的一个基本且持久的挑战。在新兴方法中，微针（MN）敷料代表了改善伤口治疗的一种有前途的策略。在这里，受到青蛙足垫和章鱼吸盘的启发，我们提出了一种在收缩丁克上生成负模板的新方法，从而能够构建用于系统伤口管理的图案可调仿生多结构 MN 贴片 (PBMM)。这种策略在制造速度和成本效益方面具有显着的优势，微加工的收缩丁克在热处理后保留了预定的微观结构，并直接用作制造模板。此外，这种集成的六边形框架和环形吸盘仿生结构赋予PBMM强大而可靠的粘附力，从而有利于在实际条件下稳定地附着在伤口表面。受益于这些结构，独特的微通道能够在与 PBMM 接触时实现快速、定向的微流体传输。因此，我们相信这种制造方法可以广泛应用于MN结构设计，并在下一代临床伤口愈合应用中具有巨大潜力。</w:t>
      </w:r>
    </w:p>
    <w:p>
      <w:pPr>
        <w:spacing w:before="0" w:after="200" w:lineRule="auto" w:line="276"/>
      </w:pPr>
      <w:r>
        <w:rPr>
          <w:b/>
        </w:rPr>
        <w:t xml:space="preserve">Abstract (EN): </w:t>
      </w:r>
      <w:r>
        <w:t>Wound healing remains a fundamental and enduring challenge in healthcare. Among emerging approaches, microneedle (MN) dressings represent a promising strategy for improving wound treatment. Here, inspired by frog foot pads and octopus suction cups, we propose a novel method to generate negative templates on shrinky dinks, enabling the construction of pattern-tunable bionic multi-structural MN patches (PBMMs) for systematic wound management. This strategy offers significant advantages in manufacturing speed and cost-effectiveness, with micro-processed shrinky dinks retaining the predefined microstructures after thermal treatment and directly serving as fabrication templates. In addition, this integrated hexagonal frame and annular suction cup biomimetic structures endow PBMMs with strong and reliable adhesion, thus facilitating stable attachment to the wound surface under practical conditions. Benefiting from these structures, the unique microchannels enable rapid, directional microfluidic transport upon contact with the PBMMs. Therefore, we believe that this fabrication method can be widely applied to the MN structure design and holds enormous potential for next-generation clinical wound healing applications.</w:t>
      </w:r>
    </w:p>
    <w:p>
      <w:pPr>
        <w:spacing w:before="120" w:after="120"/>
      </w:pPr>
      <w:r>
        <w:rPr>
          <w:sz w:val="18"/>
        </w:rPr>
        <w:t>——————————————————————————————————————————————————————————————————————</w:t>
      </w:r>
    </w:p>
    <w:p>
      <w:pPr>
        <w:spacing w:before="160" w:after="40" w:line="240" w:lineRule="auto"/>
      </w:pPr>
      <w:r>
        <w:rPr>
          <w:b/>
        </w:rPr>
        <w:t xml:space="preserve">[379] </w:t>
      </w:r>
      <w:hyperlink r:id="rId1054">
        <w:r>
          <w:rPr>
            <w:color w:val="1155CC"/>
            <w:u w:val="single"/>
          </w:rPr>
          <w:t>激光诱导不规则分层界面结构为柔性压力传感器提供高灵敏度和宽检测范围</w:t>
        </w:r>
      </w:hyperlink>
    </w:p>
    <w:p>
      <w:pPr>
        <w:spacing w:before="0" w:after="80"/>
      </w:pPr>
      <w:r>
        <w:rPr>
          <w:i/>
          <w:sz w:val="20"/>
        </w:rPr>
        <w:t>EN: Laser-Induced Irregular Hierarchical Interface Structures Offering High Sensitivity and Broad Detection Range of Flexible Pressure Sensors</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55">
        <w:r>
          <w:rPr>
            <w:color w:val="1155CC"/>
            <w:u w:val="single"/>
          </w:rPr>
          <w:t>10.1021/acsami.6c08372</w:t>
        </w:r>
      </w:hyperlink>
    </w:p>
    <w:p>
      <w:pPr>
        <w:spacing w:before="0" w:after="120"/>
      </w:pPr>
      <w:r>
        <w:rPr>
          <w:b/>
        </w:rPr>
        <w:t xml:space="preserve">Notes: </w:t>
      </w:r>
      <w:r>
        <w:t>abstract_source=pubmed</w:t>
      </w:r>
    </w:p>
    <w:p>
      <w:pPr>
        <w:spacing w:before="0" w:after="80" w:lineRule="auto" w:line="276"/>
      </w:pPr>
      <w:r>
        <w:rPr>
          <w:b/>
        </w:rPr>
        <w:t xml:space="preserve">摘要（ZH）: </w:t>
      </w:r>
      <w:r>
        <w:t>柔性压力传感器已成为可穿戴电子产品和人机界面的关键推动者。目前，通常采用在传感介质中引入微结构来定制传感器性能。然而，传统的单尺度结构（纯纳米或微米尺度）很难在高灵敏度和宽传感范围之间取得平衡，并且相应的制造工艺通常复杂、耗时且不适合大规模生产。这项研究提出了一种具有微/纳米结构协同效应的分层架构，并开发了一种结合飞秒激光加工和精密成型的混合制造策略，以实现在压力传感基板上高质量、低成本、可扩展地制造此类结构。具体来说，采用飞秒激光在钛合金模板上创建微/纳米级分层结构，然后将其作为耐用模具来实现柔性压力传感基板的大规模复制。在这个双尺度框架内，纳米级特征旨在实现低压区域的高灵敏度检测，而相对较大的结构（微米级）有助于扩展整体传感范围。受益于这种多级微/纳米结构的协同效应，所制造的传感器表现出0.014-420 kPa的宽压力检测范围和稳定的响应，并在0-2.3 kPa区间内实现了0.87423 kPa-1的高灵敏度。此外，该器件还表现出 40 毫秒的快速响应时间</w:t>
      </w:r>
    </w:p>
    <w:p>
      <w:pPr>
        <w:spacing w:before="0" w:after="200" w:lineRule="auto" w:line="276"/>
      </w:pPr>
      <w:r>
        <w:rPr>
          <w:b/>
        </w:rPr>
        <w:t xml:space="preserve">Abstract (EN): </w:t>
      </w:r>
      <w:r>
        <w:t>Flexible pressure sensors have emerged as key enablers for wearable electronics and human-machine interfaces. Currently, introducing microstructures into the sensing medium is commonly adopted to tailor sensor performance. However, conventional single-scale structures (purely nano‑ or micro-scale) struggle to balance high sensitivity with a broad sensing range, and the corresponding fabrication processes are generally complex, time‑consuming, and incompatible with large-scale production. This study proposes a hierarchical architecture endowed with the synergistic effect of micro/nanostructures and develops a hybrid manufacturing strategy combining femtosecond laser processing and precision molding to enable high-quality, low-cost, scalable fabrication of such structures on pressure-sensing substrates. Specifically, femtosecond laser is employed to create the micro/nanoscale hierarchical structures on titanium alloy templates, which then act as durable molds to realize mass replication of flexible pressure‑sensing substrates. Within this dual-scale framework, nanoscale features are designed to achieve high sensitivity detection in the low‑pressure region, while the relatively large structures (microscale) help extend the overall sensing range. Benefiting from the synergistic effect of such multilevel micro/nanostructures, the as‑fabricated sensor exhibited a broad pressure detection range of 0.014-420 kPa with a stable response and achieved a high sensitivity of 0.87423 kPa-1 within the 0-2.3 kPa interval. Moreover, the device demonstrated a rapid response time of 40 ms and a recovery time of 60 ms and maintained consistent sensing performance after a 3-week long-term durability test consisting for 20,000 loading-unloading cycles. Practical test verifies that sensors with hierarchical micro/nanostructures enable accurate and reliable detection of the full spectrum of signals generated by human daily living and various activities, ranging from subtle human physiological signals (e.g., voice and pulse waveforms), moderate motion signals (e.g., joint flexion and limb movement), to large dynamic load motions (e.g., walking). The well-balanced overall performance makes the sensor highly promising for wearable health monitoring and human-machine interaction. Furthermore, this work offers an innovative manufacturing route for the design and mass production of next-generation high-performance flexible pressure sensors.</w:t>
      </w:r>
    </w:p>
    <w:p>
      <w:pPr>
        <w:spacing w:before="120" w:after="120"/>
      </w:pPr>
      <w:r>
        <w:rPr>
          <w:sz w:val="18"/>
        </w:rPr>
        <w:t>——————————————————————————————————————————————————————————————————————</w:t>
      </w:r>
    </w:p>
    <w:p>
      <w:pPr>
        <w:spacing w:before="160" w:after="40" w:line="240" w:lineRule="auto"/>
      </w:pPr>
      <w:r>
        <w:rPr>
          <w:b/>
        </w:rPr>
        <w:t xml:space="preserve">[380] </w:t>
      </w:r>
      <w:hyperlink r:id="rId1056">
        <w:r>
          <w:rPr>
            <w:color w:val="1155CC"/>
            <w:u w:val="single"/>
          </w:rPr>
          <w:t>人们使用快速且平面的模拟来推理新游戏</w:t>
        </w:r>
      </w:hyperlink>
    </w:p>
    <w:p>
      <w:pPr>
        <w:spacing w:before="0" w:after="80"/>
      </w:pPr>
      <w:r>
        <w:rPr>
          <w:i/>
          <w:sz w:val="20"/>
        </w:rPr>
        <w:t>EN: People use fast and flat simulation to reason about new games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57">
        <w:r>
          <w:rPr>
            <w:color w:val="1155CC"/>
            <w:u w:val="single"/>
          </w:rPr>
          <w:t>10.1038/s41586-026-10722-1</w:t>
        </w:r>
      </w:hyperlink>
    </w:p>
    <w:p>
      <w:pPr>
        <w:spacing w:before="0" w:after="120"/>
      </w:pPr>
      <w:r>
        <w:rPr>
          <w:b/>
        </w:rPr>
        <w:t xml:space="preserve">Notes: </w:t>
      </w:r>
      <w:r>
        <w:t>abstract_source=nature_html</w:t>
      </w:r>
    </w:p>
    <w:p>
      <w:pPr>
        <w:spacing w:before="0" w:after="80" w:lineRule="auto" w:line="276"/>
      </w:pPr>
      <w:r>
        <w:rPr>
          <w:b/>
        </w:rPr>
        <w:t xml:space="preserve">摘要（ZH）: </w:t>
      </w:r>
      <w:r>
        <w:t>长期以来，游戏一直是研究自然智能和人工智能中的规划和推理的缩影，通常侧重于专家级甚至超人类的游戏1,2,3,4,5,6。但现实生活也将人类智能推向了一个不同的领域，要求人们灵活地处理他们以前从未考虑过的决策问题。在这里，我们使用新手玩法来研究人们如何推理新的问题设置。通过对超过 1,000 名参与者和 121 款两人战略棋盘游戏（对我们的参与者来说几乎都是新奇的）进行的一系列大规模行为研究，我们表明，人们在第一次玩游戏或在玩过一次游戏之前评估游戏（例如，游戏的公平性或乐趣程度）时，是系统性的、适应性理性的。我们通过称为“直觉玩家”的计算认知模型来解释这些能力：该模型基于快速且平坦（深度有限）目标导向的概率模拟机制。我们的工作提供了人们在遇到新问题时如何快速评估、行动和提出建议的见解，并可以为更灵活、更类人的人工智能系统的设计提供信息，这些系统不仅可以确定如何解决新任务，还可以确定一项任务是否值得考虑。</w:t>
      </w:r>
    </w:p>
    <w:p>
      <w:pPr>
        <w:spacing w:before="0" w:after="200" w:lineRule="auto" w:line="276"/>
      </w:pPr>
      <w:r>
        <w:rPr>
          <w:b/>
        </w:rPr>
        <w:t xml:space="preserve">Abstract (EN): </w:t>
      </w:r>
      <w:r>
        <w:t>Games have long been a microcosm for studying planning and reasoning in both natural and artificial intelligence, often focusing on expert-level or even super-human play1,2,3,4,5,6. But real life also pushes human intelligence along a different frontier, requiring people to flexibly navigate decision-making problems that they have never thought about before. Here we use novice gameplay to study how people reason about new problem settings. Through a series of large-scale behavioural studies with over 1,000 participants and 121 two-player strategic board games (almost all novel to our participants), we show that people are systematic and adaptively rational in how they play a game for the first time or evaluate a game (for example, how fair or how fun it is likely to be) before they have played it even once. We explain these capacities via a computational cognitive model that we call the ‘Intuitive Gamer’: a model based on mechanisms of fast and flat (depth-limited) goal-directed probabilistic simulation. Our work offers insights into how people rapidly evaluate, act and make suggestions when encountering novel problems, and could inform the design of more flexible and human-like artificial intelligence systems that can determine not just how to solve new tasks but also whether a task is worth thinking about at all.</w:t>
      </w:r>
    </w:p>
    <w:p>
      <w:pPr>
        <w:spacing w:before="120" w:after="120"/>
      </w:pPr>
      <w:r>
        <w:rPr>
          <w:sz w:val="18"/>
        </w:rPr>
        <w:t>——————————————————————————————————————————————————————————————————————</w:t>
      </w:r>
    </w:p>
    <w:p>
      <w:pPr>
        <w:spacing w:before="160" w:after="40" w:line="240" w:lineRule="auto"/>
      </w:pPr>
      <w:r>
        <w:rPr>
          <w:b/>
        </w:rPr>
        <w:t xml:space="preserve">[381] </w:t>
      </w:r>
      <w:hyperlink r:id="rId1058">
        <w:r>
          <w:rPr>
            <w:color w:val="1155CC"/>
            <w:u w:val="single"/>
          </w:rPr>
          <w:t>异金属 Bi III -Eu III 簇嵌入抗钨酸盐：合理设计和双模式抗坏血酸检测，集成荧光传感和智能手机辅助现场测定</w:t>
        </w:r>
      </w:hyperlink>
    </w:p>
    <w:p>
      <w:pPr>
        <w:spacing w:before="0" w:after="80"/>
      </w:pPr>
      <w:r>
        <w:rPr>
          <w:i/>
          <w:sz w:val="20"/>
        </w:rPr>
        <w:t>EN: Heterometallic Bi III −Eu III Cluster-embedded Antimonotungstate: Rational Design and Dual-Mode Ascorbic Acid Detection Integrating Fluorescent Sensing and Smartphone-Assisted Onsite Assay</w:t>
      </w:r>
    </w:p>
    <w:p>
      <w:pPr>
        <w:spacing w:before="0" w:after="120"/>
      </w:pPr>
      <w:r>
        <w:rPr>
          <w:b/>
        </w:rPr>
        <w:t xml:space="preserve">Source: </w:t>
      </w:r>
      <w:r>
        <w:t>ACS Applied Materials &amp; Interfaces: Latest Articles (ACS Publications)</w:t>
      </w:r>
      <w:r>
        <w:t xml:space="preserve">    </w:t>
      </w:r>
      <w:r>
        <w:rPr>
          <w:b/>
        </w:rPr>
        <w:t xml:space="preserve">Pub date: </w:t>
      </w:r>
      <w:r>
        <w:t>2026-07-15 00:00:00+00:00</w:t>
      </w:r>
      <w:r>
        <w:t xml:space="preserve">    </w:t>
      </w:r>
      <w:r>
        <w:rPr>
          <w:b/>
        </w:rPr>
        <w:t xml:space="preserve">DOI: </w:t>
      </w:r>
      <w:hyperlink r:id="rId1059">
        <w:r>
          <w:rPr>
            <w:color w:val="1155CC"/>
            <w:u w:val="single"/>
          </w:rPr>
          <w:t>10.1021/acsami.6c06847</w:t>
        </w:r>
      </w:hyperlink>
    </w:p>
    <w:p>
      <w:pPr>
        <w:spacing w:before="0" w:after="120"/>
      </w:pPr>
      <w:r>
        <w:rPr>
          <w:b/>
        </w:rPr>
        <w:t xml:space="preserve">Notes: </w:t>
      </w:r>
      <w:r>
        <w:t>abstract_source=pubmed</w:t>
      </w:r>
    </w:p>
    <w:p>
      <w:pPr>
        <w:spacing w:before="0" w:after="80" w:lineRule="auto" w:line="276"/>
      </w:pPr>
      <w:r>
        <w:rPr>
          <w:b/>
        </w:rPr>
        <w:t xml:space="preserve">摘要（ZH）: </w:t>
      </w:r>
      <w:r>
        <w:t>准确可靠地检测抗坏血酸（AA）对于临床诊断和健康监测具有重要意义。因此，先进功能材料的合理设计及其在AA传感方面的潜力的探索已成为一个关键的研究前沿。在此，通过以下方法成功合成了异金属EuIII-BiIII簇封装的抗单钨酸盐（HDMEA）9 Na18H3{[Bi10Eu2(H2O)4(DMEA)2(H2OA)4W10O36][B-α-SbW9O33]6}·124H2O（1，DMEA = N,N-二甲基乙醇胺，H2OA =草酸）多组件协同装配策略。值得注意的是，1 在水介质中表现出强烈的荧光发射，可作为 AA 的高灵敏度荧光传感器，在 40-200 μM 的线性范围内实现 0.038 μM 的低检测限。有趣的是，在添加 AA 后，1 的水溶液经历了从无色到橙色的明显颜色转变。利用这种显色响应，进一步构建了便携式传感平台，通过基于智能手机的比色应用程序将视觉颜色信号转换为数字读数，在0-400 μM的线性范围内实现LOD为0.45 μM的AA的定量检测。基于 1 的荧光传感器和智能手机辅助比色测定均已成功验证用于实际样品中 AA 的检测。这项工作阐明了多组分多金属氧酸盐制造中Eu3+和Bi3+离子之间独特的协同相互作用，并强调了多金属氧酸盐基材料在环境应用中的巨大潜力。</w:t>
      </w:r>
    </w:p>
    <w:p>
      <w:pPr>
        <w:spacing w:before="0" w:after="200" w:lineRule="auto" w:line="276"/>
      </w:pPr>
      <w:r>
        <w:rPr>
          <w:b/>
        </w:rPr>
        <w:t xml:space="preserve">Abstract (EN): </w:t>
      </w:r>
      <w:r>
        <w:t>Accurate and reliable detection of ascorbic acid (AA) is of paramount significance for clinical diagnosis and health surveillance. Consequently, the rational design of advanced functional materials and the exploration of their potential in AA sensing have emerged as a pivotal research frontier. Herein, a heterometallic EuIII-BiIII cluster-encapsulated antimonotungstate (HDMEA)9 Na18H3{[Bi10Eu2(H2O)4(DMEA)2(H2OA)4W10O36][B-α-SbW9O33]6}·124H2O (1, DMEA = N,N-dimethylethanolamine, H2OA = oxalic acid) was successfully synthesized via a multicomponent co-assembly strategy. Notably, 1 exhibits intense fluorescence emission in aqueous media and functions as a highly sensitive fluorescent sensor for AA, achieving a low detection limit of 0.038 μM in a linear range of 40-200 μM. Intriguingly, the aqueous solution of 1 undergoes a distinct color transition from colorless to orange upon the addition of AA. Capitalizing on this chromogenic response, a portable sensing platform was further constructed, which transduces visual color signals into digital readouts through a smartphone-based colorimetric application, realizing quantitative detection of AA with an LOD of 0.45 μM in the linear range of 0-400 μM. Both the 1-based fluorescent sensor and the smartphone-assisted colorimetric assay were successfully validated for the detection of AA in real samples. This work elucidates the unique synergistic interactions between Eu3+ and Bi3+ ions in the fabrication of multicomponent polyoxometalates and highlights the immense potential of polyoxometalate-based materials for applications in environmental monitoring and biomedical sensing.</w:t>
      </w:r>
    </w:p>
    <w:p>
      <w:pPr>
        <w:spacing w:before="120" w:after="120"/>
      </w:pPr>
      <w:r>
        <w:rPr>
          <w:sz w:val="18"/>
        </w:rPr>
        <w:t>——————————————————————————————————————————————————————————————————————</w:t>
      </w:r>
    </w:p>
    <w:p>
      <w:pPr>
        <w:spacing w:before="160" w:after="40" w:line="240" w:lineRule="auto"/>
      </w:pPr>
      <w:r>
        <w:rPr>
          <w:b/>
        </w:rPr>
        <w:t xml:space="preserve">[382] </w:t>
      </w:r>
      <w:hyperlink r:id="rId1060">
        <w:r>
          <w:rPr>
            <w:color w:val="1155CC"/>
            <w:u w:val="single"/>
          </w:rPr>
          <w:t>通过异质半导体 TiO2 纳米管将炔烃与硝基芳烃直接酰胺化</w:t>
        </w:r>
      </w:hyperlink>
    </w:p>
    <w:p>
      <w:pPr>
        <w:spacing w:before="0" w:after="80"/>
      </w:pPr>
      <w:r>
        <w:rPr>
          <w:i/>
          <w:sz w:val="20"/>
        </w:rPr>
        <w:t>EN: Direct Amidation of Alkynes with Nitroarenes via Heterogeneous Semiconductor TiO₂ Nanotubes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酰胺在制药和材料科学中至关重要，传统上是通过不可持续的缩合反应合成的。虽然直接酰胺化长期以来一直被视为一种原子经济途径，但它仍然依赖于有毒试剂和恶劣的条件。这项工作提出了一种光驱动的光催化过程，探索了很少研究的炔烃和硝基芳烃的转化，从而使用异质 TiO2 纳米管以优异的产率（高达 95%）合成酰胺。这种可持续的方法能够在温和的反应条件下与多种炔烃和多种硝基芳烃形成 C-N 键。该方法适用于药学相关酰胺的直接合成，并为生物活性分子的后期修饰提供了广泛的适用性。基于受控机械实验提出了一种尝试性耦合机制。总体而言，操作简单性、环境空气兼容性和催化剂可回收性的结合使该方法成为制药和化学应用中绿色实用合成的有前途的工具。</w:t>
      </w:r>
    </w:p>
    <w:p>
      <w:pPr>
        <w:spacing w:before="0" w:after="200" w:lineRule="auto" w:line="276"/>
      </w:pPr>
      <w:r>
        <w:rPr>
          <w:b/>
        </w:rPr>
        <w:t xml:space="preserve">Abstract (EN): </w:t>
      </w:r>
      <w:r>
        <w:t>Amides, which are crucial in pharmaceuticals and materials science, are traditionally synthesized via unsustainable condensation reactions. While direct amidation has long been pursued as an atom-economical route, it still relies on toxic reagents and harsh conditions. This work presents a light-driven photocatalytic process that explores a rarely investigated transformation of alkynes and nitroarenes, enabling amide synthesis with excellent yields (up to 95%) using heterogeneous TiO₂ nanotubes. This sustainable approach enables C–N bond formation with a wide range of alkynes and diverse nitroarenes under mild reaction conditions. This method is suitable for the direct synthesis of pharmaceutically relevant amides and offers broad applicability for the late-stage modification of bioactive molecules. A tentative coupling mechanism is proposed based on controlled, mechanistic experiments. Overall, the combination of operational simplicity, ambient-air compatibility, and catalyst recyclability positions this method as a promising tool for green, practical synthesis in pharmaceutical and chemical applications.</w:t>
      </w:r>
    </w:p>
    <w:p>
      <w:pPr>
        <w:spacing w:before="120" w:after="120"/>
      </w:pPr>
      <w:r>
        <w:rPr>
          <w:sz w:val="18"/>
        </w:rPr>
        <w:t>——————————————————————————————————————————————————————————————————————</w:t>
      </w:r>
    </w:p>
    <w:p>
      <w:pPr>
        <w:spacing w:before="160" w:after="40" w:line="240" w:lineRule="auto"/>
      </w:pPr>
      <w:r>
        <w:rPr>
          <w:b/>
        </w:rPr>
        <w:t xml:space="preserve">[383] </w:t>
      </w:r>
      <w:hyperlink r:id="rId1061">
        <w:r>
          <w:rPr>
            <w:color w:val="1155CC"/>
            <w:u w:val="single"/>
          </w:rPr>
          <w:t>使用高剪切响应流体和分析阻力建模进行非破坏性刀片锐度表征</w:t>
        </w:r>
      </w:hyperlink>
    </w:p>
    <w:p>
      <w:pPr>
        <w:spacing w:before="0" w:after="80"/>
      </w:pPr>
      <w:r>
        <w:rPr>
          <w:i/>
          <w:sz w:val="20"/>
        </w:rPr>
        <w:t>EN: Non-Destructive Blade Sharpness Characterization Using a High-Shear Responsive Fluid and Analytical Drag Modeling</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对于各种薄刃刀片和刀具，传统的锋利度测量技术（例如光学测量和固体材料切削测试）存在测试时间长、成本高和材料浪费等缺点。为了填补这一空白，本研究针对此类场景提出了一种基于高剪切响应流体的清晰度评估方法。开发了一种定制的流体配方，以微米级的灵敏度检测边缘变化。利用 Hiemenz 和 Falkner-Skan 解决方案的跨模型流变学建立了阻力分解框架，并通过模拟预测了锐度评估的真实流体行为。使用专门开发的平台进行实验，以模拟边缘半径、切削速度、穿透深度和力响应之间的关系。此外，还提出了将楔形流理论与剪切速率相关粘度相结合的分析锐度指数，证明了对灵敏度的积极贡献。这些结果凸显了刀片锐度测量中非线性建模和精确流体选择的必要性，并为进一步研究流体介导的锐度评估提供了基础。</w:t>
      </w:r>
    </w:p>
    <w:p>
      <w:pPr>
        <w:spacing w:before="0" w:after="200" w:lineRule="auto" w:line="276"/>
      </w:pPr>
      <w:r>
        <w:rPr>
          <w:b/>
        </w:rPr>
        <w:t xml:space="preserve">Abstract (EN): </w:t>
      </w:r>
      <w:r>
        <w:t>For various thin-edged blades and tools, the traditional sharpness measurement techniques (e.g., optical measurements and solid material cutting tests) suffer from drawbacks such as lengthy testing time, high cost, and material waste. To fill this gap, a sharpness evaluation method based on a high-shear-responsive fluid was proposed in this study for such scenarios. A tailored fluid formulation was developed to detect edge variation with micron-scale sensitivity. The drag-decomposition framework, by utilizing cross-model rheology with Hiemenz and Falkner-Skan solutions, was established, and the real-fluid behaviors for sharpness evaluation were predicted by simulation. Experiments were carried out using a specifically developed platform to model the relationship between edge radius, cutting speed, penetration depth and force responses. Furthermore, an analytical sharpness index by integrating wedge-flow theory with shear-rate-dependent viscosity was proposed, proving the positive contribution to sensitivity. These results highlight the need for nonlinear modeling and precise fluid selection in blade-sharpness measurement, and provide a basis for further investigation of fluid-mediated sharpness evaluation.</w:t>
      </w:r>
    </w:p>
    <w:p>
      <w:pPr>
        <w:spacing w:before="120" w:after="120"/>
      </w:pPr>
      <w:r>
        <w:rPr>
          <w:sz w:val="18"/>
        </w:rPr>
        <w:t>——————————————————————————————————————————————————————————————————————</w:t>
      </w:r>
    </w:p>
    <w:p>
      <w:pPr>
        <w:spacing w:before="160" w:after="40" w:line="240" w:lineRule="auto"/>
      </w:pPr>
      <w:r>
        <w:rPr>
          <w:b/>
        </w:rPr>
        <w:t xml:space="preserve">[384] </w:t>
      </w:r>
      <w:hyperlink r:id="rId1062">
        <w:r>
          <w:rPr>
            <w:color w:val="1155CC"/>
            <w:u w:val="single"/>
          </w:rPr>
          <w:t>皮质层次结构中很少有分类的、高度可分离的表征</w:t>
        </w:r>
      </w:hyperlink>
    </w:p>
    <w:p>
      <w:pPr>
        <w:spacing w:before="0" w:after="80"/>
      </w:pPr>
      <w:r>
        <w:rPr>
          <w:i/>
          <w:sz w:val="20"/>
        </w:rPr>
        <w:t>EN: Rarely categorical, highly separable representations along the cortical hierarchy</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63">
        <w:r>
          <w:rPr>
            <w:color w:val="1155CC"/>
            <w:u w:val="single"/>
          </w:rPr>
          <w:t>10.1038/s41586-026-10668-4</w:t>
        </w:r>
      </w:hyperlink>
    </w:p>
    <w:p>
      <w:pPr>
        <w:spacing w:before="0" w:after="120"/>
      </w:pPr>
      <w:r>
        <w:rPr>
          <w:b/>
        </w:rPr>
        <w:t xml:space="preserve">Notes: </w:t>
      </w:r>
      <w:r>
        <w:t>abstract_source=nature_html</w:t>
      </w:r>
    </w:p>
    <w:p>
      <w:pPr>
        <w:spacing w:before="0" w:after="80" w:lineRule="auto" w:line="276"/>
      </w:pPr>
      <w:r>
        <w:rPr>
          <w:b/>
        </w:rPr>
        <w:t xml:space="preserve">摘要（ZH）: </w:t>
      </w:r>
      <w:r>
        <w:t>神经科学领域长期存在的争论涉及单个神经元是否被组织成功能不同的群体，以不同的方式编码信息（分类表示1、2、3）以及对神经计算的影响。在这里，我们系统地分析了皮层神经元在复杂任务期间如何编码 43 个皮层区域的认知、感觉和运动变量（来自国际大脑实验室公共全脑地图数据集 4 的 14,000 多个单元），并研究了这些属性如何在感觉认知皮层层次结构中变化5。我们发现神经代码的结构与尺度相关。在整个皮层尺度上，神经选择性是分类的，并以反映其解剖连接性的方式跨区域组织。然而，在各个区域内，分类表征很少见，并且仅限于主要感觉区域，而神经元反应却非常多样化。通过理论论证和经验证据，我们证明神经反应的多样性可以实现高维表示，从而实现高可分离性，允许线性读数以多种任意方式分离实验条件。事实上，当考虑到每个区域中实际编码的信息时，所有皮质区域都表现出最大的可分离性。我们的结果表明，皮质回路优先考虑多样性而不是分类结构，支持面向高维、高度可分离的神经表示的计算机制。</w:t>
      </w:r>
    </w:p>
    <w:p>
      <w:pPr>
        <w:spacing w:before="0" w:after="200" w:lineRule="auto" w:line="276"/>
      </w:pPr>
      <w:r>
        <w:rPr>
          <w:b/>
        </w:rPr>
        <w:t xml:space="preserve">Abstract (EN): </w:t>
      </w:r>
      <w:r>
        <w:t>A long-standing debate in neuroscience concerns whether individual neurons are organized into functionally distinct populations that encode information differently (categorical representations1,2,3) and the implications for neural computation. Here we systematically analysed how cortical neurons encode cognitive, sensory and movement variables across 43 cortical regions during a complex task (14,000+ units from the International Brain Laboratory public Brainwide Map dataset4) and studied how these properties change across the sensory–cognitive cortical hierarchy5. We found that the structure of the neural code was scale dependent. At the whole-cortex scale, neural selectivity was categorical and organized across regions in a way that reflected their anatomical connectivity. However, within individual regions, categorical representations were rare and limited to primary sensory areas, and neuronal responses were instead very diverse. With theoretical arguments and empirical evidence, we demonstrate that the diversity of neural responses enables high-dimensional representations and therefore high separability, allowing linear readouts to separate experimental conditions in many arbitrary ways. Indeed, when accounting for information that is actually encoded in each area, all cortical regions exhibit maximal separability. Our results indicate that cortical circuits prioritize diversity over categorical structure, supporting a computational regime geared towards high-dimensional, highly separable neural representations.</w:t>
      </w:r>
    </w:p>
    <w:p>
      <w:pPr>
        <w:spacing w:before="120" w:after="120"/>
      </w:pPr>
      <w:r>
        <w:rPr>
          <w:sz w:val="18"/>
        </w:rPr>
        <w:t>——————————————————————————————————————————————————————————————————————</w:t>
      </w:r>
    </w:p>
    <w:p>
      <w:pPr>
        <w:spacing w:before="160" w:after="40" w:line="240" w:lineRule="auto"/>
      </w:pPr>
      <w:r>
        <w:rPr>
          <w:b/>
        </w:rPr>
        <w:t xml:space="preserve">[385] </w:t>
      </w:r>
      <w:hyperlink r:id="rId1064">
        <w:r>
          <w:rPr>
            <w:color w:val="1155CC"/>
            <w:u w:val="single"/>
          </w:rPr>
          <w:t>小麦中寡糖转移酶 TaOST1B 通过增强 RNA 沉默抑制来促进病毒感染</w:t>
        </w:r>
      </w:hyperlink>
    </w:p>
    <w:p>
      <w:pPr>
        <w:spacing w:before="0" w:after="80"/>
      </w:pPr>
      <w:r>
        <w:rPr>
          <w:i/>
          <w:sz w:val="20"/>
        </w:rPr>
        <w:t>EN: The oligosaccharyltransferase TaOST1B promotes viral infection by enhancement of RNA silencing suppression in wheat</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RNA 沉默的病毒抑制因子 (VSR) 对于病毒感染至关重要。在这里，我们证明小麦（Triticum aestivum）寡糖转移酶（TaOST1B）与小麦黄花叶病毒（WYMV）的抗性相关。 TaOST1B 与 WYMV 编码的 P1 相互作用，并通过 N-糖基化其 116 位天冬酰胺残基来增强 P1 的 VSR 功能。这通过与核转运蛋白 TaIMP-α2 相互作用增加 P1 的核内积累，并阻断钙调蛋白 (CaM3) 和 CaM 结合转录激活剂 (CaMTA3) 之间的相互作用以抑制 RNA 干扰。然而，非糖基化的 P1 失去了 VSR 功能并形成聚集体，引发内质网 (ER) 应激，随后被 26S 蛋白酶体降解。 TaOST1B 的天然变体无法结合 P1 并调节其 N-糖基化，从而诱导 ER 应激和蛋白酶体介导的降解，从而减弱 WYMV 感染。我们的研究确定了 VSR 利用寡糖转移酶来促进病毒感染，为植物和病毒之间的军备竞赛提供了见解。</w:t>
      </w:r>
    </w:p>
    <w:p>
      <w:pPr>
        <w:spacing w:before="0" w:after="200" w:lineRule="auto" w:line="276"/>
      </w:pPr>
      <w:r>
        <w:rPr>
          <w:b/>
        </w:rPr>
        <w:t xml:space="preserve">Abstract (EN): </w:t>
      </w:r>
      <w:r>
        <w:t>Viral suppressors of RNA silencing (VSRs) are crucial for viral infection. Here, we show that a wheat (Triticum aestivum) oligosaccharyltransferase (TaOST1B) is associated with resistance to Wheat yellow mosaic virus (WYMV). TaOST1B interacts with WYMV-encoded P1 and enhances the VSR function of P1 by N-glycosylating its asparagine residue at position 116. This increases intranuclear accumulation of P1 through interaction with the nuclear transport protein TaIMP-α2 and blocks the interaction between calmodulin (CaM3) and CaM-binding transcriptional activator (CaMTA3) to suppress RNA interference. Nevertheless, nonglycosylated P1 loses its VSR function and forms aggregates triggering endoplasmic reticulum (ER) stress and is subsequently degraded by the 26S proteasome. A natural variant of TaOST1B fails to bind P1 and regulate its N-glycosylation, which induces ER stress and proteasome-mediated degradation to attenuate WYMV infection. Our study identifies an oligosaccharyltransferases as being utilized by VSR to promote viral infection, offering insights into the arms race between plants and viruses.</w:t>
      </w:r>
    </w:p>
    <w:p>
      <w:pPr>
        <w:spacing w:before="120" w:after="120"/>
      </w:pPr>
      <w:r>
        <w:rPr>
          <w:sz w:val="18"/>
        </w:rPr>
        <w:t>——————————————————————————————————————————————————————————————————————</w:t>
      </w:r>
    </w:p>
    <w:p>
      <w:pPr>
        <w:spacing w:before="160" w:after="40" w:line="240" w:lineRule="auto"/>
      </w:pPr>
      <w:r>
        <w:rPr>
          <w:b/>
        </w:rPr>
        <w:t xml:space="preserve">[386] </w:t>
      </w:r>
      <w:hyperlink r:id="rId1065">
        <w:r>
          <w:rPr>
            <w:color w:val="1155CC"/>
            <w:u w:val="single"/>
          </w:rPr>
          <w:t>如何消除贫困并保护地球：撕裂经济学的辩论</w:t>
        </w:r>
      </w:hyperlink>
    </w:p>
    <w:p>
      <w:pPr>
        <w:spacing w:before="0" w:after="80"/>
      </w:pPr>
      <w:r>
        <w:rPr>
          <w:i/>
          <w:sz w:val="20"/>
        </w:rPr>
        <w:t>EN: How to end poverty and protect Earth: inside the debate tearing up economics</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66">
        <w:r>
          <w:rPr>
            <w:color w:val="1155CC"/>
            <w:u w:val="single"/>
          </w:rPr>
          <w:t>10.1038/d41586-026-02216-x</w:t>
        </w:r>
      </w:hyperlink>
    </w:p>
    <w:p>
      <w:pPr>
        <w:spacing w:before="0" w:after="120"/>
      </w:pPr>
      <w:r>
        <w:rPr>
          <w:b/>
        </w:rPr>
        <w:t xml:space="preserve">Notes: </w:t>
      </w:r>
      <w:r>
        <w:t>abstract_source=nature_html</w:t>
      </w:r>
    </w:p>
    <w:p>
      <w:pPr>
        <w:spacing w:before="0" w:after="80" w:lineRule="auto" w:line="276"/>
      </w:pPr>
      <w:r>
        <w:rPr>
          <w:b/>
        </w:rPr>
        <w:t xml:space="preserve">摘要（ZH）: </w:t>
      </w:r>
      <w:r>
        <w:t>没有增长就实现繁荣的想法越来越受到研究人员的关注。那么为什么许多经济学家持怀疑态度呢？没有增长就实现繁荣的想法越来越受到研究人员的关注。那么为什么许多经济学家持怀疑态度呢？</w:t>
      </w:r>
    </w:p>
    <w:p>
      <w:pPr>
        <w:spacing w:before="0" w:after="200" w:lineRule="auto" w:line="276"/>
      </w:pPr>
      <w:r>
        <w:rPr>
          <w:b/>
        </w:rPr>
        <w:t xml:space="preserve">Abstract (EN): </w:t>
      </w:r>
      <w:r>
        <w:t>The idea of prosperity without growth is gaining traction among researchers. So why are many economists sceptical? The idea of prosperity without growth is gaining traction among researchers. So why are many economists sceptical?</w:t>
      </w:r>
    </w:p>
    <w:p>
      <w:pPr>
        <w:spacing w:before="120" w:after="120"/>
      </w:pPr>
      <w:r>
        <w:rPr>
          <w:sz w:val="18"/>
        </w:rPr>
        <w:t>——————————————————————————————————————————————————————————————————————</w:t>
      </w:r>
    </w:p>
    <w:p>
      <w:pPr>
        <w:spacing w:before="160" w:after="40" w:line="240" w:lineRule="auto"/>
      </w:pPr>
      <w:r>
        <w:rPr>
          <w:b/>
        </w:rPr>
        <w:t xml:space="preserve">[387] </w:t>
      </w:r>
      <w:hyperlink r:id="rId1067">
        <w:r>
          <w:rPr>
            <w:color w:val="1155CC"/>
            <w:u w:val="single"/>
          </w:rPr>
          <w:t>CenSegNet：一种通用的高通量深度学习框架，用于异质组织中空间和单细胞分辨率的中心体表型分析</w:t>
        </w:r>
      </w:hyperlink>
    </w:p>
    <w:p>
      <w:pPr>
        <w:spacing w:before="0" w:after="80"/>
      </w:pPr>
      <w:r>
        <w:rPr>
          <w:i/>
          <w:sz w:val="20"/>
        </w:rPr>
        <w:t>EN: CenSegNet: a generalist high-throughput deep learning framework for centrosome phenotyping at spatial and single-cell resolution in heterogeneous tissues</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中心体异常（CA）是上皮癌的一个标志，但由于传统图像分析的局限性，对其空间复杂性和表型异质性仍然知之甚少。在这里，我们提出了 CenSegNet（中心体分割网络），这是一种模块化深度学习框架，用于中心体和上皮结构的高通量分割，能够在跨成像模式和组织背景下以空间和单细胞分辨率进行准确且可推广的中心体表型分析。 CenSegNet 应用于包含来自 127 名患者的 911 个乳腺癌核心的组织微阵列，能够对数字和结构 CA 进行大规模、空间分辨的量化。我们发现这些 CA 亚型在机制上是解耦的，表现出不同的空间分布、年龄依赖性动态以及与肿瘤分级、激素受体状态、基因组改变和淋巴结受累的关联。结构性 CA 与总体生存相关，而肿瘤边缘不一致的 CA 谱与局部肿瘤侵袭性和基质重塑相关。这些发现将 CenSegNet 确立为空间解析中心体表型分析的可扩展平台，从而能够系统地研究中心体生物学及其在癌症和其他上皮疾病中的失调。</w:t>
      </w:r>
    </w:p>
    <w:p>
      <w:pPr>
        <w:spacing w:before="0" w:after="200" w:lineRule="auto" w:line="276"/>
      </w:pPr>
      <w:r>
        <w:rPr>
          <w:b/>
        </w:rPr>
        <w:t xml:space="preserve">Abstract (EN): </w:t>
      </w:r>
      <w:r>
        <w:t>Centrosome abnormalities (CA) are a hallmark of epithelial cancers, yet their spatial complexity and phenotypic heterogeneity remain poorly understood due to limitations in conventional image analysis. Here we present CenSegNet (Centrosome Segmentation Network), a modular deep learning framework for high-throughput segmentation of centrosomes and epithelial architecture, enabling accurate and generalisable centrosome phenotyping at spatial and single-cell resolution across imaging modalities and tissue contexts. Applied to tissue microarrays comprising 911 breast cancer cores from 127 patients, CenSegNet enables large-scale, spatially resolved quantification of numerical and structural CA. We show that these CA subtypes are mechanistically uncoupled, exhibiting distinct spatial distributions, age-dependent dynamics, and associations with tumour grade, hormone receptor status, genomic alterations and nodal involvement. Structural CA are associated with overall survival, whereas discordant CA profiles at tumour margins correlate with local tumour aggressiveness and stromal remodelling. These findings establish CenSegNet as a scalable platform for spatially resolved centrosome phenotyping, enabling systematic investigation of centrosome biology and its dysregulation in cancer and other epithelial diseases.</w:t>
      </w:r>
    </w:p>
    <w:p>
      <w:pPr>
        <w:spacing w:before="120" w:after="120"/>
      </w:pPr>
      <w:r>
        <w:rPr>
          <w:sz w:val="18"/>
        </w:rPr>
        <w:t>——————————————————————————————————————————————————————————————————————</w:t>
      </w:r>
    </w:p>
    <w:p>
      <w:pPr>
        <w:spacing w:before="160" w:after="40" w:line="240" w:lineRule="auto"/>
      </w:pPr>
      <w:r>
        <w:rPr>
          <w:b/>
        </w:rPr>
        <w:t xml:space="preserve">[388] </w:t>
      </w:r>
      <w:hyperlink r:id="rId1068">
        <w:r>
          <w:rPr>
            <w:color w:val="1155CC"/>
            <w:u w:val="single"/>
          </w:rPr>
          <w:t>支持 WDM 的多核并行可编程光子信号处理器</w:t>
        </w:r>
      </w:hyperlink>
    </w:p>
    <w:p>
      <w:pPr>
        <w:spacing w:before="0" w:after="80"/>
      </w:pPr>
      <w:r>
        <w:rPr>
          <w:i/>
          <w:sz w:val="20"/>
        </w:rPr>
        <w:t>EN: WDM-enabled multi-core parallel programmable photonic signal processor</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作为集成光子学的前沿，基于 2D 波导网格的可编程处理器提供紧凑、可重新配置的平台。然而，传统的基于马赫-曾德尔干涉仪 (MZI) 的设计依赖于与波长无关的路由，这种路由一次会独占整个网格的一个功能，从而导致波长域未被利用，并成为并行处理的瓶颈。在这里，我们展示了一种使用可重构六边形网格的波分复用 (WDM) 多核并行可编程光子处理器。我们的架构利用与过耦合微环谐振器集成的 MZI 作为波长选择性移相器。这些装置利用急剧的相变，实现 1 THz 自由光谱范围和 4.3 mW/π 调谐功率。通过协同集成空间和波长自由度，我们的处理器允许单个网格同时托管不同的网络配置。这可以实现多线程执行并增强功能密度，这一点通过柔性网格 WDM、并行光学计算和微波光子双波束成形得到了证明。这项工作将支持 WDM 的处理确立为实现大规模、高度并行集成光子系统的一条有前途的途径。</w:t>
      </w:r>
    </w:p>
    <w:p>
      <w:pPr>
        <w:spacing w:before="0" w:after="200" w:lineRule="auto" w:line="276"/>
      </w:pPr>
      <w:r>
        <w:rPr>
          <w:b/>
        </w:rPr>
        <w:t xml:space="preserve">Abstract (EN): </w:t>
      </w:r>
      <w:r>
        <w:t>As a frontier in integrated photonics, 2D waveguide mesh-based programmable processors offer compact, reconfigurable platforms. However, conventional Mach–Zehnder interferometer (MZI)-based designs rely on wavelength-agnostic routing, which monopolizes the entire mesh for a single functionality at a time, leaving the wavelength domain untapped and bottlenecking parallel processing. Here, we demonstrate a wavelength-division multiplexing (WDM)-enabled multi-core parallel programmable photonic processor using a reconfigurable hexagonal mesh. Our architecture utilizes MZIs integrated with over-coupled microring resonators as wavelength-selective phase shifters. Exploiting sharp phase transitions, these units achieve 1 THz free spectral range and 4.3 mW/π tuning power. By synergistically integrating spatial and wavelength degrees of freedom, our processor allows a single mesh to host distinct network configurations simultaneously. This enables multi-threaded execution and enhanced functional density, demonstrated through flex-grid WDM, parallel optical computation, and microwave photonic dual-beamforming. This work establishes WDM-enabled processing as a promising route toward large-scale, highly parallel integrated photonic systems.</w:t>
      </w:r>
    </w:p>
    <w:p>
      <w:pPr>
        <w:spacing w:before="120" w:after="120"/>
      </w:pPr>
      <w:r>
        <w:rPr>
          <w:sz w:val="18"/>
        </w:rPr>
        <w:t>——————————————————————————————————————————————————————————————————————</w:t>
      </w:r>
    </w:p>
    <w:p>
      <w:pPr>
        <w:spacing w:before="160" w:after="40" w:line="240" w:lineRule="auto"/>
      </w:pPr>
      <w:r>
        <w:rPr>
          <w:b/>
        </w:rPr>
        <w:t xml:space="preserve">[389] </w:t>
      </w:r>
      <w:hyperlink r:id="rId1069">
        <w:r>
          <w:rPr>
            <w:color w:val="1155CC"/>
            <w:u w:val="single"/>
          </w:rPr>
          <w:t>通过单个霍尔传感器进行自模式识别的可拉伸多模态变形传感器</w:t>
        </w:r>
      </w:hyperlink>
    </w:p>
    <w:p>
      <w:pPr>
        <w:spacing w:before="0" w:after="80"/>
      </w:pPr>
      <w:r>
        <w:rPr>
          <w:i/>
          <w:sz w:val="20"/>
        </w:rPr>
        <w:t>EN: Stretchable multimodal deformation sensor with self-mode recognition by a single Hall sensor</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能够跟踪多种变形模式的可拉伸传感器技术由于其提高软机器人、可拉伸电子设备和其他软体系统智能的潜在能力而引起了越来越多的关注。现有的多模态变形传感器通常需要复杂的系统集成和传感器布局或基于计算建模和机器学习方法的复杂算法技术。在这里，我们报告了一种可拉伸的多模态变形传感器，它可以测量和区分机械变形（拉伸、弯曲、扭曲和按压）的幅度和模式，而不依赖于复杂的计算或训练的分类/回归模型。该传感器依靠磁化分布逐渐变化的可拉伸磁性薄膜和三轴霍尔传感器的布局来解码不同变形模式下磁通量强度的空间变化模式。我们通过将这种传感器用于颈部运动监测、自感知电肌肉刺激、用于物体分类的智能气动夹具、受黄貂鱼启发的软机器人的控制以及人造象鼻的变形识别，展示了该传感器在可穿戴设备和机器人领域的潜力。</w:t>
      </w:r>
    </w:p>
    <w:p>
      <w:pPr>
        <w:spacing w:before="0" w:after="200" w:lineRule="auto" w:line="276"/>
      </w:pPr>
      <w:r>
        <w:rPr>
          <w:b/>
        </w:rPr>
        <w:t xml:space="preserve">Abstract (EN): </w:t>
      </w:r>
      <w:r>
        <w:t>Stretchable sensor technologies capable of tracking multiple deformation modalities have attracted increasing attention due to their potential ability to improve the intelligence of soft robotics, stretchable electronics, and other soft-body systems. Existing multimodal deformation sensors typically require either complicated system integration and sensor layout or complex algorithmic techniques based on computational modeling and machine learning methods. Here, we report a stretchable multimodal deformation sensor that can measure and distinguish the magnitudes and modes of mechanical deformation (stretching, bending, twisting, and pressing) without reliance on complex computation or trained classification/regression models. This sensor relies on the layout of a stretchable magnetic film with a gradually varied magnetization profile and a 3-axis Hall sensor to decode the patterns of spatial change of magnetic flux strength under different deformation modes. We demonstrate the potential of this sensor in wearables and robotics by using it for neck motion monitoring, self-sensing electrical muscular stimulation, intelligent pneumatic gripper for objects classification, control of a stingray-inspired soft robot, and deformation recognition of an artificial elephant trunk.</w:t>
      </w:r>
    </w:p>
    <w:p>
      <w:pPr>
        <w:spacing w:before="120" w:after="120"/>
      </w:pPr>
      <w:r>
        <w:rPr>
          <w:sz w:val="18"/>
        </w:rPr>
        <w:t>——————————————————————————————————————————————————————————————————————</w:t>
      </w:r>
    </w:p>
    <w:p>
      <w:pPr>
        <w:spacing w:before="160" w:after="40" w:line="240" w:lineRule="auto"/>
      </w:pPr>
      <w:r>
        <w:rPr>
          <w:b/>
        </w:rPr>
        <w:t xml:space="preserve">[390] </w:t>
      </w:r>
      <w:hyperlink r:id="rId1070">
        <w:r>
          <w:rPr>
            <w:color w:val="1155CC"/>
            <w:u w:val="single"/>
          </w:rPr>
          <w:t>不加区别的光还原产生选择性</w:t>
        </w:r>
      </w:hyperlink>
    </w:p>
    <w:p>
      <w:pPr>
        <w:spacing w:before="0" w:after="80"/>
      </w:pPr>
      <w:r>
        <w:rPr>
          <w:i/>
          <w:sz w:val="20"/>
        </w:rPr>
        <w:t>EN: Selectivity Emerges from Indiscriminate Photoreduction</w:t>
      </w:r>
    </w:p>
    <w:p>
      <w:pPr>
        <w:spacing w:before="0" w:after="120"/>
      </w:pPr>
      <w:r>
        <w:rPr>
          <w:b/>
        </w:rPr>
        <w:t xml:space="preserve">Source: </w:t>
      </w:r>
      <w:r>
        <w:t>Nature</w:t>
      </w:r>
      <w:r>
        <w:t xml:space="preserve">    </w:t>
      </w:r>
      <w:r>
        <w:rPr>
          <w:b/>
        </w:rPr>
        <w:t xml:space="preserve">Pub date: </w:t>
      </w:r>
      <w:r>
        <w:t>2026-07-15 00:00:00+00:00</w:t>
      </w:r>
      <w:r>
        <w:t xml:space="preserve">    </w:t>
      </w:r>
      <w:r>
        <w:rPr>
          <w:b/>
        </w:rPr>
        <w:t xml:space="preserve">DOI: </w:t>
      </w:r>
      <w:hyperlink r:id="rId1071">
        <w:r>
          <w:rPr>
            <w:color w:val="1155CC"/>
            <w:u w:val="single"/>
          </w:rPr>
          <w:t>10.1038/s41586-026-10897-7</w:t>
        </w:r>
      </w:hyperlink>
    </w:p>
    <w:p>
      <w:pPr>
        <w:spacing w:before="0" w:after="120"/>
      </w:pPr>
      <w:r>
        <w:rPr>
          <w:b/>
        </w:rPr>
        <w:t xml:space="preserve">Notes: </w:t>
      </w:r>
      <w:r>
        <w:t>abstract_source=nature_html</w:t>
      </w:r>
    </w:p>
    <w:p>
      <w:pPr>
        <w:spacing w:before="0" w:after="80" w:lineRule="auto" w:line="276"/>
      </w:pPr>
      <w:r>
        <w:rPr>
          <w:b/>
        </w:rPr>
        <w:t xml:space="preserve">摘要（ZH）: </w:t>
      </w:r>
      <w:r>
        <w:t>单电子转移（SET）还原是有机化合物活化的最基本策略之一。利用 SET 的选择性反应的设计基于这样的前提：底物氧化还原电位的差异可预测 SET 的相对速率，更有利的还原发生得更快。1 然而，在不同的氧化还原催化模式中，2,3 设计需要 SET 来还原两种反应物中较难还原的反应仍然具有挑战性。当针对热力学上难以还原或氧化的底物时，这一限制几乎排除了偶联反应。4,5 在这里，我们引入了一种与底物氧化还原电位分离的外球 SET 的替代选择性范例。我们表明，超强光还原剂通过扩散限制 SET 使底物氧化还原电位变得无关，从而允许下游化学步骤和反向电子转移 (BET) 之间的竞争产生新的选择性曲线。我们在环丙基酮和更容易还原的烯烃之间的自由基环化反应的背景下验证了这些原理。虽然这些不匹配的氧化还原电位先前排除了此类反应，但我们促进了选择性自由基环化，即使所需的酮还原因伏特而变得不利。更广泛地说，这些研究为需要违反氧化还原电位控制的 SET 反应的设计提供了总体蓝图。</w:t>
      </w:r>
    </w:p>
    <w:p>
      <w:pPr>
        <w:spacing w:before="0" w:after="200" w:lineRule="auto" w:line="276"/>
      </w:pPr>
      <w:r>
        <w:rPr>
          <w:b/>
        </w:rPr>
        <w:t xml:space="preserve">Abstract (EN): </w:t>
      </w:r>
      <w:r>
        <w:t>Single electron transfer (SET) reduction is amongst the most fundamental strategies for the activation of organic compounds. The design of selective reactions that leverage SET is grounded by the premise that differences in substrate redox potentials predict relative rates of SET, with more favorable reductions occurring faster.1 However, across the diverse modes of redox catalysis,2,3 devising reactions that require SET to the harder-to-reduce of two reactants remains challenging. This restriction all but precludes coupling reactions when targeting substrates that are thermodynamically difficult to reduce or oxidize.4,5 Here, we introduce an alternative selectivity paradigm for outer sphere SET that is divorced from substrate redox potentials. We show that super-potent photoreductants render substrate redox potentials irrelevant through diffusion-limited SET, allowing a new selectivity profile to emerge from competition between downstream chemical steps and back electron transfer (BET). We validate these principles in the context of radical annulation reactions between cyclopropyl ketones and easier-to-reduce alkenes. While these mismatched redox potentials previously precluded such reactions, we promote selective radical annulation even as the requisite ketone reduction becomes disfavored by a volt. More broadly, these studies offer a general blueprint for the design of SET reactions that require violation of redox potential control.</w:t>
      </w:r>
    </w:p>
    <w:p>
      <w:pPr>
        <w:spacing w:before="120" w:after="120"/>
      </w:pPr>
      <w:r>
        <w:rPr>
          <w:sz w:val="18"/>
        </w:rPr>
        <w:t>——————————————————————————————————————————————————————————————————————</w:t>
      </w:r>
    </w:p>
    <w:p>
      <w:pPr>
        <w:spacing w:before="160" w:after="40" w:line="240" w:lineRule="auto"/>
      </w:pPr>
      <w:r>
        <w:rPr>
          <w:b/>
        </w:rPr>
        <w:t xml:space="preserve">[391] </w:t>
      </w:r>
      <w:hyperlink r:id="rId1072">
        <w:r>
          <w:rPr>
            <w:color w:val="1155CC"/>
            <w:u w:val="single"/>
          </w:rPr>
          <w:t>人类 FANCJ 的冷冻电镜结构揭示了 G 四链体解旋和疾病相关突变的机制</w:t>
        </w:r>
      </w:hyperlink>
    </w:p>
    <w:p>
      <w:pPr>
        <w:spacing w:before="0" w:after="80"/>
      </w:pPr>
      <w:r>
        <w:rPr>
          <w:i/>
          <w:sz w:val="20"/>
        </w:rPr>
        <w:t>EN: Cryo-EM structures of human FANCJ reveal the mechanism of G-quadruplex unwinding and disease-associated mutations</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富含鸟嘌呤的核酸序列可以折叠成调节 DNA 复制、转录和翻译的 G 四链体 (G4) 结构。范可尼贫血 J 组解旋酶 (FANCJ) 可解析停滞复制叉处的 G4 结构。尽管其在基因组维护中发挥着核心作用，但 FANCJ 识别和解旋 G4 的分子基础仍不清楚。在这里，我们报告了与含有 G4 的 DNA 底物和 ATPγS 结合的人 FANCJ 的冷冻电镜结构。该结构揭示了 Fe-S 结构域与 G4 的直接结合。结构引导诱变表明该界面对于 G4 结合和解旋至关重要。该结构进一步捕获与 ATP 水解相关的开放和闭合构象状态，提供沿 5' ssDNA 定向易位和渐进 G4 解旋的机制。总之，这些发现奠定了 FANCJ 识别 G4 的结构基础，并为与 Fanconi 贫血和乳腺癌相关的疾病相关突变如何损害解旋酶功能提供了机制见解。</w:t>
      </w:r>
    </w:p>
    <w:p>
      <w:pPr>
        <w:spacing w:before="0" w:after="200" w:lineRule="auto" w:line="276"/>
      </w:pPr>
      <w:r>
        <w:rPr>
          <w:b/>
        </w:rPr>
        <w:t xml:space="preserve">Abstract (EN): </w:t>
      </w:r>
      <w:r>
        <w:t>Guanine-rich nucleic acid sequences can fold into G-quadruplex (G4) structures that regulate DNA replication, transcription, and translation. Fanconi anemia group J helicase (FANCJ) resolves G4 structures at stalled replication forks. Despite its central role in genome maintenance, the molecular basis of G4 recognition and unwinding by FANCJ has remained unclear. Here, we report cryo-EM structures of human FANCJ bound to a G4-containing DNA substrate and ATPγS. The structures reveal direct engagement of the G4 by the Fe–S domain. Structure-guided mutagenesis demonstrates that this interface is essential for G4 binding and unwinding. The structures further capture open and closed conformational states linked to ATP hydrolysis, providing a mechanism for directional translocation along 5′ ssDNA and progressive G4 unwinding. Together, these findings establish the structural basis of G4 recognition by FANCJ and provide mechanistic insights into how disease-associated mutations linked to Fanconi anemia and breast cancer impair helicase function.</w:t>
      </w:r>
    </w:p>
    <w:p>
      <w:pPr>
        <w:spacing w:before="120" w:after="120"/>
      </w:pPr>
      <w:r>
        <w:rPr>
          <w:sz w:val="18"/>
        </w:rPr>
        <w:t>——————————————————————————————————————————————————————————————————————</w:t>
      </w:r>
    </w:p>
    <w:p>
      <w:pPr>
        <w:spacing w:before="160" w:after="40" w:line="240" w:lineRule="auto"/>
      </w:pPr>
      <w:r>
        <w:rPr>
          <w:b/>
        </w:rPr>
        <w:t xml:space="preserve">[392] </w:t>
      </w:r>
      <w:hyperlink r:id="rId1073">
        <w:r>
          <w:rPr>
            <w:color w:val="1155CC"/>
            <w:u w:val="single"/>
          </w:rPr>
          <w:t>基于纳米孔的 DNA 甲基化检测工具的综合基准测试</w:t>
        </w:r>
      </w:hyperlink>
    </w:p>
    <w:p>
      <w:pPr>
        <w:spacing w:before="0" w:after="80"/>
      </w:pPr>
      <w:r>
        <w:rPr>
          <w:i/>
          <w:sz w:val="20"/>
        </w:rPr>
        <w:t>EN: Comprehensive benchmarking of tools for nanopore-based detection of DNA methylation</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牛津纳米孔 (ONT) 测序可直接检测 DNA 碱基修饰。人们开发了许多工具来利用这一优势。然而，他们的表现仍不清楚。在这里，我们使用不同的细菌、植物和哺乳动物数据集，系统地评估了纳米孔甲基化工具的当前状况。我们证明，尽管大多数最新工具表现良好，但旧模型仍然是研究 CpG 甲基化的可靠选择。相反，较新的模型在识别非 CpG 环境中的 5-甲基胞嘧啶、6-甲基腺嘌呤和 4-甲基胞嘧啶方面显示出显着的改进。此外，我们强调了工具对附近甲基化的敏感性，评估其计算性能，并评估测序深度、甲基化丰度、读取质量和碱基识别模式的影响。我们提供可重复使用的管道和开放访问数据集，以支持未来的基准测试工作。因此，我们的工作详细介绍了最先进的甲基化模型的优点和局限性，并为研究人员使用纳米孔测序研究 DNA 甲基化概述了实用指南。</w:t>
      </w:r>
    </w:p>
    <w:p>
      <w:pPr>
        <w:spacing w:before="0" w:after="200" w:lineRule="auto" w:line="276"/>
      </w:pPr>
      <w:r>
        <w:rPr>
          <w:b/>
        </w:rPr>
        <w:t xml:space="preserve">Abstract (EN): </w:t>
      </w:r>
      <w:r>
        <w:t>Oxford Nanopore (ONT) sequencing offers direct detection of DNA base modifications. Numerous tools have been developed to leverage this advantage. However, their performance remains unclear. Here, using diverse bacterial, plant, and mammalian datasets, we systematically evaluate the current landscape of nanopore methylation tools. We demonstrate that although most recent tools perform well, older models remain the reliable choice for studying CpG methylation. Conversely, newer models show substantial improvement in identifying 5-methylcytosine in non-CpG contexts, 6-methyladenine, and 4-methylcytosine. Further, we highlight the sensitivity of tools to confounding methylation nearby, assess their computational performance, and evaluate the effects of sequencing depth, methylation abundance, read quality, and basecalling mode. We provide reusable pipelines and open access datasets to empower future benchmarking efforts. Our work thus details the strengths and limitations of the state-of-the-art methylation models and outlines practical guidelines for researchers using nanopore sequencing to study DNA methylation.</w:t>
      </w:r>
    </w:p>
    <w:p>
      <w:pPr>
        <w:spacing w:before="120" w:after="120"/>
      </w:pPr>
      <w:r>
        <w:rPr>
          <w:sz w:val="18"/>
        </w:rPr>
        <w:t>——————————————————————————————————————————————————————————————————————</w:t>
      </w:r>
    </w:p>
    <w:p>
      <w:pPr>
        <w:spacing w:before="160" w:after="40" w:line="240" w:lineRule="auto"/>
      </w:pPr>
      <w:r>
        <w:rPr>
          <w:b/>
        </w:rPr>
        <w:t xml:space="preserve">[393] </w:t>
      </w:r>
      <w:hyperlink r:id="rId1074">
        <w:r>
          <w:rPr>
            <w:color w:val="1155CC"/>
            <w:u w:val="single"/>
          </w:rPr>
          <w:t>点头因子信号传导与囊泡运输的直接耦合引发豆科植物结瘤</w:t>
        </w:r>
      </w:hyperlink>
    </w:p>
    <w:p>
      <w:pPr>
        <w:spacing w:before="0" w:after="80"/>
      </w:pPr>
      <w:r>
        <w:rPr>
          <w:i/>
          <w:sz w:val="20"/>
        </w:rPr>
        <w:t>EN: Direct coupling of nod factor signaling to vesicular trafficking initiates legume nodulation</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豆科植物-根瘤菌共生需要协调的受体信号传导和膜运输来启动根毛中感染线的形成。在这里，我们鉴定了大豆 Qa-SNARE GmSYNTAXIN111a (GmSYP111a)，它是胞质分裂相关蛋白 KNOLLE 的密切旁系同源物，是共生感染的关键调节因子。激酶客户检测和体内免疫沉淀-质谱分析表明，GmSYP111a 被受体激酶 GmSymRKβ 在 Ser-8 和 Ser-128 处磷酸化。 BiFC、免疫共沉淀和激酶测定验证了相互作用和磷酸化。 Nod 因子感知促进了网格蛋白介导的 GmSymRKβ-GmSYP111a 复合物的内吞作用及其重新定位到细胞内囊泡。结构建模和相互作用分析表明，双重磷酸化暴露了一个招募 TPLATE 接头的内吞基序；因此，不可磷酸化的突变损害了内化，而拟磷酸化取代则在没有根瘤菌刺激的情况下诱导内吞作用。 GmSYP111a 还与 VAMP72 相互作用，将内吞招募与囊泡融合联系起来。大豆和百脉根的遗传分析确定了根瘤形成过程中 GmSYP111a 的保守需求。这些发现定义了一种磷酸化依赖性 SNARE 开关，该开关将 Nod 因子信号传导与豆科植物结瘤期间的膜运输相结合。</w:t>
      </w:r>
    </w:p>
    <w:p>
      <w:pPr>
        <w:spacing w:before="0" w:after="200" w:lineRule="auto" w:line="276"/>
      </w:pPr>
      <w:r>
        <w:rPr>
          <w:b/>
        </w:rPr>
        <w:t xml:space="preserve">Abstract (EN): </w:t>
      </w:r>
      <w:r>
        <w:t>Legume–rhizobium symbiosis requires coordinated receptor signaling and membrane trafficking to initiate infection thread formation in root hairs. Here, we identify the soybean Qa-SNARE GmSYNTAXIN111a (GmSYP111a), a close paralog of the cytokinesis-associated protein KNOLLE, as a critical regulator of symbiotic infection. Kinase-client assays and in vivo immunoprecipitation–mass spectrometry showed that GmSYP111a is phosphorylated by the receptor kinase GmSymRKβ at Ser-8 and Ser-128. BiFC, co-immunoprecipitation, and kinase assays validated the interaction and phosphorylation. Nod factor perception promoted clathrin-mediated endocytosis of the GmSymRKβ–GmSYP111a complex and its relocalization to intracellular vesicles. Structural modeling and interaction assays suggest that dual phosphorylation exposes an endocytic motif that recruits the TPLATE adaptor; accordingly, non-phosphorylatable mutations impaired internalization, whereas phosphomimetic substitutions induced endocytosis without rhizobial stimulation. GmSYP111a also interacted with VAMP72, linking endocytic recruitment to vesicle fusion. Genetic analyses in soybean and Lotus japonicus established a conserved requirement for GmSYP111a in nodule initiation. These findings define a phosphorylation-dependent SNARE switch that couples Nod factor signaling to membrane trafficking during legume nodulation.</w:t>
      </w:r>
    </w:p>
    <w:p>
      <w:pPr>
        <w:spacing w:before="120" w:after="120"/>
      </w:pPr>
      <w:r>
        <w:rPr>
          <w:sz w:val="18"/>
        </w:rPr>
        <w:t>——————————————————————————————————————————————————————————————————————</w:t>
      </w:r>
    </w:p>
    <w:p>
      <w:pPr>
        <w:spacing w:before="160" w:after="40" w:line="240" w:lineRule="auto"/>
      </w:pPr>
      <w:r>
        <w:rPr>
          <w:b/>
        </w:rPr>
        <w:t xml:space="preserve">[394] </w:t>
      </w:r>
      <w:hyperlink r:id="rId1075">
        <w:r>
          <w:rPr>
            <w:color w:val="1155CC"/>
            <w:u w:val="single"/>
          </w:rPr>
          <w:t>增强现实成为焦点</w:t>
        </w:r>
      </w:hyperlink>
    </w:p>
    <w:p>
      <w:pPr>
        <w:spacing w:before="0" w:after="80"/>
      </w:pPr>
      <w:r>
        <w:rPr>
          <w:i/>
          <w:sz w:val="20"/>
        </w:rPr>
        <w:t>EN: Augmented reality coming into focus</w:t>
      </w:r>
    </w:p>
    <w:p>
      <w:pPr>
        <w:spacing w:before="0" w:after="120"/>
      </w:pPr>
      <w:r>
        <w:rPr>
          <w:b/>
        </w:rPr>
        <w:t xml:space="preserve">Source: </w:t>
      </w:r>
      <w:r>
        <w:t>Nature Nanotechnology</w:t>
      </w:r>
      <w:r>
        <w:t xml:space="preserve">    </w:t>
      </w:r>
      <w:r>
        <w:rPr>
          <w:b/>
        </w:rPr>
        <w:t xml:space="preserve">Pub date: </w:t>
      </w:r>
      <w:r>
        <w:t>2026-07-15 00:00:00+00:00</w:t>
      </w:r>
      <w:r>
        <w:t xml:space="preserve">    </w:t>
      </w:r>
      <w:r>
        <w:rPr>
          <w:b/>
        </w:rPr>
        <w:t xml:space="preserve">DOI: </w:t>
      </w:r>
      <w:hyperlink r:id="rId1076">
        <w:r>
          <w:rPr>
            <w:color w:val="1155CC"/>
            <w:u w:val="single"/>
          </w:rPr>
          <w:t>10.1038/s41565-026-02214-0</w:t>
        </w:r>
      </w:hyperlink>
    </w:p>
    <w:p>
      <w:pPr>
        <w:spacing w:before="0" w:after="120"/>
      </w:pPr>
      <w:r>
        <w:rPr>
          <w:b/>
        </w:rPr>
        <w:t xml:space="preserve">Notes: </w:t>
      </w:r>
      <w:r>
        <w:t>abstract_source=nature_html</w:t>
      </w:r>
    </w:p>
    <w:p>
      <w:pPr>
        <w:spacing w:before="0" w:after="80" w:lineRule="auto" w:line="276"/>
      </w:pPr>
      <w:r>
        <w:rPr>
          <w:b/>
        </w:rPr>
        <w:t xml:space="preserve">摘要（ZH）: </w:t>
      </w:r>
      <w:r>
        <w:t>研究人员相信，很快就能批量生产适合佩戴的 AR 眼镜的波导。</w:t>
      </w:r>
    </w:p>
    <w:p>
      <w:pPr>
        <w:spacing w:before="0" w:after="200" w:lineRule="auto" w:line="276"/>
      </w:pPr>
      <w:r>
        <w:rPr>
          <w:b/>
        </w:rPr>
        <w:t xml:space="preserve">Abstract (EN): </w:t>
      </w:r>
      <w:r>
        <w:t>Researchers believe that it will soon be possible to mass-produce waveguides for wearer-friendly AR glasses.</w:t>
      </w:r>
    </w:p>
    <w:p>
      <w:pPr>
        <w:spacing w:before="120" w:after="120"/>
      </w:pPr>
      <w:r>
        <w:rPr>
          <w:sz w:val="18"/>
        </w:rPr>
        <w:t>——————————————————————————————————————————————————————————————————————</w:t>
      </w:r>
    </w:p>
    <w:p>
      <w:pPr>
        <w:spacing w:before="160" w:after="40" w:line="240" w:lineRule="auto"/>
      </w:pPr>
      <w:r>
        <w:rPr>
          <w:b/>
        </w:rPr>
        <w:t xml:space="preserve">[395] </w:t>
      </w:r>
      <w:hyperlink r:id="rId1077">
        <w:r>
          <w:rPr>
            <w:color w:val="1155CC"/>
            <w:u w:val="single"/>
          </w:rPr>
          <w:t>扭转的简单性</w:t>
        </w:r>
      </w:hyperlink>
    </w:p>
    <w:p>
      <w:pPr>
        <w:spacing w:before="0" w:after="80"/>
      </w:pPr>
      <w:r>
        <w:rPr>
          <w:i/>
          <w:sz w:val="20"/>
        </w:rPr>
        <w:t>EN: The simplicity of a twist</w:t>
      </w:r>
    </w:p>
    <w:p>
      <w:pPr>
        <w:spacing w:before="0" w:after="120"/>
      </w:pPr>
      <w:r>
        <w:rPr>
          <w:b/>
        </w:rPr>
        <w:t xml:space="preserve">Source: </w:t>
      </w:r>
      <w:r>
        <w:t>Nature Nanotechnology</w:t>
      </w:r>
      <w:r>
        <w:t xml:space="preserve">    </w:t>
      </w:r>
      <w:r>
        <w:rPr>
          <w:b/>
        </w:rPr>
        <w:t xml:space="preserve">Pub date: </w:t>
      </w:r>
      <w:r>
        <w:t>2026-07-15 00:00:00+00:00</w:t>
      </w:r>
      <w:r>
        <w:t xml:space="preserve">    </w:t>
      </w:r>
      <w:r>
        <w:rPr>
          <w:b/>
        </w:rPr>
        <w:t xml:space="preserve">DOI: </w:t>
      </w:r>
      <w:hyperlink r:id="rId1078">
        <w:r>
          <w:rPr>
            <w:color w:val="1155CC"/>
            <w:u w:val="single"/>
          </w:rPr>
          <w:t>10.1038/s41565-026-02241-x</w:t>
        </w:r>
      </w:hyperlink>
    </w:p>
    <w:p>
      <w:pPr>
        <w:spacing w:before="0" w:after="120"/>
      </w:pPr>
      <w:r>
        <w:rPr>
          <w:b/>
        </w:rPr>
        <w:t xml:space="preserve">Notes: </w:t>
      </w:r>
      <w:r>
        <w:t>abstract_source=nature_html</w:t>
      </w:r>
    </w:p>
    <w:p>
      <w:pPr>
        <w:spacing w:before="0" w:after="80" w:lineRule="auto" w:line="276"/>
      </w:pPr>
      <w:r>
        <w:rPr>
          <w:b/>
        </w:rPr>
        <w:t xml:space="preserve">摘要（ZH）: </w:t>
      </w:r>
      <w:r>
        <w:t>今年的卡夫里纳米科学奖表彰了双电子学领域，并举例说明了简单的方法如何塑造纳米科学研究。</w:t>
      </w:r>
    </w:p>
    <w:p>
      <w:pPr>
        <w:spacing w:before="0" w:after="200" w:lineRule="auto" w:line="276"/>
      </w:pPr>
      <w:r>
        <w:rPr>
          <w:b/>
        </w:rPr>
        <w:t xml:space="preserve">Abstract (EN): </w:t>
      </w:r>
      <w:r>
        <w:t>This year’s Kavli Prize in Nanoscience recognizes the field of twistronics and exemplifies how simple approaches can shape nanoscience research.</w:t>
      </w:r>
    </w:p>
    <w:p>
      <w:pPr>
        <w:spacing w:before="120" w:after="120"/>
      </w:pPr>
      <w:r>
        <w:rPr>
          <w:sz w:val="18"/>
        </w:rPr>
        <w:t>——————————————————————————————————————————————————————————————————————</w:t>
      </w:r>
    </w:p>
    <w:p>
      <w:pPr>
        <w:spacing w:before="160" w:after="40" w:line="240" w:lineRule="auto"/>
      </w:pPr>
      <w:r>
        <w:rPr>
          <w:b/>
        </w:rPr>
        <w:t xml:space="preserve">[396] </w:t>
      </w:r>
      <w:hyperlink r:id="rId1079">
        <w:r>
          <w:rPr>
            <w:color w:val="1155CC"/>
            <w:u w:val="single"/>
          </w:rPr>
          <w:t>光电化学反应金属有机框架的数据驱动设计</w:t>
        </w:r>
      </w:hyperlink>
    </w:p>
    <w:p>
      <w:pPr>
        <w:spacing w:before="0" w:after="80"/>
      </w:pPr>
      <w:r>
        <w:rPr>
          <w:i/>
          <w:sz w:val="20"/>
        </w:rPr>
        <w:t>EN: Data-Driven Design of Metal-Organic Frameworks for Photoelectrochemical Reactions</w:t>
      </w:r>
    </w:p>
    <w:p>
      <w:pPr>
        <w:spacing w:before="0" w:after="120"/>
      </w:pPr>
      <w:r>
        <w:rPr>
          <w:b/>
        </w:rPr>
        <w:t xml:space="preserve">Source: </w:t>
      </w:r>
      <w:r>
        <w:t>ACS Energy Letters: Latest Articles (ACS Publications)</w:t>
      </w:r>
      <w:r>
        <w:t xml:space="preserve">    </w:t>
      </w:r>
      <w:r>
        <w:rPr>
          <w:b/>
        </w:rPr>
        <w:t xml:space="preserve">Pub date: </w:t>
      </w:r>
      <w:r>
        <w:t>2026-07-15 00:00:00+00:00</w:t>
      </w:r>
      <w:r>
        <w:t xml:space="preserve">    </w:t>
      </w:r>
      <w:r>
        <w:rPr>
          <w:b/>
        </w:rPr>
        <w:t xml:space="preserve">DOI: </w:t>
      </w:r>
      <w:hyperlink r:id="rId1080">
        <w:r>
          <w:rPr>
            <w:color w:val="1155CC"/>
            <w:u w:val="single"/>
          </w:rPr>
          <w:t>10.1021/acsenergylett.6c00550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1081">
        <w:r>
          <w:rPr>
            <w:color w:val="1155CC"/>
            <w:u w:val="single"/>
          </w:rPr>
          <w:t>美国小河流附近的居民未来可能面临极高的洪水风险</w:t>
        </w:r>
      </w:hyperlink>
    </w:p>
    <w:p>
      <w:pPr>
        <w:spacing w:before="0" w:after="80"/>
      </w:pPr>
      <w:r>
        <w:rPr>
          <w:i/>
          <w:sz w:val="20"/>
        </w:rPr>
        <w:t>EN: Residents near small rivers in the USA could face disproportionately high future flood risk</w:t>
      </w:r>
    </w:p>
    <w:p>
      <w:pPr>
        <w:spacing w:before="0" w:after="120"/>
      </w:pPr>
      <w:r>
        <w:rPr>
          <w:b/>
        </w:rPr>
        <w:t xml:space="preserve">Source: </w:t>
      </w:r>
      <w:r>
        <w:t>Nature Sustainability</w:t>
      </w:r>
      <w:r>
        <w:t xml:space="preserve">    </w:t>
      </w:r>
      <w:r>
        <w:rPr>
          <w:b/>
        </w:rPr>
        <w:t xml:space="preserve">Pub date: </w:t>
      </w:r>
      <w:r>
        <w:t>2026-07-15 00:00:00+00:00</w:t>
      </w:r>
      <w:r>
        <w:t xml:space="preserve">    </w:t>
      </w:r>
      <w:r>
        <w:rPr>
          <w:b/>
        </w:rPr>
        <w:t xml:space="preserve">DOI: </w:t>
      </w:r>
      <w:hyperlink r:id="rId1082">
        <w:r>
          <w:rPr>
            <w:color w:val="1155CC"/>
            <w:u w:val="single"/>
          </w:rPr>
          <w:t>10.1038/s41893-026-01905-9</w:t>
        </w:r>
      </w:hyperlink>
    </w:p>
    <w:p>
      <w:pPr>
        <w:spacing w:before="0" w:after="120"/>
      </w:pPr>
      <w:r>
        <w:rPr>
          <w:b/>
        </w:rPr>
        <w:t xml:space="preserve">Notes: </w:t>
      </w:r>
      <w:r>
        <w:t>abstract_source=nature_html</w:t>
      </w:r>
    </w:p>
    <w:p>
      <w:pPr>
        <w:spacing w:before="0" w:after="80" w:lineRule="auto" w:line="276"/>
      </w:pPr>
      <w:r>
        <w:rPr>
          <w:b/>
        </w:rPr>
        <w:t xml:space="preserve">摘要（ZH）: </w:t>
      </w:r>
      <w:r>
        <w:t>结合美国本土高分辨率水动力模拟和人口预测的分析表明，到 2050 年，小河流附近的居民面临的洪水风险比大河流附近的居民高得多。洪水风险增加的主要原因是防御水平较低以及气候变化下预计洪水强度的增加。</w:t>
      </w:r>
    </w:p>
    <w:p>
      <w:pPr>
        <w:spacing w:before="0" w:after="200" w:lineRule="auto" w:line="276"/>
      </w:pPr>
      <w:r>
        <w:rPr>
          <w:b/>
        </w:rPr>
        <w:t xml:space="preserve">Abstract (EN): </w:t>
      </w:r>
      <w:r>
        <w:t>Analysis combining high-resolution hydrodynamic simulations and demographic projections across the contiguous USA suggests that residents near small rivers face a disproportionately higher flood risk by 2050 than those near larger ones. This enhanced flood risk is mainly due to low defence levels and increases in projected flood magnitude under climate change.</w:t>
      </w:r>
    </w:p>
    <w:p>
      <w:pPr>
        <w:spacing w:before="120" w:after="120"/>
      </w:pPr>
      <w:r>
        <w:rPr>
          <w:sz w:val="18"/>
        </w:rPr>
        <w:t>——————————————————————————————————————————————————————————————————————</w:t>
      </w:r>
    </w:p>
    <w:p>
      <w:pPr>
        <w:spacing w:before="160" w:after="40" w:line="240" w:lineRule="auto"/>
      </w:pPr>
      <w:r>
        <w:rPr>
          <w:b/>
        </w:rPr>
        <w:t xml:space="preserve">[398] </w:t>
      </w:r>
      <w:hyperlink r:id="rId1083">
        <w:r>
          <w:rPr>
            <w:color w:val="1155CC"/>
            <w:u w:val="single"/>
          </w:rPr>
          <w:t>用于大型异构高阶网络中传播现象的高效 Gillespie 算法</w:t>
        </w:r>
      </w:hyperlink>
    </w:p>
    <w:p>
      <w:pPr>
        <w:spacing w:before="0" w:after="80"/>
      </w:pPr>
      <w:r>
        <w:rPr>
          <w:i/>
          <w:sz w:val="20"/>
        </w:rPr>
        <w:t>EN: Efficient Gillespie algorithms for spreading phenomena in large and heterogeneous higher-order networks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高阶交互（即节点组集体交互而不是成对交互）是许多复杂系统（从神经网络和生态网络到社会传染）的核心。然而，由于可能的相互作用的组合增长，在这种高阶结构上模拟动态过程在计算上仍然具有挑战性。在这里，我们为大型异构超图上的马尔可夫传播动力学开发了高效且统计精确的 Gillespie 算法。通过合并幻像过程（在不改变系统状态的情况下推进时间的事件），我们大大降低了标准算法的计算复杂度 (O(N2)" role="presentation"&gt;O(N2){{\mathcal{O}}}({N}^{2}))，实现了系统尺寸的线性缩放。依靠以临界质量阈值作为基准的易感者-感染者-易感者模型，我们表明优化的算法优于标准方法几个数量级，能够模拟具有数百万个节点和程度和交互阶数方面广泛异质性的网络，以克服高阶最大阶数或交互数量以及高阶网络上的其他动态过程所带来的瓶颈。这些结果为高阶传染和相关动态过程的可扩展、连续时间模拟建立了通用框架。</w:t>
      </w:r>
    </w:p>
    <w:p>
      <w:pPr>
        <w:spacing w:before="0" w:after="200" w:lineRule="auto" w:line="276"/>
      </w:pPr>
      <w:r>
        <w:rPr>
          <w:b/>
        </w:rPr>
        <w:t xml:space="preserve">Abstract (EN): </w:t>
      </w:r>
      <w:r>
        <w:t>Higher-order interactions, where groups of nodes interact collectively rather than pairwisely, are central to many complex systems, from neural and ecological networks to social contagion. However, simulating dynamical processes on such higher-order structures remains computationally challenging due to the combinatorial growth of possible interactions. Here, we develop efficient and statistically exact Gillespie algorithms for Markovian spreading dynamics on large and heterogeneous hypergraphs. By incorporating phantom processes − events that advance time without altering the system’s state − , we drastically reduce the computational complexity of standard algorithms (O(N2)" role="presentation"&gt;O(N2){{\mathcal{O}}}({N}^{2})), achieving up to linear scaling with system size. Relying on the susceptible-infected-susceptible model with critical mass thresholds as a benchmark, we show that the optimized algorithms outperform standard approaches by several orders of magnitude, enabling simulations of networks with millions of nodes and broad heterogeneity in both degree and interaction order. Efficient sampling methods, needed to overcome the bottlenecks imposed by either a high maximum order or number of interactions, and other dynamical processes on higher-order networks are tackled. These results establish a general framework for scalable, continuous-time simulations of higher-order contagion and related dynamical processes.</w:t>
      </w:r>
    </w:p>
    <w:p>
      <w:pPr>
        <w:spacing w:before="120" w:after="120"/>
      </w:pPr>
      <w:r>
        <w:rPr>
          <w:sz w:val="18"/>
        </w:rPr>
        <w:t>——————————————————————————————————————————————————————————————————————</w:t>
      </w:r>
    </w:p>
    <w:p>
      <w:pPr>
        <w:spacing w:before="160" w:after="40" w:line="240" w:lineRule="auto"/>
      </w:pPr>
      <w:r>
        <w:rPr>
          <w:b/>
        </w:rPr>
        <w:t xml:space="preserve">[399] </w:t>
      </w:r>
      <w:hyperlink r:id="rId1084">
        <w:r>
          <w:rPr>
            <w:color w:val="1155CC"/>
            <w:u w:val="single"/>
          </w:rPr>
          <w:t>调查孤独、社会孤立与健康之间的关系</w:t>
        </w:r>
      </w:hyperlink>
    </w:p>
    <w:p>
      <w:pPr>
        <w:spacing w:before="0" w:after="80"/>
      </w:pPr>
      <w:r>
        <w:rPr>
          <w:i/>
          <w:sz w:val="20"/>
        </w:rPr>
        <w:t>EN: Investigating relationships between loneliness, social isolation and health</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孤独和社会孤立是重要的公共卫生问题，因为它们与一系列健康结果相关。然而，很难确定任何影响是否因混杂因素和反向因果关系而产生偏差。我们使用三角测量方法，结合观察、兄弟对照和孟德尔随机化分析（遗传信息分析），得出关于这些关系的可靠结论。结合英国生物银行数据（N = 8,004 至 414,432）和全基因组关联研究（N = 17,526 至 2,083,151），我们研究了孤独感和社会孤立之间的关系以及与身体健康、心理健康和福祉以及一般健康相关的结果（例如，同时捕获心理和身体健康的多发病）。我们发现证据表明孤独和社会孤立会导致较差的心理健康和福祉，以及孤独会导致较差的总体健康状况。我们没有发现对特定身体健康结果有影响的证据；然而，不能明确排除这些影响。</w:t>
      </w:r>
    </w:p>
    <w:p>
      <w:pPr>
        <w:spacing w:before="0" w:after="200" w:lineRule="auto" w:line="276"/>
      </w:pPr>
      <w:r>
        <w:rPr>
          <w:b/>
        </w:rPr>
        <w:t xml:space="preserve">Abstract (EN): </w:t>
      </w:r>
      <w:r>
        <w:t>Loneliness and social isolation are important public health concerns due to their associations with a range of health outcomes. However, it is difficult to ascertain whether any effects are biased by confounding and reverse causation. We use a triangulation approach combining observational, sibling control, and Mendelian Randomisation analyses (a genetically informed analysis), to draw robust conclusions about these relationships. Using a combination of UK Biobank data (N = 8,004 to 414,432) and genome-wide association studies (N = 17,526 to 2,083,151), we examine relationships between loneliness and social isolation and outcomes related to physical health, mental health and wellbeing and general health (e.g., multimorbidity capturing both mental and physical health). We find evidence for effects of loneliness and social isolation on poorer mental health and wellbeing and of loneliness on poorer general health. We do not find evidence of effects on specific physical health outcomes; however, these effects cannot definitively be ruled out.</w:t>
      </w:r>
    </w:p>
    <w:p>
      <w:pPr>
        <w:spacing w:before="120" w:after="120"/>
      </w:pPr>
      <w:r>
        <w:rPr>
          <w:sz w:val="18"/>
        </w:rPr>
        <w:t>——————————————————————————————————————————————————————————————————————</w:t>
      </w:r>
    </w:p>
    <w:p>
      <w:pPr>
        <w:spacing w:before="160" w:after="40" w:line="240" w:lineRule="auto"/>
      </w:pPr>
      <w:r>
        <w:rPr>
          <w:b/>
        </w:rPr>
        <w:t xml:space="preserve">[400] </w:t>
      </w:r>
      <w:hyperlink r:id="rId1085">
        <w:r>
          <w:rPr>
            <w:color w:val="1155CC"/>
            <w:u w:val="single"/>
          </w:rPr>
          <w:t>苏格兰旅行者创始人群体的遗传血统和单基因疾病风险</w:t>
        </w:r>
      </w:hyperlink>
    </w:p>
    <w:p>
      <w:pPr>
        <w:spacing w:before="0" w:after="80"/>
      </w:pPr>
      <w:r>
        <w:rPr>
          <w:i/>
          <w:sz w:val="20"/>
        </w:rPr>
        <w:t>EN: Genetic ancestry and monogenic disease risk in the Scottish Traveller founder population</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苏格兰旅行者是苏格兰的一个传统游牧社区，历史上一直被边缘化，直到最近才与定居的苏格兰人口保持社会隔离。然而，人们对它们的遗传起源、种群结构和孟德尔病的风险知之甚少。在社区采取了解决这一差距并提高代表性的方法后，我们分析了来自多达 125 名吉普赛人/旅行者个体的阵列基因型和全外显子组测序数据，以及固定的英国和爱尔兰参考资料。我们证明苏格兰旅行者在基因上与爱尔兰旅行者、英国吉普赛人和欧洲罗姆人以及定居的英国和爱尔兰人口不同。然而，他们确实与定居的苏格兰人有着共同的常染色体和线粒体遗传血统。可检测到两种遗传亚群：一种更加漂移，一种更加混合。高水平的自合性是明显的，与血缘关系一致。我们检测常染色体和线粒体数据中的瓶颈信号。重要的是，我们发现了丰富的罕见致病变异，包括至少五种与隐性孟德尔疾病相关的推定创始人变异。这些发现提供了对苏格兰旅行者群体遗传史的深入了解，并强调了社区驱动的临床遗传学筛查举措的机会和需求，以缩小进一步的健康差异范围。</w:t>
      </w:r>
    </w:p>
    <w:p>
      <w:pPr>
        <w:spacing w:before="0" w:after="200" w:lineRule="auto" w:line="276"/>
      </w:pPr>
      <w:r>
        <w:rPr>
          <w:b/>
        </w:rPr>
        <w:t xml:space="preserve">Abstract (EN): </w:t>
      </w:r>
      <w:r>
        <w:t>The Scottish Travellers are a traditionally nomadic community in Scotland that has historically been marginalised, and remained socially isolated from the settled Scottish population until recently. Little, however, is known about their genetic origins, population structure and risks of Mendelian disease. After an approach from the community to address this gap and increase representation, we analyzed array genotypes and whole-exome sequencing data from up to 125 Gypsy/Traveller individuals, alongside settled British and Irish references. We demonstrate that Scottish Travellers are genetically distinct from Irish Travellers, English Gypsies and European Roma, as well as the settled British and Irish populations. However, they do share autosomal and mitochondrial genetic ancestry with settled Scots. Two genetic subgroups are detectable: one which is more drifted and one more admixed. High levels of autozygosity are apparent, consistent with consanguinity. We detect signals of bottlenecks in autosomal and mitochondrial data. Importantly, we identified an enrichment of rare, pathogenic variants, including at least five putative founder variants associated with recessive Mendelian disorders. These findings provide insights into the genetic history of the Scottish Traveller population and highlight the opportunity and need for community-driven clinical genetics screening initiatives to decrease the scope for further health disparities.</w:t>
      </w:r>
    </w:p>
    <w:p>
      <w:pPr>
        <w:spacing w:before="120" w:after="120"/>
      </w:pPr>
      <w:r>
        <w:rPr>
          <w:sz w:val="18"/>
        </w:rPr>
        <w:t>——————————————————————————————————————————————————————————————————————</w:t>
      </w:r>
    </w:p>
    <w:p>
      <w:pPr>
        <w:spacing w:before="160" w:after="40" w:line="240" w:lineRule="auto"/>
      </w:pPr>
      <w:r>
        <w:rPr>
          <w:b/>
        </w:rPr>
        <w:t xml:space="preserve">[401] </w:t>
      </w:r>
      <w:hyperlink r:id="rId1086">
        <w:r>
          <w:rPr>
            <w:color w:val="1155CC"/>
            <w:u w:val="single"/>
          </w:rPr>
          <w:t>分析肠道耐药组以解开抗菌药物耐药性生物学并告知临床风险</w:t>
        </w:r>
      </w:hyperlink>
    </w:p>
    <w:p>
      <w:pPr>
        <w:spacing w:before="0" w:after="80"/>
      </w:pPr>
      <w:r>
        <w:rPr>
          <w:i/>
          <w:sz w:val="20"/>
        </w:rPr>
        <w:t>EN: Profiling the gut resistome to unlock antimicrobial resistance biology and inform clinical risk</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抗生素耐药性 (AMR) 是一场全球性危机，抗生素开发缓慢、监测不力以及对耐药基因传播的了解有限，加剧了这一危机。传统的检测方法无法捕捉 AMR 的复杂性和互连性，这凸显了对新方法的需求。使用新一代测序进行肠道抗药性分析可以对微生物群落内的 AMR 基因进行非靶向检测，揭示其获得、转移和持久性，同时为新出现的抗药性提供早期预警信号。这篇综述综合了耐药组科学的进展，强调了感染风险预测和监测的转化机会，并确定了将肠道耐药组分析整合到精准公共卫生和管理框架中的未来方向。</w:t>
      </w:r>
    </w:p>
    <w:p>
      <w:pPr>
        <w:spacing w:before="0" w:after="200" w:lineRule="auto" w:line="276"/>
      </w:pPr>
      <w:r>
        <w:rPr>
          <w:b/>
        </w:rPr>
        <w:t xml:space="preserve">Abstract (EN): </w:t>
      </w:r>
      <w:r>
        <w:t>Antimicrobial resistance (AMR) is a global crisis, amplified by slow antibiotic development, inadequate surveillance, and limited understanding of resistance gene dissemination. Traditional detection methodologies fail to capture the complexity and interconnectivity of AMR, highlighting the need for novel approaches. Gut resistome profiling using next-generation sequencing enables untargeted detection of AMR genes within microbial communities, revealing their acquisition, transfer and persistence while providing early warning signals for emerging resistance. This review synthesises advances in resistome science, highlights translational opportunities for infection risk prediction and surveillance, and identifies future directions for integrating gut resistome profiling into precision public health and stewardship frameworks.</w:t>
      </w:r>
    </w:p>
    <w:p>
      <w:pPr>
        <w:spacing w:before="120" w:after="120"/>
      </w:pPr>
      <w:r>
        <w:rPr>
          <w:sz w:val="18"/>
        </w:rPr>
        <w:t>——————————————————————————————————————————————————————————————————————</w:t>
      </w:r>
    </w:p>
    <w:p>
      <w:pPr>
        <w:spacing w:before="160" w:after="40" w:line="240" w:lineRule="auto"/>
      </w:pPr>
      <w:r>
        <w:rPr>
          <w:b/>
        </w:rPr>
        <w:t xml:space="preserve">[402] </w:t>
      </w:r>
      <w:hyperlink r:id="rId1087">
        <w:r>
          <w:rPr>
            <w:color w:val="1155CC"/>
            <w:u w:val="single"/>
          </w:rPr>
          <w:t>癌基因失活诱导的衰老促进肿瘤复发</w:t>
        </w:r>
      </w:hyperlink>
    </w:p>
    <w:p>
      <w:pPr>
        <w:spacing w:before="0" w:after="80"/>
      </w:pPr>
      <w:r>
        <w:rPr>
          <w:i/>
          <w:sz w:val="20"/>
        </w:rPr>
        <w:t>EN: Oncogene inactivation-induced senescence facilitates tumor relapse</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癌基因导向疗法可以诱导癌基因成瘾性癌症的深度消退，但其长期益处往往受到耐药性和复发的限制。在这里，我们发现癌基因失活会迅速诱导衰老和促炎性衰老相关的分泌表型（SASP）。在体内，癌基因失活诱导的衰老（OIIS）使肿瘤易于复发，并伴有多倍体、染色体不稳定、获得替代致癌途径（包括小鼠双分钟2同源物（Mdm2）上调）以及针对新血管形成和免疫抑制的肿瘤微环境重塑。光谱流式细胞术揭示了复发期间从免疫激活环境到免疫抑制环境的转变。在用维莫非尼治疗的人 BRAFV600E 黑色素瘤细胞中也观察到了 OIIS 特征，支持了临床相关性。总之，我们的研究结果表明 OIIS 是一个双刃剑的过程：它最初抑制肿瘤生长，但同时创造了有利于复发的条件。通过定义 OIIS 的遗传、代谢和微环境标志，我们的研究强调了对癌基因剥夺的适应，这限制了靶向治疗的持久性。</w:t>
      </w:r>
    </w:p>
    <w:p>
      <w:pPr>
        <w:spacing w:before="0" w:after="200" w:lineRule="auto" w:line="276"/>
      </w:pPr>
      <w:r>
        <w:rPr>
          <w:b/>
        </w:rPr>
        <w:t xml:space="preserve">Abstract (EN): </w:t>
      </w:r>
      <w:r>
        <w:t>Oncogene-directed therapies can induce profound tumor regression in oncogene-addicted cancers, but their long-term benefit is often limited by resistance and relapse. Here we show that oncogene inactivation rapidly induces senescence and a pro-inflammatory senescence-associated secretory phenotype (SASP). In vivo, oncogene inactivation-induced senescence (OIIS) predisposes tumors to relapse, accompanied by polyploidy, chromosomal instability, acquisition of alternative oncogenic pathways including mouse double minute 2 homolog (Mdm2) upregulation, and tumor microenvironmental remodeling toward neovascularization and immunosuppression. Spectral flow cytometry reveals a shift from an immune-activated to an immunosuppressive milieu during relapse. OIIS features are also observed in human BRAFV600E melanoma cells treated with vemurafenib, supporting clinical relevance. Together, our findings establish OIIS as a double-edged process: it initially restrains tumor growth but simultaneously creates conditions that favor recurrence. By defining the genetic, metabolic and microenvironmental hallmarks of OIIS, our study highlights adaptations to oncogene deprivation that limit the durability of targeted therapies.</w:t>
      </w:r>
    </w:p>
    <w:p>
      <w:pPr>
        <w:spacing w:before="120" w:after="120"/>
      </w:pPr>
      <w:r>
        <w:rPr>
          <w:sz w:val="18"/>
        </w:rPr>
        <w:t>——————————————————————————————————————————————————————————————————————</w:t>
      </w:r>
    </w:p>
    <w:p>
      <w:pPr>
        <w:spacing w:before="160" w:after="40" w:line="240" w:lineRule="auto"/>
      </w:pPr>
      <w:r>
        <w:rPr>
          <w:b/>
        </w:rPr>
        <w:t xml:space="preserve">[403] </w:t>
      </w:r>
      <w:hyperlink r:id="rId1088">
        <w:r>
          <w:rPr>
            <w:color w:val="1155CC"/>
            <w:u w:val="single"/>
          </w:rPr>
          <w:t>局部（而非循环）补体 C3 通过控制骨髓细胞浸润来塑造免疫检查点阻断功效</w:t>
        </w:r>
      </w:hyperlink>
    </w:p>
    <w:p>
      <w:pPr>
        <w:spacing w:before="0" w:after="80"/>
      </w:pPr>
      <w:r>
        <w:rPr>
          <w:i/>
          <w:sz w:val="20"/>
        </w:rPr>
        <w:t>EN: Local, but not circulating, complement C3 shapes immune checkpoint blockade efficacy by controlling myeloid cell infiltration</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肝细胞中产生的循环补体 C3 在免疫防御中的作用已得到广泛研究。有趣的是，C3 基因在循环系统之前进化，这表明本地产生的 C3 具有重要但尚未明确的作用。在这里，我们研究了 C3 对癌症免疫治疗的影响，发现癌症相关成纤维细胞 (CAF) 来源的 C3，而不是全身性肝细胞来源的 C3，影响免疫检查点阻断 (ICB) 的疗效。 CAF 特异性 C3 敲除小鼠中产生的结直肠和肺部肿瘤表现出对抗 PD-1 治疗的耐药性，并伴有免疫抑制性 M2 样巨噬细胞浸润增加。从机制上讲，C3 降解产物 iC3b 通过补体受体 3 信号传导抑制骨髓细胞浸润。此外，针对该通路的治疗靶向可恢复免疫治疗耐药小鼠肿瘤对 PD-1 阻断疗法的敏感性。在人类癌症中，基质 C3 表达与 M2 样巨噬细胞浸润减少和免疫治疗结果改善相关。因此，我们的数据证明了本地产生的 C3 在先天免疫反应中的作用，这种作用可能在许多生物体中都是保守的。</w:t>
      </w:r>
    </w:p>
    <w:p>
      <w:pPr>
        <w:spacing w:before="0" w:after="200" w:lineRule="auto" w:line="276"/>
      </w:pPr>
      <w:r>
        <w:rPr>
          <w:b/>
        </w:rPr>
        <w:t xml:space="preserve">Abstract (EN): </w:t>
      </w:r>
      <w:r>
        <w:t>The roles of circulating complement C3, produced in hepatocytes, in immune defense have been extensively studied. Interestingly, the C3 gene evolved before the circulatory system, suggesting an essential but yet undefined role of locally produced C3. Here, we investigate the effect of C3 on cancer immunotherapy and find that cancer-associated fibroblast (CAF)-derived C3, not systemic, hepatocyte-derived C3, influences the efficacy of immune checkpoint blockade (ICB). Colorectal and lung tumors developed in CAF-specific C3 knockout mice exhibit resistance to anti-PD-1 therapy, with increased immunosuppressive M2-like macrophage infiltration. Mechanistically, the C3 degradation product iC3b suppresses myeloid cell infiltration via complement receptor 3 signaling. Moreover, therapeutic targeting of this pathway restores sensitivity to PD-1 blockade therapy in immunotherapy-resistant mouse tumors. In human cancers, stromal C3 expression correlates with reduced M2-like macrophage infiltration and improved immunotherapeutic outcomes. Thus, our data demonstrate the role of locally produced C3 in the innate immune response, which may have been conserved across many organisms.</w:t>
      </w:r>
    </w:p>
    <w:p>
      <w:pPr>
        <w:spacing w:before="120" w:after="120"/>
      </w:pPr>
      <w:r>
        <w:rPr>
          <w:sz w:val="18"/>
        </w:rPr>
        <w:t>——————————————————————————————————————————————————————————————————————</w:t>
      </w:r>
    </w:p>
    <w:p>
      <w:pPr>
        <w:spacing w:before="160" w:after="40" w:line="240" w:lineRule="auto"/>
      </w:pPr>
      <w:r>
        <w:rPr>
          <w:b/>
        </w:rPr>
        <w:t xml:space="preserve">[404] </w:t>
      </w:r>
      <w:hyperlink r:id="rId1089">
        <w:r>
          <w:rPr>
            <w:color w:val="1155CC"/>
            <w:u w:val="single"/>
          </w:rPr>
          <w:t>来自环境滨海色素的新型多粘菌素抗性基因家族 mcr-12</w:t>
        </w:r>
      </w:hyperlink>
    </w:p>
    <w:p>
      <w:pPr>
        <w:spacing w:before="0" w:after="80"/>
      </w:pPr>
      <w:r>
        <w:rPr>
          <w:i/>
          <w:sz w:val="20"/>
        </w:rPr>
        <w:t>EN: Novel polymyxin resistance gene family mcr-12 from environmental Pigmentiphaga litoralis</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移动粘菌素抗性（mcr）基因的出现威胁到多粘菌素作为治疗多重耐药细菌感染的最后手段抗生素的功效。在这里，我们鉴定了一种新的环境 mcr 基因 mcr-12，该基因是在澳大利亚沉积物中的滨海藻中发现的，并评估了其在环境抗性库和临床相关细菌之间的交叉中的潜在作用。基因mcr-12位于质粒pPLE30.2上的金属抗性基因簇内，该基因簇还携带预测的新型β-内酰胺酶基因(blaOXA-1383)。去除 pPLE30.2 会使多粘菌素敏感性增加 32 倍，而重新引入 mcr-12 会恢复耐药性。尽管与已知的 MCR 酶的氨基酸同一性较低，但 MCR-12 通过脂质 A 的磷酸乙醇胺转移酶修饰而赋予多粘菌素抗性。mcr-12 在假单胞菌属中的表达。鲍曼不动杆菌具有多粘菌素抗性，表明 mcr-12 在环境菌株和临床病原体之间是相容的。从环境来源和 Gammaproteobacteria 外部发现的新 mcr 基因凸显了在 One Health 框架内进一步开展监测工作的必要性。</w:t>
      </w:r>
    </w:p>
    <w:p>
      <w:pPr>
        <w:spacing w:before="0" w:after="200" w:lineRule="auto" w:line="276"/>
      </w:pPr>
      <w:r>
        <w:rPr>
          <w:b/>
        </w:rPr>
        <w:t xml:space="preserve">Abstract (EN): </w:t>
      </w:r>
      <w:r>
        <w:t>The emergence of mobile colistin resistance (mcr) genes threatens the efficacy of polymyxins as last-resort antibiotics for treating multidrug-resistant bacterial infections. Here, we identify a novel environmental mcr gene, mcr-12, discovered in Pigmentiphaga litoralis from Australian sediment, and evaluate its potential role in the intersection between environmental resistance reservoirs and clinically relevant bacteria. Gene mcr-12 was located within a metal-resistance gene cluster on plasmid pPLE30.2, which also carried a predicted novel β-lactamase gene (blaOXA-1383). Removal of pPLE30.2 increased polymyxin susceptibility 32-fold, while reintroduction of mcr-12 restored resistance. Despite its low amino-acid identity to known MCR enzymes, MCR-12 confers polymyxin resistance by phosphoethanolamine transferase modification of lipid A. Expression of mcr-12 in Pseudomonas spp. and Acinetobacter baumannii conferred polymyxin resistance, suggesting that mcr-12 is compatible between environmental strains and clinical pathogens. The discovery of a new mcr gene from an environmental source and from outside Gammaproteobacteria highlights the need for further surveillance efforts within a One Health framework.</w:t>
      </w:r>
    </w:p>
    <w:p>
      <w:pPr>
        <w:spacing w:before="120" w:after="120"/>
      </w:pPr>
      <w:r>
        <w:rPr>
          <w:sz w:val="18"/>
        </w:rPr>
        <w:t>——————————————————————————————————————————————————————————————————————</w:t>
      </w:r>
    </w:p>
    <w:p>
      <w:pPr>
        <w:spacing w:before="160" w:after="40" w:line="240" w:lineRule="auto"/>
      </w:pPr>
      <w:r>
        <w:rPr>
          <w:b/>
        </w:rPr>
        <w:t xml:space="preserve">[405] </w:t>
      </w:r>
      <w:hyperlink r:id="rId1090">
        <w:r>
          <w:rPr>
            <w:color w:val="1155CC"/>
            <w:u w:val="single"/>
          </w:rPr>
          <w:t>微生物单细胞转录组学将肠道微生物群功能状态与雄性小鼠的代谢变化联系起来</w:t>
        </w:r>
      </w:hyperlink>
    </w:p>
    <w:p>
      <w:pPr>
        <w:spacing w:before="0" w:after="80"/>
      </w:pPr>
      <w:r>
        <w:rPr>
          <w:i/>
          <w:sz w:val="20"/>
        </w:rPr>
        <w:t>EN: Microbial single-cell transcriptomics links gut microbiota functional states to metabolic changes in male mice</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人们日益认识到同一群落内的微生物在活性上可能存在显着差异，这推动了以单细胞分辨率测量微生物功能的方法。然而，小鼠模型中的微生物单细胞转录谱仍然有限。在这里，我们展示了微生物单细胞 RNA-seq 平台 smRandom-seq 可以适应雄性糖尿病 (db/db) 和雄性对照小鼠的肠道内容物，以分析盲肠、结肠和直肠的微生物单细胞转录组。使用物种识别工作流程 smClassify 以及将微生物转录组与代谢组图谱相结合的分析策略，我们获得了功能注释的单微生物转录组，并表征了区域和表型相关的代谢改变。我们还观察与糖尿病相关代谢变化相关的跨物种功能模式。种内分析显示 Muribaculum gordoncarteri 中碳水化合物和氮途径的区域依赖性转录变化。该框架为解决小鼠肠道中微生物功能异质性提供了一种实用方法，并为将这种异质性与宿主代谢变化联系起来提供了基础，从而能够研究单微生物转录状态如何在不同的生理和代谢扰动下与宿主代谢相互作用。</w:t>
      </w:r>
    </w:p>
    <w:p>
      <w:pPr>
        <w:spacing w:before="0" w:after="200" w:lineRule="auto" w:line="276"/>
      </w:pPr>
      <w:r>
        <w:rPr>
          <w:b/>
        </w:rPr>
        <w:t xml:space="preserve">Abstract (EN): </w:t>
      </w:r>
      <w:r>
        <w:t>Increasing recognition that microorganisms within the same community can differ markedly in activity has motivated approaches that measure microbial function at single-cell resolution. However, microbial single-cell transcriptional profiling in mouse models remains limited. Here we show that the microbial single-cell RNA-seq platform smRandom-seq can be adapted to intestinal contents from male diabetic (db/db) and male control mice to profile microbial single-cell transcriptomes across the cecum, colon, and rectum. Using the species-identification workflow smClassify, together with an analysis strategy that integrates microbial transcriptomes with metabolomic profiles, we obtain functionally annotated single-microbe transcriptomes and characterize region- and phenotype-associated metabolic alterations. We also observe cross-species functional patterns that are associated with diabetes-related metabolic changes. Within-species analysis shows region-dependent transcriptional changes in carbohydrate and nitrogen pathways in Muribaculum gordoncarteri. This framework offers a practical approach for resolving microbial functional heterogeneity in the mouse gut and provides a basis for linking such heterogeneity to host metabolic changes, enabling the investigation of how single-microbe transcriptional states interface with host metabolism under diverse physiological and metabolic perturbations.</w:t>
      </w:r>
    </w:p>
    <w:p>
      <w:pPr>
        <w:spacing w:before="120" w:after="120"/>
      </w:pPr>
      <w:r>
        <w:rPr>
          <w:sz w:val="18"/>
        </w:rPr>
        <w:t>——————————————————————————————————————————————————————————————————————</w:t>
      </w:r>
    </w:p>
    <w:p>
      <w:pPr>
        <w:spacing w:before="160" w:after="40" w:line="240" w:lineRule="auto"/>
      </w:pPr>
      <w:r>
        <w:rPr>
          <w:b/>
        </w:rPr>
        <w:t xml:space="preserve">[406] </w:t>
      </w:r>
      <w:hyperlink r:id="rId1091">
        <w:r>
          <w:rPr>
            <w:color w:val="1155CC"/>
            <w:u w:val="single"/>
          </w:rPr>
          <w:t>开发 RNA 适体作为突触核蛋白病的治疗剂</w:t>
        </w:r>
      </w:hyperlink>
    </w:p>
    <w:p>
      <w:pPr>
        <w:spacing w:before="0" w:after="80"/>
      </w:pPr>
      <w:r>
        <w:rPr>
          <w:i/>
          <w:sz w:val="20"/>
        </w:rPr>
        <w:t>EN: Development of an RNA aptamer as a therapeutic agent for synucleinopathies</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α-突触核蛋白 (αSyn) 是一种 140 聚体蛋白质，其聚集与帕金森病、多系统萎缩和路易体痴呆的发病机制有关。 αSyn 序列中的 KTKEGV 伪重复序列 (KR) 是其类朊病毒传播和神经变性的关键介质。尽管有对症治疗，但目前没有任何治疗方法可以有效延缓疾病进展。在这里，我们报道了一种名为 1R6 的 77 核苷酸 RNA 适体，通过体外选择获得，它以高亲和力和选择性与 αSyn1-95 结合。 1R6 显着抑制 αSyn 寡聚化和富含 β 片层的原纤维组装，并促进预形成原纤维的解聚。此外，根据基于 FRET 的生物传感器细胞测定法测定，1R6 会抑制 αSyn 接种。细胞研究表明，1R6 共转染完全阻止 αSyn 诱导的细胞毒性。为了评估 1R6 的体内保护作用，我们使用在神经元中表达人类 αSyn 的果蝇模型。喂食 1R6 的果蝇表现出运动活性改善、光感受器变性减少以及头部 αSyn 水平降低。使用 1H-15N 异核多量子相关核磁共振实验进行的结构表征表明，1R6 靶向 KR 基序，这一发现得到了计算机模拟的进一步支持。我们的研究结果支持 RNA 适体（例如 1R6）的进一步开发，包括评估哺乳动物系统中的功效、稳定性、递送和免疫反应，突出了它们作为突触核蛋白病治疗候选者的潜力。</w:t>
      </w:r>
    </w:p>
    <w:p>
      <w:pPr>
        <w:spacing w:before="0" w:after="200" w:lineRule="auto" w:line="276"/>
      </w:pPr>
      <w:r>
        <w:rPr>
          <w:b/>
        </w:rPr>
        <w:t xml:space="preserve">Abstract (EN): </w:t>
      </w:r>
      <w:r>
        <w:t>The aggregation of α-synuclein (αSyn), a 140-mer protein, has been implicated in the pathogenesis of Parkinson’s disease, multiple system atrophy, and dementia with Lewy bodies. KTKEGV pseudo-repeats (KRs) in the sequence of αSyn are key mediators of its prion-like propagation and neurodegeneration. Despite the availability of symptomatic treatments, no current therapy effectively delays disease progression. Here we report a 77-nucleotide RNA aptamer called 1R6, obtained through in vitro selection, that binds with high affinity and selectivity to αSyn1-95. 1R6 significantly inhibits αSyn oligomerization and β-sheet-rich fibril assembly and promotes disaggregation of preformed fibrils. Additionally, 1R6 suppresses αSyn seeding, as determined by a FRET-based biosensor-cell assay. Cellular studies reveal that 1R6 co-transfection completely prevents αSyn-induced cytotoxicity. To assess the protective effects of 1R6 in vivo, we use a Drosophila melanogaster model expressing human αSyn in neurons. Flies fed 1R6 show improved locomotor activity, reduced photoreceptor degeneration, and decreased αSyn levels in the head. Structural characterization using 1H-15N heteronuclear multiple quantum correlation nuclear magnetic resonance experiments demonstrates that 1R6 targets KR motifs, a finding further supported by in silico simulations. Our findings support further development of RNA aptamers, such as 1R6, including evaluation of efficacy, stability, delivery, and immune responses in mammalian systems, highlighting their potential as therapeutic candidates for synucleinopathies.</w:t>
      </w:r>
    </w:p>
    <w:p>
      <w:pPr>
        <w:spacing w:before="120" w:after="120"/>
      </w:pPr>
      <w:r>
        <w:rPr>
          <w:sz w:val="18"/>
        </w:rPr>
        <w:t>——————————————————————————————————————————————————————————————————————</w:t>
      </w:r>
    </w:p>
    <w:p>
      <w:pPr>
        <w:spacing w:before="160" w:after="40" w:line="240" w:lineRule="auto"/>
      </w:pPr>
      <w:r>
        <w:rPr>
          <w:b/>
        </w:rPr>
        <w:t xml:space="preserve">[407] </w:t>
      </w:r>
      <w:hyperlink r:id="rId1092">
        <w:r>
          <w:rPr>
            <w:color w:val="1155CC"/>
            <w:u w:val="single"/>
          </w:rPr>
          <w:t>ADAPT-M：快速、定量体外测量富集蛋白质库的工作流程</w:t>
        </w:r>
      </w:hyperlink>
    </w:p>
    <w:p>
      <w:pPr>
        <w:spacing w:before="0" w:after="80"/>
      </w:pPr>
      <w:r>
        <w:rPr>
          <w:i/>
          <w:sz w:val="20"/>
        </w:rPr>
        <w:t>EN: ADAPT-M: a workflow for rapid, quantitative in vitro measurements of enriched protein libraries</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蛋白质-蛋白质相互作用是大多数细胞过程的基础，而工程结合物为探索生物学和开发新疗法提供了强大的工具。然而，大量候选者的可扩展、定量表征仍然是一个主要瓶颈。在这里，我们展示了 ADAPT-M（微流体蛋白结合剂适应亲和力测定）能够在一周内直接从富集的展示库中快速、平行地测量结合亲和力和解离行为，无需基因合成或手动蛋白质纯化。应用于针对 SARS-CoV-2 Omicron BA.1 受体结合结构域的计算设计文库时，ADAPT-M 恢复了大多数高度富集的变体，并揭示了许多展示富集的结合物在体外缺乏可测量的结合，凸显了单独筛选的局限性。 ADAPT-M 能够并行定量表征数十种粘合剂，并选择主要候选物进行结构分析。出乎意料的是，结构和突变研究表明，尽管涉及替代表位，设计的结合界面仍被保留。通过桥接筛选和可扩展的体外验证，ADAPT-M 加速了蛋白质结合剂的发现并支持数据驱动的蛋白质工程。</w:t>
      </w:r>
    </w:p>
    <w:p>
      <w:pPr>
        <w:spacing w:before="0" w:after="200" w:lineRule="auto" w:line="276"/>
      </w:pPr>
      <w:r>
        <w:rPr>
          <w:b/>
        </w:rPr>
        <w:t xml:space="preserve">Abstract (EN): </w:t>
      </w:r>
      <w:r>
        <w:t>Protein-protein interactions underpin most cellular processes, and engineered binders present powerful tools for probing biology and developing novel therapeutics. However, scalable, quantitative characterization of large numbers of candidates remains a major bottleneck. Here we show that ADAPT-M (Affinity Determination by Adaptation of ProTein binders for Microfluidics) enables rapid, parallel measurement of binding affinities and dissociation behavior directly from enriched display libraries in under one week, without requiring gene synthesis or hands-on protein purification. Applied to a computationally designed library targeting the SARS-CoV-2 Omicron BA.1 receptor binding domain, ADAPT-M recovered most highly enriched variants and revealed that many display-enriched binders lacked measurable binding in vitro, highlighting limitations of screening alone. ADAPT-M enabled quantitative characterization of dozens of binders in parallel and selection of lead candidates for structural analysis. Unexpectedly, structural and mutational studies revealed that designed binding interfaces were preserved despite engaging alternative epitopes. By bridging screening and scalable in vitro validation, ADAPT-M accelerates protein binder discovery and supports data-driven protein engineering.</w:t>
      </w:r>
    </w:p>
    <w:p>
      <w:pPr>
        <w:spacing w:before="120" w:after="120"/>
      </w:pPr>
      <w:r>
        <w:rPr>
          <w:sz w:val="18"/>
        </w:rPr>
        <w:t>——————————————————————————————————————————————————————————————————————</w:t>
      </w:r>
    </w:p>
    <w:p>
      <w:pPr>
        <w:spacing w:before="160" w:after="40" w:line="240" w:lineRule="auto"/>
      </w:pPr>
      <w:r>
        <w:rPr>
          <w:b/>
        </w:rPr>
        <w:t xml:space="preserve">[408] </w:t>
      </w:r>
      <w:hyperlink r:id="rId1093">
        <w:r>
          <w:rPr>
            <w:color w:val="1155CC"/>
            <w:u w:val="single"/>
          </w:rPr>
          <w:t>SIRT5-SUCLG2 去琥珀酰化轴通过线粒体表观遗传调控机制延缓卵巢衰老</w:t>
        </w:r>
      </w:hyperlink>
    </w:p>
    <w:p>
      <w:pPr>
        <w:spacing w:before="0" w:after="80"/>
      </w:pPr>
      <w:r>
        <w:rPr>
          <w:i/>
          <w:sz w:val="20"/>
        </w:rPr>
        <w:t>EN: The SIRT5-SUCLG2 desuccinylation axis delays ovarian aging via a mitochondrial-epigenetic regulatory mechanism</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线粒体功能障碍和表观遗传改变在衰老相关疾病中发挥着关键作用，但线粒体核串扰与卵巢衰老之间的分子机制仍知之甚少。在这里，衰老卵巢的单细胞转录组分析揭示了衰老相关的标志性改变，包括线粒体代谢异常升高、组蛋白修饰模式被破坏以及衰老相关分泌表型（SASP）的富集。我们证明 SIRT5 介导的去琥珀酰化受损是卵巢衰老的关键驱动因素。从机制上讲，我们确定三羧酸（TCA）循环中的琥珀酰辅酶A（CoA）合成酶GDP形成亚基β（SUCLG2）是SIRT5介导的去琥珀酰化的主要靶标。 SUCLG2 赖氨酸残基 K93 和 K101 处的去琥珀酰化增强了其蛋白质稳定性和活性，从而改善了细胞衰老时的线粒体功能。然而，SUCLG2的超琥珀酰化通过细胞核中乙酰辅酶A的积累特异性增加H4K8ac，导致代谢相关基因的过度表达，以补偿细胞衰老过程中线粒体功能下降引起的能量需求不足。体内功能研究表明，乙酰辅酶A供应过剩会加速卵巢衰老，而采用SUCLG2去琥珀酰化突变体的卵巢基因治疗可改善这种情况。这项研究阐明了卵巢衰老的分子机制，并将 SIRT5-SUCLG2 轴确定为年龄相关性卵巢功能障碍的有前景的治疗靶点。</w:t>
      </w:r>
    </w:p>
    <w:p>
      <w:pPr>
        <w:spacing w:before="0" w:after="200" w:lineRule="auto" w:line="276"/>
      </w:pPr>
      <w:r>
        <w:rPr>
          <w:b/>
        </w:rPr>
        <w:t xml:space="preserve">Abstract (EN): </w:t>
      </w:r>
      <w:r>
        <w:t>Mitochondrial dysfunction and epigenetic alterations play critical roles in aging-related diseases, yet the molecular mechanisms linking mito-nuclear crosstalk to ovarian aging remain poorly understood. Here, single-cell transcriptome analysis of aging ovaries revealed senescence-associated hallmark alterations, including abnormally elevated mitochondrial metabolism, disrupted histone modification patterns, and enrichment of the senescence-associated secretory phenotype (SASP). We demonstrated that impaired SIRT5-mediated desuccinylation constitutes a key driver of ovarian aging. Mechanistically, we identified succinyl-coenzyme A (CoA) synthetase GDP-forming subunit β (SUCLG2) in the tricarboxylic acid (TCA) cycle as the main target of SIRT5-mediated desuccinylation. SUCLG2 desuccinylation at lysine residues K93 and K101 enhanced its protein stability and activity, thereby improving mitochondrial function upon cellular senescence. However, SUCLG2 hypersuccinylation specifically increased H4K8ac through acetyl-CoA accumulation in nucleus, leading to the overexpression of metabolism-related genes to compensate for the energy demand deficiency caused by decreased mitochondrial function during cellular senescence. In vivo functional studies demonstrated that acetyl-CoA oversupply accelerated ovarian aging, whereas ovarian gene therapy employing a SUCLG2 desuccinylation mutant ameliorated this condition. This study illuminates the molecular mechanisms underlying ovarian aging and identifies the SIRT5-SUCLG2 axis as a promising therapeutic target for age-related ovarian dysfunction.</w:t>
      </w:r>
    </w:p>
    <w:p>
      <w:pPr>
        <w:spacing w:before="120" w:after="120"/>
      </w:pPr>
      <w:r>
        <w:rPr>
          <w:sz w:val="18"/>
        </w:rPr>
        <w:t>——————————————————————————————————————————————————————————————————————</w:t>
      </w:r>
    </w:p>
    <w:p>
      <w:pPr>
        <w:spacing w:before="160" w:after="40" w:line="240" w:lineRule="auto"/>
      </w:pPr>
      <w:r>
        <w:rPr>
          <w:b/>
        </w:rPr>
        <w:t xml:space="preserve">[409] </w:t>
      </w:r>
      <w:hyperlink r:id="rId1094">
        <w:r>
          <w:rPr>
            <w:color w:val="1155CC"/>
            <w:u w:val="single"/>
          </w:rPr>
          <w:t>外源性肌酸补充剂通过巨核细胞肌酸激酶 B-STAT5B 信号促进肿瘤转移</w:t>
        </w:r>
      </w:hyperlink>
    </w:p>
    <w:p>
      <w:pPr>
        <w:spacing w:before="0" w:after="80"/>
      </w:pPr>
      <w:r>
        <w:rPr>
          <w:i/>
          <w:sz w:val="20"/>
        </w:rPr>
        <w:t>EN: Exogenous creatine supplementation promotes tumor metastasis via megakaryocyte creatine kinase B-STAT5B signaling</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肌酸补充剂广泛应用于体育运动中，并且越来越受到锻炼者的欢迎。尽管肌酸的生理作用已被广泛研究，但对于病理条件下的肌酸生物学仍然知之甚少。在这里，我们报告在各种小鼠模型和人类中，外源性肌酸补充剂通过血小板激活机制促进肿瘤转移。从机制上讲，补充肌酸可增加巨核细胞肌酸水平并上调肌酸激酶 B (CKB)。无偏磷酸蛋白质组学揭示，CKB 下游、非经典 STAT5B 磷酸化会激发各种血小板功能基因，导致血小板过度活跃、促进转移。肌酸转运蛋白 Slc6a8 或 Stat5b 的巨核细胞特异性敲除，以及 STAT5 的药理学抑制，消除了肌酸增强的血小板过度活跃，并防止随后的小鼠转移。重要的是，健康志愿者补充肌酸会导致外周血小板过度活跃，从而增加转移风险。总之，我们的研究揭示了肌酸诱导的转移的机制见解，并通过针对巨核细胞肌酸代谢提供了抗转移治疗范例。</w:t>
      </w:r>
    </w:p>
    <w:p>
      <w:pPr>
        <w:spacing w:before="0" w:after="200" w:lineRule="auto" w:line="276"/>
      </w:pPr>
      <w:r>
        <w:rPr>
          <w:b/>
        </w:rPr>
        <w:t xml:space="preserve">Abstract (EN): </w:t>
      </w:r>
      <w:r>
        <w:t>Creatine supplementation is widely used in sports and increasingly popular among exercising individuals. Although the physiological role of creatine has been extensively studied, the creatine biology in pathological conditions remains poorly understood. Here we report that exogenous creatine supplementation promotes tumor metastasis via platelet activation mechanism in various mouse models and humans. Mechanistically, creatine supplementation increases megakaryocyte creatine levels and upregulates creatine kinase B (CKB). Unbiased phosphoproteomics reveals that a CKB-downstream, non-canonical STAT5B phosphorylation instigates various platelet functional genes, leading to hyperactive, metastasis-promoting platelets. Megakaryocyte-specific knockout of the creatine transporter Slc6a8 or Stat5b, as well as pharmacological inhibition of STAT5, ablates the creatine-augmented platelet hyperactivity and prevents consequent metastasis in mice. Importantly, creatine supplementation in healthy volunteers results in hyperactive peripheral platelets that increase metastasis risks. Together, our study sheds mechanistic insights into the creatine-induced metastasis and provides an anti-metastatic therapeutic paradigm by targeting megakaryocyte creatine metabolism.</w:t>
      </w:r>
    </w:p>
    <w:p>
      <w:pPr>
        <w:spacing w:before="120" w:after="120"/>
      </w:pPr>
      <w:r>
        <w:rPr>
          <w:sz w:val="18"/>
        </w:rPr>
        <w:t>——————————————————————————————————————————————————————————————————————</w:t>
      </w:r>
    </w:p>
    <w:p>
      <w:pPr>
        <w:spacing w:before="160" w:after="40" w:line="240" w:lineRule="auto"/>
      </w:pPr>
      <w:r>
        <w:rPr>
          <w:b/>
        </w:rPr>
        <w:t xml:space="preserve">[410] </w:t>
      </w:r>
      <w:hyperlink r:id="rId1095">
        <w:r>
          <w:rPr>
            <w:color w:val="1155CC"/>
            <w:u w:val="single"/>
          </w:rPr>
          <w:t>雄性小鼠根深蒂固的神经性疼痛和治疗后的脊柱特征</w:t>
        </w:r>
      </w:hyperlink>
    </w:p>
    <w:p>
      <w:pPr>
        <w:spacing w:before="0" w:after="80"/>
      </w:pPr>
      <w:r>
        <w:rPr>
          <w:i/>
          <w:sz w:val="20"/>
        </w:rPr>
        <w:t>EN: Spinal signatures of entrenched and treated neuropathic pain in male mice</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周围神经损伤引起的慢性疼痛涉及脊髓疼痛转导的改变，其中兴奋性途径的增强和/或抑制性途径的减少可以导致疼痛。维持根深蒂固的神经性疼痛的细胞转录变化仍然知之甚少。在这里，我们在雄性小鼠中使用单核和空间转录组学方法来研究与根深蒂固和治疗的神经性疼痛相关的脊髓细胞和分子程序。我们发现神经损伤会导致背侧神经元和神经胶质细胞群中突触和兴奋通路的广泛上调。我们证实这些核心群体在人类脊髓中是保守的，并表明有效的疼痛疗法可以抑制神经病理性转录程序。这些数据确定了与神经性疼痛状态和治疗逆转相关的脊髓细胞群和通路。</w:t>
      </w:r>
    </w:p>
    <w:p>
      <w:pPr>
        <w:spacing w:before="0" w:after="200" w:lineRule="auto" w:line="276"/>
      </w:pPr>
      <w:r>
        <w:rPr>
          <w:b/>
        </w:rPr>
        <w:t xml:space="preserve">Abstract (EN): </w:t>
      </w:r>
      <w:r>
        <w:t>Chronic pain caused by peripheral nerve injury involves altered spinal pain transduction, where enhanced excitatory and/or reduced inhibitory pathways can drive pain. The cellular transcriptional changes that sustain entrenched neuropathic pain remain poorly understood. Here we use single-nucleus and spatial transcriptomic approaches in male mice to investigate spinal cellular and molecular programs associated with entrenched and treated neuropathic pain. We show that nerve injury leads to broad upregulation of synaptic and excitatory pathways in dorsal neuronal and glial populations. We confirm that these core populations are conserved in the human spinal cord, and show that an effective pain therapy dampens neuropathic transcriptional programs. These data identify spinal cell populations and pathways associated with neuropathic pain states and therapeutic reversal.</w:t>
      </w:r>
    </w:p>
    <w:p>
      <w:pPr>
        <w:spacing w:before="120" w:after="120"/>
      </w:pPr>
      <w:r>
        <w:rPr>
          <w:sz w:val="18"/>
        </w:rPr>
        <w:t>——————————————————————————————————————————————————————————————————————</w:t>
      </w:r>
    </w:p>
    <w:p>
      <w:pPr>
        <w:spacing w:before="160" w:after="40" w:line="240" w:lineRule="auto"/>
      </w:pPr>
      <w:r>
        <w:rPr>
          <w:b/>
        </w:rPr>
        <w:t xml:space="preserve">[411] </w:t>
      </w:r>
      <w:hyperlink r:id="rId1096">
        <w:r>
          <w:rPr>
            <w:color w:val="1155CC"/>
            <w:u w:val="single"/>
          </w:rPr>
          <w:t>人肺实质的细胞特征和衰老时钟</w:t>
        </w:r>
      </w:hyperlink>
    </w:p>
    <w:p>
      <w:pPr>
        <w:spacing w:before="0" w:after="80"/>
      </w:pPr>
      <w:r>
        <w:rPr>
          <w:i/>
          <w:sz w:val="20"/>
        </w:rPr>
        <w:t>EN: Cellular hallmarks and aging clock of the human lung parenchyma</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衰老会影响肺功能，使老年人容易患上呼吸系统疾病；然而，肺衰老的细胞和分子机制尚不完全清楚。利用分别来自 184 个和 70 个肺实质样本的单细胞和空间转录组数据，我们提出了一个分析平台来剖析与肺衰老的多个标志相关的细胞组成、基因表达模块和调控变化。我们的研究结果表明，衰老标记物与细胞类型特异性年龄相关，并且随着年龄的增长，肺泡细胞增殖、自分泌 WNT 信号传导和干性指标下降。对骨髓细胞的分析揭示了巨噬细胞亚群的整体减少以及线粒体功能障碍和炎症信号传导的激增。相比之下，肺实质T细胞随着年龄的增长而扩张，并在老年肺和血液样本中表现出更高的干扰素γ表达、细胞毒活性和衰竭，表明与年龄相关的免疫功能障碍。细胞相互作用和空间分析表明异常的骨髓-T 细胞串扰，导致 T 细胞趋化性和激活增加。最后，我们使用机器学习来预测肺部生物学年龄并识别肺部衰老和疾病风险的假定生物标志物。</w:t>
      </w:r>
    </w:p>
    <w:p>
      <w:pPr>
        <w:spacing w:before="0" w:after="200" w:lineRule="auto" w:line="276"/>
      </w:pPr>
      <w:r>
        <w:rPr>
          <w:b/>
        </w:rPr>
        <w:t xml:space="preserve">Abstract (EN): </w:t>
      </w:r>
      <w:r>
        <w:t>Aging affects lung function, predisposing older adults to respiratory diseases; however, the cellular and molecular mechanisms of lung aging are not fully understood. Leveraging single-cell and spatial transcriptomics data from 184 and 70 lung parenchyma samples, respectively, we present an analytical platform to dissect the cell composition, gene expression modules, and regulatory changes linked to multiple hallmarks of lung aging. Our findings show cell type-specific age-association of senescence markers and a decline in alveolar cell proliferation, autocrine WNT signaling, and stemness indicators with advancing age. Analysis of myeloid cells reveals a global reduction in macrophage subsets and a surge in mitochondrial dysfunction and inflammatory signaling. In contrast, lung parenchyma T cells expand with age and exhibit heightened interferon gamma expression, cytotoxic activity, and exhaustion in older lung and blood samples, indicative of age-related immune dysfunction. Cell interaction and spatial analysis demonstrate aberrant myeloid-T cell cross-talk, leading to an increase in T cell chemotaxis and activation. Lastly, we use machine learning to predict lung biological age and identify putative biomarkers of lung aging and disease risk.</w:t>
      </w:r>
    </w:p>
    <w:p>
      <w:pPr>
        <w:spacing w:before="120" w:after="120"/>
      </w:pPr>
      <w:r>
        <w:rPr>
          <w:sz w:val="18"/>
        </w:rPr>
        <w:t>——————————————————————————————————————————————————————————————————————</w:t>
      </w:r>
    </w:p>
    <w:p>
      <w:pPr>
        <w:spacing w:before="160" w:after="40" w:line="240" w:lineRule="auto"/>
      </w:pPr>
      <w:r>
        <w:rPr>
          <w:b/>
        </w:rPr>
        <w:t xml:space="preserve">[412] </w:t>
      </w:r>
      <w:hyperlink r:id="rId1097">
        <w:r>
          <w:rPr>
            <w:color w:val="1155CC"/>
            <w:u w:val="single"/>
          </w:rPr>
          <w:t>具有进化保守的天冬氨酸-赖氨酸二元体的双功能DNA糖基化酶的统一催化机制</w:t>
        </w:r>
      </w:hyperlink>
    </w:p>
    <w:p>
      <w:pPr>
        <w:spacing w:before="0" w:after="80"/>
      </w:pPr>
      <w:r>
        <w:rPr>
          <w:i/>
          <w:sz w:val="20"/>
        </w:rPr>
        <w:t>EN: A unified catalytic mechanism in bifunctional DNA glycosylases with an evolutionarily conserved aspartate-lysine dyad</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双功能糖基化酶（嘌呤的 OGG1 和嘧啶的 NTH1）通过连续的糖基化酶和 AP 裂解酶反应修复氧化的 DNA 碱基，但它们的催化关系和裂解酶活性的生物学相关性仍未解决。在这里，我们解决了在关键损伤识别和催化就绪状态下捕获的古菌和人类 Ogg1 和 Nth1 的晶体结构，并对其完整反应轨迹进行了从头算分子动力学模拟。因此，我们为 OGG1 和 NTH1 定义了一个保存了 30 亿年的统一催化机制，与单功能糖基化酶的经典氧碳鎓离子机制不同。虽然它们的氧化底物识别存在差异，但它们的化学作用集中在去糖基化步骤之前的核糖质子化和开环上。由保守的天冬氨酸-赖氨酸二联体介导的酸碱催化降低了 C-N 键裂解屏障，而 OGG1 中切除的 8-oxoG 碱基或 NTH1 中的保守天冬氨酸则促进 AP 裂解酶反应。此外，人 OGG1 的结构与产物 DNA 结合，并与催化口袋内的产物 DNA 和强效小分子激动剂 F51 结合，表明激动剂通过促进产物释放来加速酶周转。总之，这些发现阐明了双功能糖基酶的催化逻辑，使得能够开发化学工具来研究裂解酶活性以及癌症和衰老中氧化损伤的治疗方法。</w:t>
      </w:r>
    </w:p>
    <w:p>
      <w:pPr>
        <w:spacing w:before="0" w:after="200" w:lineRule="auto" w:line="276"/>
      </w:pPr>
      <w:r>
        <w:rPr>
          <w:b/>
        </w:rPr>
        <w:t xml:space="preserve">Abstract (EN): </w:t>
      </w:r>
      <w:r>
        <w:t>Bifunctional glycosylases, OGG1 for purines and NTH1 for pyrimidines, repair oxidized DNA bases via consecutive glycosylase and AP-lyase reactions, yet their catalytic relationships and lyase activity’s biological relevance remain unresolved. Here, we solved crystal structures of archaeal and human Ogg1 and Nth1 captured in key damage-recognition and catalysis-ready states, complemented by ab initio molecular dynamics simulations of their complete reaction trajectories. We thereby define a unified catalytic mechanism for OGG1 and NTH1 conserved over three billion years, distinct from the canonical oxocarbenium-ion mechanism of monofunctional glycosylases. While divergent in their oxidized substrate recognition, their chemistry converged on ribose protonation and ring opening that precede the deglycosylation step. Acid-base catalysis mediated by a conserved aspartate-lysine dyad lowers the C–N bond cleavage barrier, while the excised 8-oxoG base in OGG1 or a conserved aspartate in NTH1 facilitates the AP-lyase reaction. Moreover, structures of human OGG1 bound to product DNA and to product DNA plus a potent small-molecule agonist F51, within the catalytic pocket, reveal that agonists accelerate enzyme turnover by promoting product release. Together, these findings clarify the catalytic logic of bifunctional glycosylases, enabling the development of chemical tools to interrogate lyase activity and therapeutics for oxidative damage in cancer and aging.</w:t>
      </w:r>
    </w:p>
    <w:p>
      <w:pPr>
        <w:spacing w:before="120" w:after="120"/>
      </w:pPr>
      <w:r>
        <w:rPr>
          <w:sz w:val="18"/>
        </w:rPr>
        <w:t>——————————————————————————————————————————————————————————————————————</w:t>
      </w:r>
    </w:p>
    <w:p>
      <w:pPr>
        <w:spacing w:before="160" w:after="40" w:line="240" w:lineRule="auto"/>
      </w:pPr>
      <w:r>
        <w:rPr>
          <w:b/>
        </w:rPr>
        <w:t xml:space="preserve">[413] </w:t>
      </w:r>
      <w:hyperlink r:id="rId1098">
        <w:r>
          <w:rPr>
            <w:color w:val="1155CC"/>
            <w:u w:val="single"/>
          </w:rPr>
          <w:t>动态纳米孔中波动驱动的质量选择性传输</w:t>
        </w:r>
      </w:hyperlink>
    </w:p>
    <w:p>
      <w:pPr>
        <w:spacing w:before="0" w:after="80"/>
      </w:pPr>
      <w:r>
        <w:rPr>
          <w:i/>
          <w:sz w:val="20"/>
        </w:rPr>
        <w:t>EN: Fluctuation-driven mass-selective transport in dynamic nanopores</w:t>
      </w:r>
    </w:p>
    <w:p>
      <w:pPr>
        <w:spacing w:before="0" w:after="120"/>
      </w:pPr>
      <w:r>
        <w:rPr>
          <w:b/>
        </w:rPr>
        <w:t xml:space="preserve">Source: </w:t>
      </w:r>
      <w:r>
        <w:t>Physical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精确的分子分离对于纳米技术至关重要。然而，对于具有几乎相同特性的物种，基于孔径和主客体相互作用的静态设计通常会失败。为了克服这个问题，我们通过建立一个通用的预测框架来阐明纳米孔动力学如何控制传输和分离。我们证明，波动周期势的扩散在最佳波动率下最大化。至关重要的是，该速率取决于分子质量，将细微的质量差异转化为显着的动力学差异。通过将该框架与典型软多孔晶体的量子化学能量景观相结合，我们确定了控制选择性的两个因素：能垒波动的幅度以及纳米孔动力学与最大化选择性的能量波动率之间的对齐。这些结果将纳米孔动力学确立为通过配体取代或外部场调节结构动力学来控制分离的关键设计维度，为分离材料的合理设计提供了理论基础。</w:t>
      </w:r>
    </w:p>
    <w:p>
      <w:pPr>
        <w:spacing w:before="0" w:after="200" w:lineRule="auto" w:line="276"/>
      </w:pPr>
      <w:r>
        <w:rPr>
          <w:b/>
        </w:rPr>
        <w:t xml:space="preserve">Abstract (EN): </w:t>
      </w:r>
      <w:r>
        <w:t>Precise molecular separation is essential in nanotechnology. However, static designs based on pore size and host-guest interactions often fail for species with nearly identical properties. To overcome this, we elucidate how nanopore dynamics govern transport and separation by establishing a general, predictive framework. We demonstrate that diffusion in a fluctuating periodic potential is maximized at an optimal fluctuation rate. Critically, this rate depends on molecular mass, translating subtle mass differences into significant kinetic disparities. By integrating this framework with quantum-chemical energy landscapes for archetypal soft porous crystals, we identify two factors governing selectivity: the magnitude of energy-barrier fluctuations and the alignment between nanopore dynamics and the energy-fluctuation rate that maximizes selectivity. These results establish nanopore dynamics as a key design dimension for controlling separation by tuning structural dynamics via ligand substitution or external fields, providing a theoretical foundation for the rational design of separation materials.</w:t>
      </w:r>
    </w:p>
    <w:p>
      <w:pPr>
        <w:spacing w:before="120" w:after="120"/>
      </w:pPr>
      <w:r>
        <w:rPr>
          <w:sz w:val="18"/>
        </w:rPr>
        <w:t>——————————————————————————————————————————————————————————————————————</w:t>
      </w:r>
    </w:p>
    <w:p>
      <w:pPr>
        <w:spacing w:before="160" w:after="40" w:line="240" w:lineRule="auto"/>
      </w:pPr>
      <w:r>
        <w:rPr>
          <w:b/>
        </w:rPr>
        <w:t xml:space="preserve">[414] </w:t>
      </w:r>
      <w:hyperlink r:id="rId1099">
        <w:r>
          <w:rPr>
            <w:color w:val="1155CC"/>
            <w:u w:val="single"/>
          </w:rPr>
          <w:t>丁酸盐表观遗传学许可持续的上皮-T 细胞串扰以实现肠道免疫耐受</w:t>
        </w:r>
      </w:hyperlink>
    </w:p>
    <w:p>
      <w:pPr>
        <w:spacing w:before="0" w:after="80"/>
      </w:pPr>
      <w:r>
        <w:rPr>
          <w:i/>
          <w:sz w:val="20"/>
        </w:rPr>
        <w:t>EN: Butyrate epigenetically licenses sustained epithelial-T cell crosstalk for intestinal immune tolerance</w:t>
      </w:r>
    </w:p>
    <w:p>
      <w:pPr>
        <w:spacing w:before="0" w:after="120"/>
      </w:pPr>
      <w:r>
        <w:rPr>
          <w:b/>
        </w:rPr>
        <w:t xml:space="preserve">Source: </w:t>
      </w:r>
      <w:r>
        <w:t>Biological sciences : Nature Communications subject feeds</w:t>
      </w:r>
      <w:r>
        <w:t xml:space="preserve">    </w:t>
      </w:r>
      <w:r>
        <w:rPr>
          <w:b/>
        </w:rPr>
        <w:t xml:space="preserve">Pub date: </w:t>
      </w:r>
      <w:r>
        <w:t>2026-07-15 00:00:00+00:00</w:t>
      </w:r>
    </w:p>
    <w:p>
      <w:pPr>
        <w:spacing w:before="0" w:after="120"/>
      </w:pPr>
      <w:r>
        <w:rPr>
          <w:b/>
        </w:rPr>
        <w:t xml:space="preserve">Notes: </w:t>
      </w:r>
      <w:r>
        <w:t>abstract_source=nature_html</w:t>
      </w:r>
    </w:p>
    <w:p>
      <w:pPr>
        <w:spacing w:before="0" w:after="80" w:lineRule="auto" w:line="276"/>
      </w:pPr>
      <w:r>
        <w:rPr>
          <w:b/>
        </w:rPr>
        <w:t xml:space="preserve">摘要（ZH）: </w:t>
      </w:r>
      <w:r>
        <w:t>肠上皮细胞（IEC）是直接接触腔内微生物群刺激的主要细胞类型，在宿主-微生物相互作用中发挥着关键作用。然而，IEC 如何与潜在的免疫细胞沟通以维持体内平衡仍知之甚少。此外，IEC 感知微生物群衍生的刺激以引发这种串扰的机制尚未完全了解。在这里，我们证明口服肠道微生物代谢物丁酸盐可诱导 CD4+ T 细胞持续产生 IL-10，即使在停止治疗后也能提供针对肠道炎症的持久保护。在无菌小鼠中也观察到这种持久的免疫调节作用，表明丁酸盐调节的肠道环境的建立。通过代谢组学分析，我们确定 N1-乙酰亚精胺是一种代谢物，有助于丁酸盐处理的 IEC 条件培养基的 IL-10 诱导活性。从机制上讲，丁酸盐诱导 IEC 中乙酰多胺生物合成酶 Sat1 的持续转录和表观遗传激活，催化亚精胺乙酰化生成 N1-乙酰亚精胺，并且这种激活在丁酸盐撤除后持续存在。总之，我们的研究结果揭示了丁酸传感在 IEC 和 T 细胞之间建立持续串扰的机制，从而通过表观遗传调控和上皮代谢重编程维持肠道免疫耐受。</w:t>
      </w:r>
    </w:p>
    <w:p>
      <w:pPr>
        <w:spacing w:before="0" w:after="200" w:lineRule="auto" w:line="276"/>
      </w:pPr>
      <w:r>
        <w:rPr>
          <w:b/>
        </w:rPr>
        <w:t xml:space="preserve">Abstract (EN): </w:t>
      </w:r>
      <w:r>
        <w:t>Intestinal epithelial cells (IEC) are the primary cell type in direct contact with stimuli from the luminal microbiota, playing a critical role in host-microbe interactions. However, how IECs communicate with underlying immune cells to maintain homeostasis remains poorly understood. In addition, the mechanisms by which IECs sense microbiota-derived stimuli to initiate this crosstalk are not yet fully understood. Here, we demonstrate that oral administration of the gut microbiota metabolite butyrate induces sustained IL-10 production in CD4⁺ T cells, conferring long-lasting protection against intestinal inflammation even after treatment withdrawal. This persistent immunoregulatory effect is also observed in germ-free mice, indicating the establishment of a butyrate-conditioned intestinal environment. By metabolomic profiling, we identify N1-acetylspermidine as a metabolite contributing to the IL-10-inducing activity of butyrate-treated IEC-conditioned medium. Mechanistically, butyrate induces sustained transcriptional and epigenetic activation of the acetylpolyamine biosynthetic enzyme Sat1 in IECs, which catalyzes the acetylation of spermidine to generate N1-acetylspermidine, and this activation persists after butyrate withdrawal. Together, our findings reveal a mechanism by which butyrate sensing establishes persistent crosstalk between IECs and T cells, thereby maintaining intestinal immune tolerance through epigenetic regulation and reprogramming of epithelial metabolism.</w:t>
      </w:r>
    </w:p>
    <w:p>
      <w:pPr>
        <w:spacing w:before="120" w:after="120"/>
      </w:pPr>
      <w:r>
        <w:rPr>
          <w:sz w:val="18"/>
        </w:rPr>
        <w:t>——————————————————————————————————————————————————————————————————————</w:t>
      </w:r>
    </w:p>
    <w:p>
      <w:pPr>
        <w:spacing w:before="160" w:after="40" w:line="240" w:lineRule="auto"/>
      </w:pPr>
      <w:r>
        <w:rPr>
          <w:b/>
        </w:rPr>
        <w:t xml:space="preserve">[415] </w:t>
      </w:r>
      <w:hyperlink r:id="rId1100">
        <w:r>
          <w:rPr>
            <w:color w:val="1155CC"/>
            <w:u w:val="single"/>
          </w:rPr>
          <w:t>最优控制驱动范德华磁体的超快且节能的磁化开关</w:t>
        </w:r>
      </w:hyperlink>
    </w:p>
    <w:p>
      <w:pPr>
        <w:spacing w:before="0" w:after="80"/>
      </w:pPr>
      <w:r>
        <w:rPr>
          <w:i/>
          <w:sz w:val="20"/>
        </w:rPr>
        <w:t>EN: Optimal Control Drives Ultrafast and Energy‐Efficient Magnetization Switching in Van der Waals Magnets</w:t>
      </w:r>
    </w:p>
    <w:p>
      <w:pPr>
        <w:spacing w:before="0" w:after="120"/>
      </w:pPr>
      <w:r>
        <w:rPr>
          <w:b/>
        </w:rPr>
        <w:t xml:space="preserve">Source: </w:t>
      </w:r>
      <w:r>
        <w:t>Wiley: Advanced Materials: Table of Contents</w:t>
      </w:r>
      <w:r>
        <w:t xml:space="preserve">    </w:t>
      </w:r>
      <w:r>
        <w:rPr>
          <w:b/>
        </w:rPr>
        <w:t xml:space="preserve">Pub date: </w:t>
      </w:r>
      <w:r>
        <w:t>2026-07-15 06:58:16+00:00</w:t>
      </w:r>
      <w:r>
        <w:t xml:space="preserve">    </w:t>
      </w:r>
      <w:r>
        <w:rPr>
          <w:b/>
        </w:rPr>
        <w:t xml:space="preserve">DOI: </w:t>
      </w:r>
      <w:hyperlink r:id="rId1101">
        <w:r>
          <w:rPr>
            <w:color w:val="1155CC"/>
            <w:u w:val="single"/>
          </w:rPr>
          <w:t>10.1002/adma.202523059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以数据为中心的技术的加速扩展正在急剧增加信息存储的能源负担，给磁开关的效率带来前所未有的压力。传统的场驱动反转曾经是磁存储器的基础，但由于其高能源成本、有限的空间选择性和较差的可扩展性，在现代架构中已变得不切实际，导致基于自旋转移和自旋轨道扭矩（STT、SOT）的电流驱动技术占据主导地位。在这里，我们表明，最优控制理论（OCT）能够实现精确成形的磁场脉冲，从而解锁范德华磁体中的超快、确定性和异常节能的磁化开关，使场驱动反转与现有的基于电流的方法竞争，并且在某些情况下优于现有的基于电流的方法。使用 、 和 CrSBr 作为代表性系统，我们表明 OCT 诱导的均匀自旋旋转在皮秒范围 ( ps) 内完成，开关能量 ( nJ) 比传统场协议 ( nJ) 低两个数量级。优化的场在比标准方法小十倍以上的幅度下运行，并且通过利用阻尼和各向异性等材料特定参数，可以实现低飞焦开关能量，超越 SOT 或 STT 方案。我们的研究结果表明，OCT 场实现可以补充或与电流和光驱动方法相结合，而不是过时，从而开辟一个新的设计空间，在该空间中，磁开关可以通过相互作用来定制</w:t>
      </w:r>
    </w:p>
    <w:p>
      <w:pPr>
        <w:spacing w:before="0" w:after="200" w:lineRule="auto" w:line="276"/>
      </w:pPr>
      <w:r>
        <w:rPr>
          <w:b/>
        </w:rPr>
        <w:t xml:space="preserve">Abstract (EN): </w:t>
      </w:r>
      <w:r>
        <w:t>The accelerating expansion of data‐centric technologies is sharply increasing the energy burden of information storage, placing unprecedented pressure on the efficiency of magnetic switching. Conventional field‐driven reversal, once the foundation of magnetic memory, has become impractical in modern architectures due to its high energy cost, limited spatial selectivity, and poor scalability, leading to the dominance of current‐driven techniques based on spin‐transfer‐ and spin–orbit‐torque (STT, SOT). Here we show that optimal control theory (OCT) enables precisely shaped magnetic‐field pulses that unlock ultrafast, deterministic, and exceptionally energy‐efficient magnetization switching in van der Waals magnets, making field‐driven reversal competitive with, and in some regimes superior to, established current‐based approaches. Using , , and CrSBr as representative systems, we show that OCT‐induced uniform spin rotations completed within the picosecond range ( ps) with switching energies ( nJ) up to two orders of magnitude lower than conventional field protocols ( nJ). Optimized fields operate at amplitudes more than tenfold smaller than standard methods, and by exploiting material‐specific parameters such as damping and anisotropy, low femtojoule switching energies become attainable, surpassing SOT or STT schemes. Our findings suggest that, rather than being obsolete, OCT‐field implementations could complement or hybridize with current‐ and light‐driven approaches, opening a new design space where magnetic switching is tailored by the interplay of fields, currents, and photons to achieve unprecedented efficiency, speed, and scalability.</w:t>
      </w:r>
    </w:p>
    <w:p>
      <w:pPr>
        <w:spacing w:before="120" w:after="120"/>
      </w:pPr>
      <w:r>
        <w:rPr>
          <w:sz w:val="18"/>
        </w:rPr>
        <w:t>——————————————————————————————————————————————————————————————————————</w:t>
      </w:r>
    </w:p>
    <w:p>
      <w:pPr>
        <w:spacing w:before="160" w:after="40" w:line="240" w:lineRule="auto"/>
      </w:pPr>
      <w:r>
        <w:rPr>
          <w:b/>
        </w:rPr>
        <w:t xml:space="preserve">[416] </w:t>
      </w:r>
      <w:hyperlink r:id="rId1102">
        <w:r>
          <w:rPr>
            <w:color w:val="1155CC"/>
            <w:u w:val="single"/>
          </w:rPr>
          <w:t>解耦活化与保存：选择性光催化甲烷氧化有机框架的结构设计原理</w:t>
        </w:r>
      </w:hyperlink>
    </w:p>
    <w:p>
      <w:pPr>
        <w:spacing w:before="0" w:after="80"/>
      </w:pPr>
      <w:r>
        <w:rPr>
          <w:i/>
          <w:sz w:val="20"/>
        </w:rPr>
        <w:t>EN: Decoupling Activation and Preservation: Architectural Design Principles of Organic Frameworks for Selective Photocatalytic Methane Oxidation</w:t>
      </w:r>
    </w:p>
    <w:p>
      <w:pPr>
        <w:spacing w:before="0" w:after="120"/>
      </w:pPr>
      <w:r>
        <w:rPr>
          <w:b/>
        </w:rPr>
        <w:t xml:space="preserve">Source: </w:t>
      </w:r>
      <w:r>
        <w:t>Wiley: Advanced Materials: Table of Contents</w:t>
      </w:r>
      <w:r>
        <w:t xml:space="preserve">    </w:t>
      </w:r>
      <w:r>
        <w:rPr>
          <w:b/>
        </w:rPr>
        <w:t xml:space="preserve">Pub date: </w:t>
      </w:r>
      <w:r>
        <w:t>2026-07-15 07:00:00+00:00</w:t>
      </w:r>
      <w:r>
        <w:t xml:space="preserve">    </w:t>
      </w:r>
      <w:r>
        <w:rPr>
          <w:b/>
        </w:rPr>
        <w:t xml:space="preserve">DOI: </w:t>
      </w:r>
      <w:hyperlink r:id="rId1103">
        <w:r>
          <w:rPr>
            <w:color w:val="1155CC"/>
            <w:u w:val="single"/>
          </w:rPr>
          <w:t>10.1002/adma.74071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光催化甲烷（CH</w:t>
      </w:r>
      <w:r>
        <w:rPr>
          <w:vertAlign w:val="subscript"/>
        </w:rPr>
        <w:t>4</w:t>
      </w:r>
      <w:r>
        <w:t>）转化面临着两难的困境，C─H键的活化需要大量的氧化驱动力，而部分氧化的C</w:t>
      </w:r>
      <w:r>
        <w:rPr>
          <w:vertAlign w:val="subscript"/>
        </w:rPr>
        <w:t>1</w:t>
      </w:r>
      <w:r>
        <w:t>产品本质上更容易进一步氧化。因此，在高价值 CH 领域，提高光催化通量同时避免过度氧化仍然具有挑战性</w:t>
      </w:r>
      <w:r>
        <w:rPr>
          <w:vertAlign w:val="subscript"/>
        </w:rPr>
        <w:t>4</w:t>
      </w:r>
      <w:r>
        <w:t>转换。有机半导体平台，包括聚合碳氮化物（PCN）、金属有机骨架（MOF）和共价有机骨架（COF），表现出与传统无机对应物根本不同的结构特征。它们的电子态源自分子构建单元，其框架允许氧化还原中心的受控定位、电荷转移路径的调节和孔隙环境的定义，从而能够系统地调节能带能量、载流子分布、氧活化模式和光催化剂的质子管理。本综述探讨了电子结构工程、界面电荷路径、活性物质控制和微环境设计如何影响 CH 中的通路选择</w:t>
      </w:r>
      <w:r>
        <w:rPr>
          <w:vertAlign w:val="subscript"/>
        </w:rPr>
        <w:t>4</w:t>
      </w:r>
      <w:r>
        <w:t>光氧化。特别关注有利于缔合多电子氧还原或能量转移过程同时抑制羟基自由基的机制（</w:t>
      </w:r>
      <w:r>
        <w:t xml:space="preserve"> </w:t>
      </w:r>
      <w:r>
        <w:t>•</w:t>
      </w:r>
      <w:r>
        <w:t xml:space="preserve"> </w:t>
      </w:r>
      <w:r>
        <w:t>OH)-多米</w:t>
      </w:r>
    </w:p>
    <w:p>
      <w:pPr>
        <w:spacing w:before="0" w:after="200" w:lineRule="auto" w:line="276"/>
      </w:pPr>
      <w:r>
        <w:rPr>
          <w:b/>
        </w:rPr>
        <w:t xml:space="preserve">Abstract (EN): </w:t>
      </w:r>
      <w:r>
        <w:t>Photocatalytic methane (CH</w:t>
      </w:r>
      <w:r>
        <w:rPr>
          <w:vertAlign w:val="subscript"/>
        </w:rPr>
        <w:t>4</w:t>
      </w:r>
      <w:r>
        <w:t>) conversion faces a dilemma, where C─H bond activation requires a substantial oxidative driving force, whereas partially oxidized C</w:t>
      </w:r>
      <w:r>
        <w:rPr>
          <w:vertAlign w:val="subscript"/>
        </w:rPr>
        <w:t>1</w:t>
      </w:r>
      <w:r>
        <w:t>products are intrinsically more susceptible to further oxidation. As a result, strengthening photocatalytic throughput while avoiding overoxidation remains challenging in the field of highly valuable CH</w:t>
      </w:r>
      <w:r>
        <w:rPr>
          <w:vertAlign w:val="subscript"/>
        </w:rPr>
        <w:t>4</w:t>
      </w:r>
      <w:r>
        <w:t>conversion. Organic semiconductor platforms, including polymeric carbon nitrides (PCN), metal–organic frameworks (MOFs), and covalent organic frameworks (COFs), exhibit structural features that fundamentally differ from those of conventional inorganic counterparts. Their electronic states originate from molecular building units, and their frameworks allow controlled positioning of redox centers, modulation of charge‐transfer pathways, and definition of pore environments, enabling systematic regulation of band energetics, carrier distribution, oxygen activation modes, and proton management of photocatalysts. This review examines how electronic structure engineering, interfacial charge routing, reactive species control, and microenvironment design influence pathway selection in CH</w:t>
      </w:r>
      <w:r>
        <w:rPr>
          <w:vertAlign w:val="subscript"/>
        </w:rPr>
        <w:t>4</w:t>
      </w:r>
      <w:r>
        <w:t>photooxidation. Particular attention is given to mechanisms that favor associative multi‐electron oxygen reduction or energy‐transfer processes while suppressing hydroxyl radical (</w:t>
      </w:r>
      <w:r>
        <w:t xml:space="preserve"> </w:t>
      </w:r>
      <w:r>
        <w:t>•</w:t>
      </w:r>
      <w:r>
        <w:t xml:space="preserve"> </w:t>
      </w:r>
      <w:r>
        <w:t>OH)‐dominated chemistry. Although CH</w:t>
      </w:r>
      <w:r>
        <w:rPr>
          <w:vertAlign w:val="subscript"/>
        </w:rPr>
        <w:t>4</w:t>
      </w:r>
      <w:r>
        <w:t>‐specific systems remain limited, mechanistic insights from related photocatalytic reactions provide transferable design principles. Establishing quantitative relationships between architectural parameters and reactive‐species identity is essential for advancing selective solar‐driven C</w:t>
      </w:r>
      <w:r>
        <w:rPr>
          <w:vertAlign w:val="subscript"/>
        </w:rPr>
        <w:t>1</w:t>
      </w:r>
      <w:r>
        <w:t>oxidation.</w:t>
      </w:r>
    </w:p>
    <w:p>
      <w:pPr>
        <w:spacing w:before="120" w:after="120"/>
      </w:pPr>
      <w:r>
        <w:rPr>
          <w:sz w:val="18"/>
        </w:rPr>
        <w:t>——————————————————————————————————————————————————————————————————————</w:t>
      </w:r>
    </w:p>
    <w:p>
      <w:pPr>
        <w:spacing w:before="160" w:after="40" w:line="240" w:lineRule="auto"/>
      </w:pPr>
      <w:r>
        <w:rPr>
          <w:b/>
        </w:rPr>
        <w:t xml:space="preserve">[417] </w:t>
      </w:r>
      <w:hyperlink r:id="rId1104">
        <w:r>
          <w:rPr>
            <w:color w:val="1155CC"/>
            <w:u w:val="single"/>
          </w:rPr>
          <w:t>更正 Chang 等人，植物致病线虫外泌体重塑载体气管以增强病原体传播</w:t>
        </w:r>
      </w:hyperlink>
    </w:p>
    <w:p>
      <w:pPr>
        <w:spacing w:before="0" w:after="80"/>
      </w:pPr>
      <w:r>
        <w:rPr>
          <w:i/>
          <w:sz w:val="20"/>
        </w:rPr>
        <w:t>EN: Correction for Chang et al., Plant pathogenic nematode exosomes remodel vector tracheae to enhance pathogen transmission</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05">
        <w:r>
          <w:rPr>
            <w:color w:val="1155CC"/>
            <w:u w:val="single"/>
          </w:rPr>
          <w:t>10.1073/pnas.2622410123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1106">
        <w:r>
          <w:rPr>
            <w:color w:val="1155CC"/>
            <w:u w:val="single"/>
          </w:rPr>
          <w:t>一群初级传入感觉神经元通过小鼠伤害性应对行为介导疼痛缓解</w:t>
        </w:r>
      </w:hyperlink>
    </w:p>
    <w:p>
      <w:pPr>
        <w:spacing w:before="0" w:after="80"/>
      </w:pPr>
      <w:r>
        <w:rPr>
          <w:i/>
          <w:sz w:val="20"/>
        </w:rPr>
        <w:t>EN: A population of primary afferent sensory neurons mediates pain relief through nocifensive coping behavior in mice</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07">
        <w:r>
          <w:rPr>
            <w:color w:val="1155CC"/>
            <w:u w:val="single"/>
          </w:rPr>
          <w:t>10.1073/pnas.2601766123</w:t>
        </w:r>
      </w:hyperlink>
    </w:p>
    <w:p>
      <w:pPr>
        <w:spacing w:before="0" w:after="120"/>
      </w:pPr>
      <w:r>
        <w:rPr>
          <w:b/>
        </w:rPr>
        <w:t xml:space="preserve">Notes: </w:t>
      </w:r>
      <w:r>
        <w:t>abstract_source=crossref</w:t>
      </w:r>
    </w:p>
    <w:p>
      <w:pPr>
        <w:spacing w:before="0" w:after="80" w:lineRule="auto" w:line="276"/>
      </w:pPr>
      <w:r>
        <w:rPr>
          <w:b/>
        </w:rPr>
        <w:t xml:space="preserve">摘要（ZH）: </w:t>
      </w:r>
      <w:r>
        <w:t>当暴露于有害的皮肤刺激时，动物会表现出伤害行为，包括限制组织损伤的快速防御反射和随后的缓解疼痛的应对行为（最常见的是舔受影响的区域）。尽管它无处不在，但通过舔来缓解疼痛的神经机制仍然知之甚少。在这里，我们证明 Npy2r-Cre</w:t>
      </w:r>
      <w:r>
        <w:t xml:space="preserve"> </w:t>
      </w:r>
      <w:r>
        <w:t>+</w:t>
      </w:r>
      <w:r>
        <w:t xml:space="preserve"> </w:t>
      </w:r>
      <w:r>
        <w:t>背根神经节 (DRG) 中的初级感觉神经元是一组 Aβ 纤维，其中包括触觉敏感、快速适应的低阈值机械感受器，对于这一过程至关重要。缺乏 Npy2r-Cre 的小鼠</w:t>
      </w:r>
      <w:r>
        <w:t xml:space="preserve"> </w:t>
      </w:r>
      <w:r>
        <w:t>+</w:t>
      </w:r>
      <w:r>
        <w:t xml:space="preserve"> </w:t>
      </w:r>
      <w:r>
        <w:t>足底注射辣椒素或福尔马林后，神经元表现出应对行为持续时间的显着延长，但频率没有延长。相反，Npy2r-Cre 的光遗传学激活</w:t>
      </w:r>
      <w:r>
        <w:t xml:space="preserve"> </w:t>
      </w:r>
      <w:r>
        <w:t>+</w:t>
      </w:r>
      <w:r>
        <w:t xml:space="preserve"> </w:t>
      </w:r>
      <w:r>
        <w:t>神经元对刺激引起的疼痛产生减弱作用。电生理分析表明 Npy2r-Cre</w:t>
      </w:r>
      <w:r>
        <w:t xml:space="preserve"> </w:t>
      </w:r>
      <w:r>
        <w:t>+</w:t>
      </w:r>
      <w:r>
        <w:t xml:space="preserve"> </w:t>
      </w:r>
      <w:r>
        <w:t>神经元与脊髓背角 (SDH) 胶质质中的神经元形成功能性突触连接，并且它们的激活抑制了 C 纤维诱发的 SDH 层 I 中神经元的兴奋，该区域与向大脑传递伤害性感受有关。这些发现共同确定了 Npy2r-Cre</w:t>
      </w:r>
      <w:r>
        <w:t xml:space="preserve"> </w:t>
      </w:r>
      <w:r>
        <w:t>+</w:t>
      </w:r>
      <w:r>
        <w:t xml:space="preserve"> </w:t>
      </w:r>
      <w:r>
        <w:t>DRG 神经元作为门控 SDH 中伤害感受传递并通过应对行为调节疼痛缓解的关键神经基质。</w:t>
      </w:r>
    </w:p>
    <w:p>
      <w:pPr>
        <w:spacing w:before="0" w:after="200" w:lineRule="auto" w:line="276"/>
      </w:pPr>
      <w:r>
        <w:rPr>
          <w:b/>
        </w:rPr>
        <w:t xml:space="preserve">Abstract (EN): </w:t>
      </w:r>
      <w:r>
        <w:t>When exposed to noxious cutaneous stimuli, animals exhibit nocifensive behaviors, including rapid defensive reflexes that limit tissue damage and subsequent coping behaviors—most commonly licking of the affected area—that alleviate pain. Despite its ubiquity, the neural mechanism underlying pain relief through licking remains poorly understood. Here, we demonstrate that Npy2r-Cre</w:t>
      </w:r>
      <w:r>
        <w:t xml:space="preserve"> </w:t>
      </w:r>
      <w:r>
        <w:t>+</w:t>
      </w:r>
      <w:r>
        <w:t xml:space="preserve"> </w:t>
      </w:r>
      <w:r>
        <w:t>primary sensory neurons in the dorsal root ganglion (DRG), a population of Aβ fibers that includes touch-sensitive, rapidly adapting low-threshold mechanoreceptors, are critical for this process. Mice lacking Npy2r-Cre</w:t>
      </w:r>
      <w:r>
        <w:t xml:space="preserve"> </w:t>
      </w:r>
      <w:r>
        <w:t>+</w:t>
      </w:r>
      <w:r>
        <w:t xml:space="preserve"> </w:t>
      </w:r>
      <w:r>
        <w:t>neurons exhibited a significant prolongation of coping behavior duration, but not bout frequency, following intraplantar injection of capsaicin or formalin. Conversely, optogenetic activation of Npy2r-Cre</w:t>
      </w:r>
      <w:r>
        <w:t xml:space="preserve"> </w:t>
      </w:r>
      <w:r>
        <w:t>+</w:t>
      </w:r>
      <w:r>
        <w:t xml:space="preserve"> </w:t>
      </w:r>
      <w:r>
        <w:t>neurons produced attenuating effects on irritant-induced pain. Electrophysiological analyses revealed that Npy2r-Cre</w:t>
      </w:r>
      <w:r>
        <w:t xml:space="preserve"> </w:t>
      </w:r>
      <w:r>
        <w:t>+</w:t>
      </w:r>
      <w:r>
        <w:t xml:space="preserve"> </w:t>
      </w:r>
      <w:r>
        <w:t>neurons form functional synaptic connections with neurons in the substantia gelatinosa of the spinal dorsal horn (SDH) and that their activation suppressed C fiber-evoked excitation of neurons in lamina I of the SDH, a region implicated in nociceptive transmission to the brain. Together, these findings identify Npy2r-Cre</w:t>
      </w:r>
      <w:r>
        <w:t xml:space="preserve"> </w:t>
      </w:r>
      <w:r>
        <w:t>+</w:t>
      </w:r>
      <w:r>
        <w:t xml:space="preserve"> </w:t>
      </w:r>
      <w:r>
        <w:t>DRG neurons as a key neural substrate for gating nociceptive transmission in the SDH and mediating pain relief through coping behaviors.</w:t>
      </w:r>
    </w:p>
    <w:p>
      <w:pPr>
        <w:spacing w:before="120" w:after="120"/>
      </w:pPr>
      <w:r>
        <w:rPr>
          <w:sz w:val="18"/>
        </w:rPr>
        <w:t>——————————————————————————————————————————————————————————————————————</w:t>
      </w:r>
    </w:p>
    <w:p>
      <w:pPr>
        <w:spacing w:before="160" w:after="40" w:line="240" w:lineRule="auto"/>
      </w:pPr>
      <w:r>
        <w:rPr>
          <w:b/>
        </w:rPr>
        <w:t xml:space="preserve">[419] </w:t>
      </w:r>
      <w:hyperlink r:id="rId1108">
        <w:r>
          <w:rPr>
            <w:color w:val="1155CC"/>
            <w:u w:val="single"/>
          </w:rPr>
          <w:t>学习动态调节腹侧纹状体 D1 受体表达神经元的刺激辨别</w:t>
        </w:r>
      </w:hyperlink>
    </w:p>
    <w:p>
      <w:pPr>
        <w:spacing w:before="0" w:after="80"/>
      </w:pPr>
      <w:r>
        <w:rPr>
          <w:i/>
          <w:sz w:val="20"/>
        </w:rPr>
        <w:t>EN: Learning dynamically regulates stimulus discrimination of ventral striatal D1 receptor expressing neurons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09">
        <w:r>
          <w:rPr>
            <w:color w:val="1155CC"/>
            <w:u w:val="single"/>
          </w:rPr>
          <w:t>10.1126/sciadv.aee3529</w:t>
        </w:r>
      </w:hyperlink>
    </w:p>
    <w:p>
      <w:pPr>
        <w:spacing w:before="0" w:after="120"/>
      </w:pPr>
      <w:r>
        <w:rPr>
          <w:b/>
        </w:rPr>
        <w:t xml:space="preserve">Notes: </w:t>
      </w:r>
      <w:r>
        <w:t>abstract_source=crossref</w:t>
      </w:r>
    </w:p>
    <w:p>
      <w:pPr>
        <w:spacing w:before="0" w:after="80" w:lineRule="auto" w:line="276"/>
      </w:pPr>
      <w:r>
        <w:rPr>
          <w:b/>
        </w:rPr>
        <w:t xml:space="preserve">摘要（ZH）: </w:t>
      </w:r>
      <w:r>
        <w:t>动物会遇到一系列感官刺激，但其中只有一部分与食欲结果相关。因此，学习区分奖励配对和不配对线索的机制对于奖励寻求行为至关重要。腹侧纹状体在强化学习和刺激辨别中发挥着关键作用，但学习对不同细胞类型选择性的影响仍不清楚。当小鼠学会区分奖励配对和不配对线索时，我们检查了腹侧纹状体 D1 和 D2 中棘神经元 (MSN) 的放电特性。随着单次学习的进展，D1 MSN 选择性随行为选择性线性增加，而 D2 MSN 则表现出适度的、行为不相关的活动变化。 D1 MSN 选择性的改变主要归因于对无奖励提示的兴奋性反应减弱，以及在无奖励提示期间 D1 MSN 活性的增加损害了行为选择性。总之，这些发现揭示了 D1 MSN 对刺激辨别学习的显着更动态的贡献。</w:t>
      </w:r>
    </w:p>
    <w:p>
      <w:pPr>
        <w:spacing w:before="0" w:after="200" w:lineRule="auto" w:line="276"/>
      </w:pPr>
      <w:r>
        <w:rPr>
          <w:b/>
        </w:rPr>
        <w:t xml:space="preserve">Abstract (EN): </w:t>
      </w:r>
      <w:r>
        <w:t>Animals encounter a barrage of sensory stimuli, but only a subset of these are associated with appetitive outcomes. Thus, mechanisms for learning to distinguish reward-paired from unpaired cues are essential for reward-seeking behavior. The ventral striatum plays a critical role in reinforcement learning and stimulus discrimination, but the effect of learning on the selectivity of different cell types remains unclear. We examined ventral striatal D1 and D2 medium spiny neuron (MSN) firing properties as mice learned to distinguish between reward-paired and unpaired cues. As learning progressed within a single session, D1 MSN selectivity increased linearly with behavioral selectivity, while D2 MSNs exhibited modest, behaviorally uncorrelated changes in activity. Altered D1 MSN selectivity was primarily attributed to attenuated excitatory responses to the unrewarded cue, and increasing D1 MSN activity during the unrewarded cue impaired behavioral selectivity. Together, these findings reveal significantly more dynamic contributions of D1 MSNs to stimulus discrimination learning.</w:t>
      </w:r>
    </w:p>
    <w:p>
      <w:pPr>
        <w:spacing w:before="120" w:after="120"/>
      </w:pPr>
      <w:r>
        <w:rPr>
          <w:sz w:val="18"/>
        </w:rPr>
        <w:t>——————————————————————————————————————————————————————————————————————</w:t>
      </w:r>
    </w:p>
    <w:p>
      <w:pPr>
        <w:spacing w:before="160" w:after="40" w:line="240" w:lineRule="auto"/>
      </w:pPr>
      <w:r>
        <w:rPr>
          <w:b/>
        </w:rPr>
        <w:t xml:space="preserve">[420] </w:t>
      </w:r>
      <w:hyperlink r:id="rId1110">
        <w:r>
          <w:rPr>
            <w:color w:val="1155CC"/>
            <w:u w:val="single"/>
          </w:rPr>
          <w:t>自组装肽纤维捕获线粒体中产生的ROS用于神经胶质瘤的靶向治疗</w:t>
        </w:r>
      </w:hyperlink>
    </w:p>
    <w:p>
      <w:pPr>
        <w:spacing w:before="0" w:after="80"/>
      </w:pPr>
      <w:r>
        <w:rPr>
          <w:i/>
          <w:sz w:val="20"/>
        </w:rPr>
        <w:t>EN: ROS produced in mitochondria entrapped by self-assembly peptide fibers for target therapy of glioma</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11">
        <w:r>
          <w:rPr>
            <w:color w:val="1155CC"/>
            <w:u w:val="single"/>
          </w:rPr>
          <w:t>10.1073/pnas.2518967123</w:t>
        </w:r>
      </w:hyperlink>
    </w:p>
    <w:p>
      <w:pPr>
        <w:spacing w:before="0" w:after="120"/>
      </w:pPr>
      <w:r>
        <w:rPr>
          <w:b/>
        </w:rPr>
        <w:t xml:space="preserve">Notes: </w:t>
      </w:r>
      <w:r>
        <w:t>abstract_source=crossref</w:t>
      </w:r>
    </w:p>
    <w:p>
      <w:pPr>
        <w:spacing w:before="0" w:after="80" w:lineRule="auto" w:line="276"/>
      </w:pPr>
      <w:r>
        <w:rPr>
          <w:b/>
        </w:rPr>
        <w:t xml:space="preserve">摘要（ZH）: </w:t>
      </w:r>
      <w:r>
        <w:t>脑胶质瘤是一种高度能量依赖的恶性肿瘤。声动力疗法（SDT）为脑胶质瘤治疗提供了一种无创且有效的方法。声敏剂产生的活性氧 (ROS) 在 SDT 治疗中发挥着关键作用。受蜘蛛网的启发，构建了一种带有卟啉部分的自组装“蜘蛛肽”（P1），可在超声波下产生ROS。在神经胶质瘤细胞中，P1 形成网状纳米纤维，围绕线粒体编织，使 ROS 能够原位释放。这有效地破坏了线粒体的能量代谢，从而抑制神经胶质瘤细胞的生长。负载肽 P1 (Evs@P1) 的胶质瘤来源的外泌体表现出增强的血脑屏障通透性和对胶质瘤细胞的同型靶向性。内吞摄取后，Evs@P1 复合物在酸性溶酶体环境中发生水解，暴露线粒体靶向肽。超声波提高了肽自组装成纳米纤维的速率，纳米纤维从外泌体中挤出并编织在线粒体表面周围。 P1纳米纤维的这种组装加速了ROS的产生，比单体状态高3.7倍。这表明了一种在体内预防小鼠脑胶质瘤生长的有效方法。</w:t>
      </w:r>
    </w:p>
    <w:p>
      <w:pPr>
        <w:spacing w:before="0" w:after="200" w:lineRule="auto" w:line="276"/>
      </w:pPr>
      <w:r>
        <w:rPr>
          <w:b/>
        </w:rPr>
        <w:t xml:space="preserve">Abstract (EN): </w:t>
      </w:r>
      <w:r>
        <w:t>Brain glioma is a highly energy-dependent malignant tumor. Sonodynamic therapy (SDT) provides a noninvasive and effective approach for brain glioma therapy. Reactive oxygen species (ROS) from sonosensitizers in the treatment of SDT play a key role. Inspired by spider webs, a self-assembling “spider peptide” (P1) bearing porphyrin moieties was constructed to generate ROS under ultrasound. In glioma cells, P1 forms web-like nanofibers that weave around mitochondria and enables ROS to release in situ. This efficiently disrupts the energy metabolism of mitochondria leading to the inhibition of glioma cells growth. Glioma-derived exosomes loaded with peptide P1 (Evs@P1) exhibit enhanced blood–brain barrier permeability and homotypic targeting to glioma cells. After endocytic uptake, Evs@P1 complexes undergo hydrolysis in the acidic lysosomal environment exposing the mitochondrial-targeting peptide. Ultrasound enhances the rate of peptide self-assembly into nanofibers, which are extruded from the exosomes and weave around the mitochondrial surface. Such an assembly of P1 nanofibers accelerates the ROS generation, which is 3.7 times higher than that in the monomeric state. It indicates an effective method to prevent glioma growth in mice brains in vivo.</w:t>
      </w:r>
    </w:p>
    <w:p>
      <w:pPr>
        <w:spacing w:before="120" w:after="120"/>
      </w:pPr>
      <w:r>
        <w:rPr>
          <w:sz w:val="18"/>
        </w:rPr>
        <w:t>——————————————————————————————————————————————————————————————————————</w:t>
      </w:r>
    </w:p>
    <w:p>
      <w:pPr>
        <w:spacing w:before="160" w:after="40" w:line="240" w:lineRule="auto"/>
      </w:pPr>
      <w:r>
        <w:rPr>
          <w:b/>
        </w:rPr>
        <w:t xml:space="preserve">[421] </w:t>
      </w:r>
      <w:hyperlink r:id="rId1112">
        <w:r>
          <w:rPr>
            <w:color w:val="1155CC"/>
            <w:u w:val="single"/>
          </w:rPr>
          <w:t>减少可穿戴皮肤电子产品的外观伪影</w:t>
        </w:r>
      </w:hyperlink>
    </w:p>
    <w:p>
      <w:pPr>
        <w:spacing w:before="0" w:after="80"/>
      </w:pPr>
      <w:r>
        <w:rPr>
          <w:i/>
          <w:sz w:val="20"/>
        </w:rPr>
        <w:t>EN: Reduction of appearance artifacts in wearable on-skin electronics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13">
        <w:r>
          <w:rPr>
            <w:color w:val="1155CC"/>
            <w:u w:val="single"/>
          </w:rPr>
          <w:t>10.1126/sciadv.aee6417</w:t>
        </w:r>
      </w:hyperlink>
    </w:p>
    <w:p>
      <w:pPr>
        <w:spacing w:before="0" w:after="120"/>
      </w:pPr>
      <w:r>
        <w:rPr>
          <w:b/>
        </w:rPr>
        <w:t xml:space="preserve">Notes: </w:t>
      </w:r>
      <w:r>
        <w:t>abstract_source=crossref</w:t>
      </w:r>
    </w:p>
    <w:p>
      <w:pPr>
        <w:spacing w:before="0" w:after="80" w:lineRule="auto" w:line="276"/>
      </w:pPr>
      <w:r>
        <w:rPr>
          <w:b/>
        </w:rPr>
        <w:t xml:space="preserve">摘要（ZH）: </w:t>
      </w:r>
      <w:r>
        <w:t>面部电生理信号对于人机界面和医疗保健监测至关重要。柔软且贴合皮肤的电极可实现长期、舒适的信号监测。然而，电极的外观会影响佩戴者的社交互动和自我认同，使日常使用变得困难并留下外观伪影。在这里，我们开发了完全隐形和不可察觉的皮肤电极，没有外观伪影。佩戴者和观察者都无法通过视觉和触觉察觉到电极在皮肤上的存在。通过感官实验和皮肤上薄膜的物理特性证实了这种难以察觉的特性。此外，我们的隐形电极不会影响佩戴者的心理状况，这证实了无伪影监测在日常生活中的可行性。最后，我们展示了电极的功能，成功监测了各种面部电生理信号，包括眼电图 (EOG)、肌电图 (EMG) 和脑电图 (EEG)。我们的完全隐形电极为开发皮肤生物电子学提供了一个有前途的方向，将健康监测和人机交互技术无缝集成到人们的日常生活中。</w:t>
      </w:r>
    </w:p>
    <w:p>
      <w:pPr>
        <w:spacing w:before="0" w:after="200" w:lineRule="auto" w:line="276"/>
      </w:pPr>
      <w:r>
        <w:rPr>
          <w:b/>
        </w:rPr>
        <w:t xml:space="preserve">Abstract (EN): </w:t>
      </w:r>
      <w:r>
        <w:t>Facial electrophysiological signals are crucial to human-machine interfaces and health care monitoring. Soft and skin-conformable electrodes enabled long-term and comfortable signal monitoring. However, the appearance of the electrodes affects the wearer’s social interactions and self-identity, making daily usage difficult and leaving appearance artifacts. Here, we developed fully invisible and unperceivable on-skin electrodes free from appearance artifacts. Neither the wearer nor observers can detect the visual and tactile presence of the electrodes on the skin. The unperceivable property was confirmed with sensory experiments and physical characterizations of the film on skin. Furthermore, our invisible electrodes did not affect the psychological conditions of the wearers, which confirms the feasibility of artifact-free monitoring in daily lives. Last, we demonstrated the functionality of our electrode with successful monitoring of various facial electrophysiological signals, including electrooculogram (EOG), electromyogram (EMG), and electroencephalogram (EEG). Our fully invisible electrodes provide a promising direction in developing on-skin bioelectronics, seamlessly integrating health monitoring and human-computer interaction technologies into people’s daily lives.</w:t>
      </w:r>
    </w:p>
    <w:p>
      <w:pPr>
        <w:spacing w:before="120" w:after="120"/>
      </w:pPr>
      <w:r>
        <w:rPr>
          <w:sz w:val="18"/>
        </w:rPr>
        <w:t>——————————————————————————————————————————————————————————————————————</w:t>
      </w:r>
    </w:p>
    <w:p>
      <w:pPr>
        <w:spacing w:before="160" w:after="40" w:line="240" w:lineRule="auto"/>
      </w:pPr>
      <w:r>
        <w:rPr>
          <w:b/>
        </w:rPr>
        <w:t xml:space="preserve">[422] </w:t>
      </w:r>
      <w:hyperlink r:id="rId1114">
        <w:r>
          <w:rPr>
            <w:color w:val="1155CC"/>
            <w:u w:val="single"/>
          </w:rPr>
          <w:t>屡犯者：卫星 DNA 序列变异导致异染色质不稳定</w:t>
        </w:r>
      </w:hyperlink>
    </w:p>
    <w:p>
      <w:pPr>
        <w:spacing w:before="0" w:after="80"/>
      </w:pPr>
      <w:r>
        <w:rPr>
          <w:i/>
          <w:sz w:val="20"/>
        </w:rPr>
        <w:t>EN: Repeat offenders: Satellite DNA sequence variation drives heterochromatin instability</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15">
        <w:r>
          <w:rPr>
            <w:color w:val="1155CC"/>
            <w:u w:val="single"/>
          </w:rPr>
          <w:t>10.1126/sciadv.aej5861</w:t>
        </w:r>
      </w:hyperlink>
    </w:p>
    <w:p>
      <w:pPr>
        <w:spacing w:before="0" w:after="120"/>
      </w:pPr>
      <w:r>
        <w:rPr>
          <w:b/>
        </w:rPr>
        <w:t xml:space="preserve">Notes: </w:t>
      </w:r>
      <w:r>
        <w:t>abstract_source=crossref</w:t>
      </w:r>
    </w:p>
    <w:p>
      <w:pPr>
        <w:spacing w:before="0" w:after="80" w:lineRule="auto" w:line="276"/>
      </w:pPr>
      <w:r>
        <w:rPr>
          <w:b/>
        </w:rPr>
        <w:t xml:space="preserve">摘要（ZH）: </w:t>
      </w:r>
      <w:r>
        <w:t>使用不同小鼠物种的受精实验表明，快速进化的重复序列的变化会影响细胞分裂过程中染色体的包装和分布方式。</w:t>
      </w:r>
    </w:p>
    <w:p>
      <w:pPr>
        <w:spacing w:before="0" w:after="200" w:lineRule="auto" w:line="276"/>
      </w:pPr>
      <w:r>
        <w:rPr>
          <w:b/>
        </w:rPr>
        <w:t xml:space="preserve">Abstract (EN): </w:t>
      </w:r>
      <w:r>
        <w:t>Fertilization experiments using different mouse species reveal that variation in rapidly evolving repetitive sequences affects how chromosomes are packaged and distributed during cell division.</w:t>
      </w:r>
    </w:p>
    <w:p>
      <w:pPr>
        <w:spacing w:before="120" w:after="120"/>
      </w:pPr>
      <w:r>
        <w:rPr>
          <w:sz w:val="18"/>
        </w:rPr>
        <w:t>——————————————————————————————————————————————————————————————————————</w:t>
      </w:r>
    </w:p>
    <w:p>
      <w:pPr>
        <w:spacing w:before="160" w:after="40" w:line="240" w:lineRule="auto"/>
      </w:pPr>
      <w:r>
        <w:rPr>
          <w:b/>
        </w:rPr>
        <w:t xml:space="preserve">[423] </w:t>
      </w:r>
      <w:hyperlink r:id="rId1116">
        <w:r>
          <w:rPr>
            <w:color w:val="1155CC"/>
            <w:u w:val="single"/>
          </w:rPr>
          <w:t>祭祀朝圣：南塔万廷苏尤西安第斯卡帕科查的机制、原因和死亡时间</w:t>
        </w:r>
      </w:hyperlink>
    </w:p>
    <w:p>
      <w:pPr>
        <w:spacing w:before="0" w:after="80"/>
      </w:pPr>
      <w:r>
        <w:rPr>
          <w:i/>
          <w:sz w:val="20"/>
        </w:rPr>
        <w:t>EN: Pilgrimage to sacrifice: Mechanisms, causes, and time of death of the Western Andean Capacocha of the Southern Tawantinsuyu</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17">
        <w:r>
          <w:rPr>
            <w:color w:val="1155CC"/>
            <w:u w:val="single"/>
          </w:rPr>
          <w:t>10.1126/sciadv.adz9055</w:t>
        </w:r>
      </w:hyperlink>
    </w:p>
    <w:p>
      <w:pPr>
        <w:spacing w:before="0" w:after="120"/>
      </w:pPr>
      <w:r>
        <w:rPr>
          <w:b/>
        </w:rPr>
        <w:t xml:space="preserve">Notes: </w:t>
      </w:r>
      <w:r>
        <w:t>abstract_source=crossref</w:t>
      </w:r>
    </w:p>
    <w:p>
      <w:pPr>
        <w:spacing w:before="0" w:after="80" w:lineRule="auto" w:line="276"/>
      </w:pPr>
      <w:r>
        <w:rPr>
          <w:b/>
        </w:rPr>
        <w:t xml:space="preserve">摘要（ZH）: </w:t>
      </w:r>
      <w:r>
        <w:t>卡帕科查是印加国家的一项重要仪式，将安第斯山脉的朝圣、祭祀和帝国合并交织在一起。我们对安第斯山脉西坡的两个卡帕科查病例进行了多分析调查：位于智利北部沿海阿塔卡马沙漠的埃斯梅拉达山和智利中部高山的埃尔普洛莫山。稳定同位素分析揭示了朝圣期间的共餐行为，将当地社区纳入帝国秩序。此外，计算机断层扫描、皮肤镜检查和皮肤组织学提供了有关死亡原因和机制的新证据，识别与牺牲相关的暴力行为。最后，我们提出了一对放射性碳测年法来讨论卡帕科查背景的年表。总之，这些实践具体化了印加治国之术，并有助于将卡帕科查仪式的复杂性和多样性描述为印加生物政治征服的延伸。</w:t>
      </w:r>
    </w:p>
    <w:p>
      <w:pPr>
        <w:spacing w:before="0" w:after="200" w:lineRule="auto" w:line="276"/>
      </w:pPr>
      <w:r>
        <w:rPr>
          <w:b/>
        </w:rPr>
        <w:t xml:space="preserve">Abstract (EN): </w:t>
      </w:r>
      <w:r>
        <w:t>Capacocha was a key Inca state rite that intertwined pilgrimage, sacrifice, and imperial incorporation across the Andes. We present a multianalytical investigation into two Capacocha cases from the western slope of the Andes: Cerro Esmeralda, located in the coastal Atacama Desert of northern Chile, and Cerro El Plomo, in the high mountains of central Chile. Stable isotope analysis reveals commensality practices during the pilgrimage, integrating local communities into the imperial order. Furthermore, computed tomography, dermatoscopy, and skin histology provide new evidence regarding the causes and mechanisms of death, identifying violent acts associated with sacrifice. Last, we present a pair of radiocarbon dates to discuss the chronology of both Capacocha contexts. In sum, these practices specify the materialization of Inca statecraft and contribute to characterizing the complexity and diversity of Capacocha ritual as an extension of the Inca biopolitical conquest.</w:t>
      </w:r>
    </w:p>
    <w:p>
      <w:pPr>
        <w:spacing w:before="120" w:after="120"/>
      </w:pPr>
      <w:r>
        <w:rPr>
          <w:sz w:val="18"/>
        </w:rPr>
        <w:t>——————————————————————————————————————————————————————————————————————</w:t>
      </w:r>
    </w:p>
    <w:p>
      <w:pPr>
        <w:spacing w:before="160" w:after="40" w:line="240" w:lineRule="auto"/>
      </w:pPr>
      <w:r>
        <w:rPr>
          <w:b/>
        </w:rPr>
        <w:t xml:space="preserve">[424] </w:t>
      </w:r>
      <w:hyperlink r:id="rId1118">
        <w:r>
          <w:rPr>
            <w:color w:val="1155CC"/>
            <w:u w:val="single"/>
          </w:rPr>
          <w:t>由物理信息机器学习引导的半导体异质结构的按需增长</w:t>
        </w:r>
      </w:hyperlink>
    </w:p>
    <w:p>
      <w:pPr>
        <w:spacing w:before="0" w:after="80"/>
      </w:pPr>
      <w:r>
        <w:rPr>
          <w:i/>
          <w:sz w:val="20"/>
        </w:rPr>
        <w:t>EN: On-demand growth of semiconductor heterostructures guided by physics-informed machine learning</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19">
        <w:r>
          <w:rPr>
            <w:color w:val="1155CC"/>
            <w:u w:val="single"/>
          </w:rPr>
          <w:t>10.1126/sciadv.aeb8867</w:t>
        </w:r>
      </w:hyperlink>
    </w:p>
    <w:p>
      <w:pPr>
        <w:spacing w:before="0" w:after="120"/>
      </w:pPr>
      <w:r>
        <w:rPr>
          <w:b/>
        </w:rPr>
        <w:t xml:space="preserve">Notes: </w:t>
      </w:r>
      <w:r>
        <w:t>abstract_source=crossref</w:t>
      </w:r>
    </w:p>
    <w:p>
      <w:pPr>
        <w:spacing w:before="0" w:after="80" w:lineRule="auto" w:line="276"/>
      </w:pPr>
      <w:r>
        <w:rPr>
          <w:b/>
        </w:rPr>
        <w:t xml:space="preserve">摘要（ZH）: </w:t>
      </w:r>
      <w:r>
        <w:t>按需开发定制异质结构对于满足半导体器件不断增长的需求至关重要。然而，传统方法仍然受到基于仿真的设计和迭代试错优化的限制。在这里，我们介绍 SemiEpi，这是一个专为分子束外延 (MBE) 设计的自动驱动平台，可通过原位反射高能电子衍射监控和动态反馈控制实现多步半导体异质结构生长。通过集成 MBE 反应器、基于物理的机器学习 (ML) 模型和参数初始化，SemiEpi 设计异质结构，确定最佳初始条件，并提出材料生长实验。作为演示，我们优化了高密度 InAs 量子点生长，目标发射波长为 1240 nm，实现了 5 × 10 的密度</w:t>
      </w:r>
      <w:r>
        <w:rPr>
          <w:vertAlign w:val="subscript"/>
        </w:rPr>
        <w:t>10</w:t>
      </w:r>
      <w:r>
        <w:t>厘米</w:t>
      </w:r>
      <w:r>
        <w:t xml:space="preserve"> </w:t>
      </w:r>
      <w:r>
        <w:t>−2</w:t>
      </w:r>
      <w:r>
        <w:t xml:space="preserve"> </w:t>
      </w:r>
      <w:r>
        <w:t>，通过生长温度的反馈控制，光致发光强度增加了 1.6 倍，半峰全宽降低为 29.13 meV。我们进一步展示了 SemiEpi 在不同 MBE 反应器中的多功能性，强调了其解决多步异质结构生长挑战、实现独立于硬件的框架以及增强工艺可重复性和稳定性的潜力。</w:t>
      </w:r>
    </w:p>
    <w:p>
      <w:pPr>
        <w:spacing w:before="0" w:after="200" w:lineRule="auto" w:line="276"/>
      </w:pPr>
      <w:r>
        <w:rPr>
          <w:b/>
        </w:rPr>
        <w:t xml:space="preserve">Abstract (EN): </w:t>
      </w:r>
      <w:r>
        <w:t>Developing tailored heterostructures on demand is essential to meet the growing needs of semiconductor devices. However, traditional methods remain constrained by simulation-based design and iterative trial-and-error optimization. Here, we introduce SemiEpi, a self-driving platform designed for molecular beam epitaxy (MBE) that enables multi-step semiconductor heterostructure growth through in situ Reflection High Energy Electron Diffraction monitoring and on-the-fly feedback control. By integrating MBE reactors, physics-informed machine learning (ML) models, and parameter initialization, SemiEpi designs heterostructures, identifies optimal initial conditions, and proposes experiments for material growth. As a demonstration, we optimized high-density InAs quantum dot growth with a target emission wavelength of 1240 nm, achieving a density of 5 × 10</w:t>
      </w:r>
      <w:r>
        <w:rPr>
          <w:vertAlign w:val="subscript"/>
        </w:rPr>
        <w:t>10</w:t>
      </w:r>
      <w:r>
        <w:t>cm</w:t>
      </w:r>
      <w:r>
        <w:t xml:space="preserve"> </w:t>
      </w:r>
      <w:r>
        <w:t>−2</w:t>
      </w:r>
      <w:r>
        <w:t xml:space="preserve"> </w:t>
      </w:r>
      <w:r>
        <w:t>, a 1.6-fold increase in photoluminescence intensity and a reduced full width at half maximum of 29.13 meV through feedback control of growth temperatures. We further demonstrate SemiEpi’s versatility across different MBE reactors, highlighting its potential to address challenges in multi-step heterostructure growth, enable hardware-independent frameworks, and enhance process repeatability and stability.</w:t>
      </w:r>
    </w:p>
    <w:p>
      <w:pPr>
        <w:spacing w:before="120" w:after="120"/>
      </w:pPr>
      <w:r>
        <w:rPr>
          <w:sz w:val="18"/>
        </w:rPr>
        <w:t>——————————————————————————————————————————————————————————————————————</w:t>
      </w:r>
    </w:p>
    <w:p>
      <w:pPr>
        <w:spacing w:before="160" w:after="40" w:line="240" w:lineRule="auto"/>
      </w:pPr>
      <w:r>
        <w:rPr>
          <w:b/>
        </w:rPr>
        <w:t xml:space="preserve">[425] </w:t>
      </w:r>
      <w:hyperlink r:id="rId1120">
        <w:r>
          <w:rPr>
            <w:color w:val="1155CC"/>
            <w:u w:val="single"/>
          </w:rPr>
          <w:t>基于原位功能化激光诱导石墨烯的超软、粘性、pH可调水凝胶，用于穿过毛发的并发生物传感</w:t>
        </w:r>
      </w:hyperlink>
    </w:p>
    <w:p>
      <w:pPr>
        <w:spacing w:before="0" w:after="80"/>
      </w:pPr>
      <w:r>
        <w:rPr>
          <w:i/>
          <w:sz w:val="20"/>
        </w:rPr>
        <w:t>EN: Ultrasoft, adhesive, pH-tunable hydrogel based on in situ functionalized laser-induced graphene for through-hair concurrent biosensing</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21">
        <w:r>
          <w:rPr>
            <w:color w:val="1155CC"/>
            <w:u w:val="single"/>
          </w:rPr>
          <w:t>10.1126/sciadv.aee5890</w:t>
        </w:r>
      </w:hyperlink>
    </w:p>
    <w:p>
      <w:pPr>
        <w:spacing w:before="0" w:after="120"/>
      </w:pPr>
      <w:r>
        <w:rPr>
          <w:b/>
        </w:rPr>
        <w:t xml:space="preserve">Notes: </w:t>
      </w:r>
      <w:r>
        <w:t>abstract_source=crossref</w:t>
      </w:r>
    </w:p>
    <w:p>
      <w:pPr>
        <w:spacing w:before="0" w:after="80" w:lineRule="auto" w:line="276"/>
      </w:pPr>
      <w:r>
        <w:rPr>
          <w:b/>
        </w:rPr>
        <w:t xml:space="preserve">摘要（ZH）: </w:t>
      </w:r>
      <w:r>
        <w:t>这项工作报告了一种可打印、超柔软、高度可拉伸、粘合、透气的水凝胶，通过控制前体 pH 水平进行根本性调整，以实现同步生物信号监测。使用聚多巴胺和单宁酸原位激光还原合成的基于多孔激光诱导石墨烯复合材料的水凝胶具有 1.08 千帕的超小杨氏模量、约 8000% 的超高拉伸性以及理想的导电性和粘合强度，即使在有汗水的情况下也可用于穿过头发的信号监测。水凝胶优异的皮肤适形性使所得电极在潮湿和干燥条件下都具有低皮肤接触阻抗、高信噪比以及无运动伪影的电生理信号监测。结合皮肤电活动和可重复使用和可存储凝胶的简单图案/印刷的应变感测，展示了该设备平台的概念验证演示，用于焦虑监测和神经康复研究。</w:t>
      </w:r>
    </w:p>
    <w:p>
      <w:pPr>
        <w:spacing w:before="0" w:after="200" w:lineRule="auto" w:line="276"/>
      </w:pPr>
      <w:r>
        <w:rPr>
          <w:b/>
        </w:rPr>
        <w:t xml:space="preserve">Abstract (EN): </w:t>
      </w:r>
      <w:r>
        <w:t>This work reports a printable, ultrasoft, highly stretchable, adhesive, breathable hydrogel engineered that is radically tuned by controlling the precursor pH level for simultaneous biosignal monitoring. The hydrogel based on porous laser-induced graphene composites synthesized using in situ laser reduction with polydopamine and tannic acid exhibits ultrasmall Young’s modulus of 1.08 kilopascal, super high stretchability of ~8000%, and desirable conductivity and adhesive strength for through-hair signal monitoring even in the presence of sweat. The excellent skin conformability of the hydrogel provides the resulting electrodes with low skin contact impedance at both wet and dry conditions, a high signal-to-noise ratio, and motion artifact–free monitoring of electrophysiological signals. Combined with electrodermal activity and strain sensing from the facile patterning/printing of the reusable and storable gel, the proof-of-concept demonstration of the device platform is showcased for anxiety monitoring and nerve rehabilitation studies.</w:t>
      </w:r>
    </w:p>
    <w:p>
      <w:pPr>
        <w:spacing w:before="120" w:after="120"/>
      </w:pPr>
      <w:r>
        <w:rPr>
          <w:sz w:val="18"/>
        </w:rPr>
        <w:t>——————————————————————————————————————————————————————————————————————</w:t>
      </w:r>
    </w:p>
    <w:p>
      <w:pPr>
        <w:spacing w:before="160" w:after="40" w:line="240" w:lineRule="auto"/>
      </w:pPr>
      <w:r>
        <w:rPr>
          <w:b/>
        </w:rPr>
        <w:t xml:space="preserve">[426] </w:t>
      </w:r>
      <w:hyperlink r:id="rId1122">
        <w:r>
          <w:rPr>
            <w:color w:val="1155CC"/>
            <w:u w:val="single"/>
          </w:rPr>
          <w:t>NicheProt：组织区室的细胞类型解析蛋白质组学</w:t>
        </w:r>
      </w:hyperlink>
    </w:p>
    <w:p>
      <w:pPr>
        <w:spacing w:before="0" w:after="80"/>
      </w:pPr>
      <w:r>
        <w:rPr>
          <w:i/>
          <w:sz w:val="20"/>
        </w:rPr>
        <w:t>EN: NicheProt: Cell-type-resolved proteomics of tissue compartments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23">
        <w:r>
          <w:rPr>
            <w:color w:val="1155CC"/>
            <w:u w:val="single"/>
          </w:rPr>
          <w:t>10.1126/sciadv.aee6237</w:t>
        </w:r>
      </w:hyperlink>
    </w:p>
    <w:p>
      <w:pPr>
        <w:spacing w:before="0" w:after="120"/>
      </w:pPr>
      <w:r>
        <w:rPr>
          <w:b/>
        </w:rPr>
        <w:t xml:space="preserve">Notes: </w:t>
      </w:r>
      <w:r>
        <w:t>abstract_source=crossref</w:t>
      </w:r>
    </w:p>
    <w:p>
      <w:pPr>
        <w:spacing w:before="0" w:after="80" w:lineRule="auto" w:line="276"/>
      </w:pPr>
      <w:r>
        <w:rPr>
          <w:b/>
        </w:rPr>
        <w:t xml:space="preserve">摘要（ZH）: </w:t>
      </w:r>
      <w:r>
        <w:t>空间蛋白质组学揭示了完整组织中细胞功能的分子基础。激光捕获显微切割与质谱联用可以对选定的组织区域进行全面的蛋白质组分析，但通常不支持细胞类型特异性的蛋白质组分析。我们推出了 NicheProt，一种 3D 光学显微镜引导和光漂白介导的细胞条形码方法，用于从定义的微解剖组织区室或壁龛中分离完整的特定细胞类型。使用顺序自下而上的蛋白质组分析，我们定义了 CD11c 的两种不同表型</w:t>
      </w:r>
      <w:r>
        <w:t xml:space="preserve"> </w:t>
      </w:r>
      <w:r>
        <w:t>+</w:t>
      </w:r>
      <w:r>
        <w:t xml:space="preserve"> </w:t>
      </w:r>
      <w:r>
        <w:t>树突状细胞基于其在发炎小鼠脾脏中的空间位置。这两个区室特异性树突细胞群的蛋白质组学特征在 54 种蛋白质水平上有所不同。这种 3D 组织显微镜引导方法提供细胞类型和微区域解析的蛋白质组分析，有助于蛋白质组发现以前未识别的细胞亚型及其在不同组织区室中的功能作用。</w:t>
      </w:r>
    </w:p>
    <w:p>
      <w:pPr>
        <w:spacing w:before="0" w:after="200" w:lineRule="auto" w:line="276"/>
      </w:pPr>
      <w:r>
        <w:rPr>
          <w:b/>
        </w:rPr>
        <w:t xml:space="preserve">Abstract (EN): </w:t>
      </w:r>
      <w:r>
        <w:t>Spatial proteomics uncovers the molecular basis of cellular function in intact tissues. Laser capture microdissection coupled with mass spectrometry enables comprehensive proteomic profiling of selected tissue regions but typically does not support cell-type-specific proteomic analysis. We present NicheProt, a 3D optical microscopy-guided and photobleaching-mediated cell barcoding approach for isolating intact, specific cell types from defined microanatomical tissue compartments or niches. Using sequential bottom-up proteomic analysis, we defined two distinct phenotypes of CD11c</w:t>
      </w:r>
      <w:r>
        <w:t xml:space="preserve"> </w:t>
      </w:r>
      <w:r>
        <w:t>+</w:t>
      </w:r>
      <w:r>
        <w:t xml:space="preserve"> </w:t>
      </w:r>
      <w:r>
        <w:t>dendritic cells based on their spatial locations in the inflamed mouse spleen. These two compartment-specific dendritic cell populations were characterized by proteomic signatures differing in the levels of 54 proteins. This 3D tissue microscopy-guided method offers cell-type and microregion-resolved proteomic analysis, facilitating the proteomic discovery of previously unrecognized cell subtypes and their functional roles in distinct tissue compartments.</w:t>
      </w:r>
    </w:p>
    <w:p>
      <w:pPr>
        <w:spacing w:before="120" w:after="120"/>
      </w:pPr>
      <w:r>
        <w:rPr>
          <w:sz w:val="18"/>
        </w:rPr>
        <w:t>——————————————————————————————————————————————————————————————————————</w:t>
      </w:r>
    </w:p>
    <w:p>
      <w:pPr>
        <w:spacing w:before="160" w:after="40" w:line="240" w:lineRule="auto"/>
      </w:pPr>
      <w:r>
        <w:rPr>
          <w:b/>
        </w:rPr>
        <w:t xml:space="preserve">[427] </w:t>
      </w:r>
      <w:hyperlink r:id="rId1124">
        <w:r>
          <w:rPr>
            <w:color w:val="1155CC"/>
            <w:u w:val="single"/>
          </w:rPr>
          <w:t>受体激酶 FERONIA 在调节组织力学和生长中的双重作用</w:t>
        </w:r>
      </w:hyperlink>
    </w:p>
    <w:p>
      <w:pPr>
        <w:spacing w:before="0" w:after="80"/>
      </w:pPr>
      <w:r>
        <w:rPr>
          <w:i/>
          <w:sz w:val="20"/>
        </w:rPr>
        <w:t>EN: Dual role of the receptor kinase FERONIA in regulating tissue mechanics and growth</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25">
        <w:r>
          <w:rPr>
            <w:color w:val="1155CC"/>
            <w:u w:val="single"/>
          </w:rPr>
          <w:t>10.1126/sciadv.aeb8608</w:t>
        </w:r>
      </w:hyperlink>
    </w:p>
    <w:p>
      <w:pPr>
        <w:spacing w:before="0" w:after="120"/>
      </w:pPr>
      <w:r>
        <w:rPr>
          <w:b/>
        </w:rPr>
        <w:t xml:space="preserve">Notes: </w:t>
      </w:r>
      <w:r>
        <w:t>abstract_source=crossref</w:t>
      </w:r>
    </w:p>
    <w:p>
      <w:pPr>
        <w:spacing w:before="0" w:after="80" w:lineRule="auto" w:line="276"/>
      </w:pPr>
      <w:r>
        <w:rPr>
          <w:b/>
        </w:rPr>
        <w:t xml:space="preserve">摘要（ZH）: </w:t>
      </w:r>
      <w:r>
        <w:t>在形态发生过程中，生长的生物体适应内部和外部的机械应力。在植物中，受体激酶 FERONIA 参与对细胞壁扰动的广泛反应，但尚不清楚感知到哪些信号以及这种感知如何控制生长。在这里，我们解决了这些问题</w:t>
      </w:r>
      <w:r>
        <w:t xml:space="preserve"> </w:t>
      </w:r>
      <w:r>
        <w:t>地钱属</w:t>
      </w:r>
      <w:r>
        <w:t xml:space="preserve"> </w:t>
      </w:r>
      <w:r>
        <w:t>无性繁殖体。我们结合微流控芯片中的培养来量化繁殖体的生长和机械特性、渗透处理的扰动、细胞壁多糖的表征以及结合传感的细胞壁扩张的数学模型。我们发现 FERONIA 独立调节控制弹性变形和生长速率的组织特性。我们认为 FERONIA 途径对生长的调节依赖于壁弹性变形的正反馈和壁膨胀的负反馈。我们共同期望我们的定量框架与机械线索如何指导发展的调查广泛相关。</w:t>
      </w:r>
    </w:p>
    <w:p>
      <w:pPr>
        <w:spacing w:before="0" w:after="200" w:lineRule="auto" w:line="276"/>
      </w:pPr>
      <w:r>
        <w:rPr>
          <w:b/>
        </w:rPr>
        <w:t xml:space="preserve">Abstract (EN): </w:t>
      </w:r>
      <w:r>
        <w:t>During morphogenesis, growing organisms adapt to internal and external mechanical stress. In plants, the receptor kinase FERONIA is involved in a broad range of responses to perturbations of the cell wall, but it is unclear which cues are sensed and how this sensing controls growth. Here, we addressed these questions in</w:t>
      </w:r>
      <w:r>
        <w:t xml:space="preserve"> </w:t>
      </w:r>
      <w:r>
        <w:t>Marchantia</w:t>
      </w:r>
      <w:r>
        <w:t xml:space="preserve"> </w:t>
      </w:r>
      <w:r>
        <w:t>vegetative propagules. We combined culture in microfluidic chips to quantify growth and mechanical properties of propagules, perturbations with osmotic treatments, characterization of cell wall polysaccharides, and a mathematical model of cell wall expansion that incorporates sensing. We found that FERONIA independently regulates tissue properties that govern elastic deformation and growth rates. We propose that the regulation of growth by the FERONIA pathway relies on both a positive feedback from elastic deformation of the wall and a negative feedback from wall expansion. Together, we expect our quantitative framework to be broadly relevant to the investigation of how mechanical cues guide development.</w:t>
      </w:r>
    </w:p>
    <w:p>
      <w:pPr>
        <w:spacing w:before="120" w:after="120"/>
      </w:pPr>
      <w:r>
        <w:rPr>
          <w:sz w:val="18"/>
        </w:rPr>
        <w:t>——————————————————————————————————————————————————————————————————————</w:t>
      </w:r>
    </w:p>
    <w:p>
      <w:pPr>
        <w:spacing w:before="160" w:after="40" w:line="240" w:lineRule="auto"/>
      </w:pPr>
      <w:r>
        <w:rPr>
          <w:b/>
        </w:rPr>
        <w:t xml:space="preserve">[428] </w:t>
      </w:r>
      <w:hyperlink r:id="rId1126">
        <w:r>
          <w:rPr>
            <w:color w:val="1155CC"/>
            <w:u w:val="single"/>
          </w:rPr>
          <w:t>无创测量新生儿和成人体温调节汗液中的葡萄糖和乳酸</w:t>
        </w:r>
      </w:hyperlink>
    </w:p>
    <w:p>
      <w:pPr>
        <w:spacing w:before="0" w:after="80"/>
      </w:pPr>
      <w:r>
        <w:rPr>
          <w:i/>
          <w:sz w:val="20"/>
        </w:rPr>
        <w:t>EN: Noninvasive measurement of glucose and lactate in thermoregulatory sweat in neonates and adults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27">
        <w:r>
          <w:rPr>
            <w:color w:val="1155CC"/>
            <w:u w:val="single"/>
          </w:rPr>
          <w:t>10.1126/sciadv.aec4166</w:t>
        </w:r>
      </w:hyperlink>
    </w:p>
    <w:p>
      <w:pPr>
        <w:spacing w:before="0" w:after="120"/>
      </w:pPr>
      <w:r>
        <w:rPr>
          <w:b/>
        </w:rPr>
        <w:t xml:space="preserve">Notes: </w:t>
      </w:r>
      <w:r>
        <w:t>abstract_source=crossref</w:t>
      </w:r>
    </w:p>
    <w:p>
      <w:pPr>
        <w:spacing w:before="0" w:after="80" w:lineRule="auto" w:line="276"/>
      </w:pPr>
      <w:r>
        <w:rPr>
          <w:b/>
        </w:rPr>
        <w:t xml:space="preserve">摘要（ZH）: </w:t>
      </w:r>
      <w:r>
        <w:t>早产儿特别容易受到伤害，因此需要对葡萄糖和乳酸等分析物进行严格监测。传统上，这是通过侵入性、间歇性血液采样来实现的，这是痛苦的并且可能导致潜在的并发症。为了解决这个问题，我们开发了一种无创可灌注皮肤采样贴片，旨在从少量体温调节汗液中收集分析物，而无需外部汗液诱导。这可以与微流体生物传感器分析技术相结合来检测皮肤葡萄糖和乳酸水平。我们能够证明该技术在早产新生儿葡萄糖和乳酸无创测量方面的潜力。我们的结果表明，皮肤葡萄糖水平与时间匹配的血糖测量值密切相关。皮肤乳酸测量值与血液测量值不相关，表明存在更复杂的关系。此外，我们成功测量了健康成年人的皮肤葡萄糖水平，这与每个人的血糖水平相关。与新生儿的测量结果相反，成人个体之间的血液和皮肤葡萄糖之间的关系有所不同。我们成功地进行了概念验证实验，通过将采样贴片连接到连续分析系统来实时检测新生儿和健康成人的葡萄糖。这些结果为后续大规模临床试验奠定了基础，旨在验证系统在医疗保健环境中的可靠性和临床适用性，特别是新生儿重症监护室。</w:t>
      </w:r>
    </w:p>
    <w:p>
      <w:pPr>
        <w:spacing w:before="0" w:after="200" w:lineRule="auto" w:line="276"/>
      </w:pPr>
      <w:r>
        <w:rPr>
          <w:b/>
        </w:rPr>
        <w:t xml:space="preserve">Abstract (EN): </w:t>
      </w:r>
      <w:r>
        <w:t>Premature neonates are particularly vulnerable and therefore require rigorous monitoring of analytes such as glucose and lactate. Traditionally, this is achieved through invasive, intermittent blood sampling, which is painful and may cause potential complications. To address this issue, we have developed a noninvasive perfusable skin sampling patch designed to collect analytes from low-volume thermoregulatory sweat without the need for external sweat induction. This can be combined with microfluidic biosensor analysis technologies to detect skin glucose and lactate levels. We were able to demonstrate the potential of this technology for noninvasive measurement of glucose and lactate in premature neonates. Our results showed that skin glucose levels correlated well with time-matched blood glucose measurements. Lactate skin measurements did not correlate with blood measurements, indicating a more complex relationship. In addition, we successfully measured skin glucose levels in healthy adults, which correlated with blood glucose levels for each individual. In contrast with the neonate measurements, the relationship between blood and skin glucose varies between individual adults. We successfully carried out proof-of-concept experiments to detect glucose in real-time in both neonates and in healthy adults by connecting the sampling patch to a continuous analysis system. These results provide the groundwork for subsequent large-scale clinical trials intended to validate the system reliability and clinical applicability within health care contexts, particularly neonatal intensive care units.</w:t>
      </w:r>
    </w:p>
    <w:p>
      <w:pPr>
        <w:spacing w:before="120" w:after="120"/>
      </w:pPr>
      <w:r>
        <w:rPr>
          <w:sz w:val="18"/>
        </w:rPr>
        <w:t>——————————————————————————————————————————————————————————————————————</w:t>
      </w:r>
    </w:p>
    <w:p>
      <w:pPr>
        <w:spacing w:before="160" w:after="40" w:line="240" w:lineRule="auto"/>
      </w:pPr>
      <w:r>
        <w:rPr>
          <w:b/>
        </w:rPr>
        <w:t xml:space="preserve">[429] </w:t>
      </w:r>
      <w:hyperlink r:id="rId1128">
        <w:r>
          <w:rPr>
            <w:color w:val="1155CC"/>
            <w:u w:val="single"/>
          </w:rPr>
          <w:t>从群体规模动态推断噬菌体裂解相关生命史特征的单细胞异质性</w:t>
        </w:r>
      </w:hyperlink>
    </w:p>
    <w:p>
      <w:pPr>
        <w:spacing w:before="0" w:after="80"/>
      </w:pPr>
      <w:r>
        <w:rPr>
          <w:i/>
          <w:sz w:val="20"/>
        </w:rPr>
        <w:t>EN: Inferring single-cell heterogeneity of bacteriophage lysis-associated life-history traits from population-scale dynamics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29">
        <w:r>
          <w:rPr>
            <w:color w:val="1155CC"/>
            <w:u w:val="single"/>
          </w:rPr>
          <w:t>10.1126/sciadv.aed6456</w:t>
        </w:r>
      </w:hyperlink>
    </w:p>
    <w:p>
      <w:pPr>
        <w:spacing w:before="0" w:after="120"/>
      </w:pPr>
      <w:r>
        <w:rPr>
          <w:b/>
        </w:rPr>
        <w:t xml:space="preserve">Notes: </w:t>
      </w:r>
      <w:r>
        <w:t>abstract_source=crossref</w:t>
      </w:r>
    </w:p>
    <w:p>
      <w:pPr>
        <w:spacing w:before="0" w:after="80" w:lineRule="auto" w:line="276"/>
      </w:pPr>
      <w:r>
        <w:rPr>
          <w:b/>
        </w:rPr>
        <w:t xml:space="preserve">摘要（ZH）: </w:t>
      </w:r>
      <w:r>
        <w:t>噬菌体诱导的细菌裂解改变了种群动态、群落结构和生态系统功能。扩大受感染细胞的命运以量化群体和生态系统规模的影响需要估计病毒的生命史特征，包括裂解感染的时间、效率和结果的潜在异质性。然而，与裂解相关的噬菌体性状的变异性仍然知之甚少。在这里，我们推断生态相关系统的裂解相关性状的单细胞异质性：Syn9，一种类似 T4 的噬藻体感染</w:t>
      </w:r>
      <w:r>
        <w:t xml:space="preserve"> </w:t>
      </w:r>
      <w:r>
        <w:t>聚球藻属</w:t>
      </w:r>
      <w:r>
        <w:t xml:space="preserve"> </w:t>
      </w:r>
      <w:r>
        <w:t>菌株 WH8109，全球丰富的海洋蓝藻的代表。我们使用应用于人口规模时间序列数据的感染动态非线性模型来估计潜伏期和爆发大小的异质分布。然后，我们使用单细胞测定验证了我们的推理方法，证明即使在没有单细胞实验的情况下，也可以从群体数据推断噬菌体性状异质性的可行性。 Syn9潜伏期的变化超过了之前在大肠杆菌噬菌体中发现的变化，并强化了用单一值表示病毒性状的局限性。此外，通过推断的异质潜伏期分布来划分裂解事件，我们表明，实现的爆发大小变异性在很大程度上是由潜伏期的差异来解释的，为测量性状（共）变异并将其整合到种群和生态系统模型中提供了一条前进的道路。</w:t>
      </w:r>
    </w:p>
    <w:p>
      <w:pPr>
        <w:spacing w:before="0" w:after="200" w:lineRule="auto" w:line="276"/>
      </w:pPr>
      <w:r>
        <w:rPr>
          <w:b/>
        </w:rPr>
        <w:t xml:space="preserve">Abstract (EN): </w:t>
      </w:r>
      <w:r>
        <w:t>Phage-induced lysis of bacteria transforms population dynamics, community structure, and ecosystem functioning. Scaling up infected cell fate to quantify population- and ecosystem-scale impacts requires estimates of viral life-history traits, including underlying heterogeneity in the timing, efficiency, and outcome of lytic infections. However, the variability of lysis-associated phage traits remains poorly characterized. Here, we infer single-cell heterogeneity in lysis-associated traits for an ecologically relevant system: Syn9, a T4-like cyanophage infecting</w:t>
      </w:r>
      <w:r>
        <w:t xml:space="preserve"> </w:t>
      </w:r>
      <w:r>
        <w:t>Synechococcus</w:t>
      </w:r>
      <w:r>
        <w:t xml:space="preserve"> </w:t>
      </w:r>
      <w:r>
        <w:t>strain WH8109, a representative of globally abundant marine cyanobacteria. We estimate the heterogeneous distribution of latent period and burst size using a nonlinear model of infection dynamics applied to population-scale time-series data. We then validate our inference approach using a single-cell assay—demonstrating the feasibility of inferring phage trait heterogeneity from population data even in the absence of single-cell experiments. The variation in Syn9’s latent period exceeds that previously found in coliphages and reinforces the limitations of representing viral traits with a single value. Moreover, by partitioning lytic events via the inferred heterogeneous latent period distribution, we show that realized burst size variability is largely explained by differences in latent period, providing a path forward to measure and integrate trait (co)variation into population and ecosystem models.</w:t>
      </w:r>
    </w:p>
    <w:p>
      <w:pPr>
        <w:spacing w:before="120" w:after="120"/>
      </w:pPr>
      <w:r>
        <w:rPr>
          <w:sz w:val="18"/>
        </w:rPr>
        <w:t>——————————————————————————————————————————————————————————————————————</w:t>
      </w:r>
    </w:p>
    <w:p>
      <w:pPr>
        <w:spacing w:before="160" w:after="40" w:line="240" w:lineRule="auto"/>
      </w:pPr>
      <w:r>
        <w:rPr>
          <w:b/>
        </w:rPr>
        <w:t xml:space="preserve">[430] </w:t>
      </w:r>
      <w:hyperlink r:id="rId1130">
        <w:r>
          <w:rPr>
            <w:color w:val="1155CC"/>
            <w:u w:val="single"/>
          </w:rPr>
          <w:t>海因里希体育场 4 期间全球生物圈生产力对大西洋经向翻转环流崩溃的反应</w:t>
        </w:r>
      </w:hyperlink>
    </w:p>
    <w:p>
      <w:pPr>
        <w:spacing w:before="0" w:after="80"/>
      </w:pPr>
      <w:r>
        <w:rPr>
          <w:i/>
          <w:sz w:val="20"/>
        </w:rPr>
        <w:t>EN: Global biosphere productivity response to Atlantic Meridional Overturning Circulation collapse during Heinrich Stadial 4</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31">
        <w:r>
          <w:rPr>
            <w:color w:val="1155CC"/>
            <w:u w:val="single"/>
          </w:rPr>
          <w:t>10.1126/sciadv.aea0455</w:t>
        </w:r>
      </w:hyperlink>
    </w:p>
    <w:p>
      <w:pPr>
        <w:spacing w:before="0" w:after="120"/>
      </w:pPr>
      <w:r>
        <w:rPr>
          <w:b/>
        </w:rPr>
        <w:t xml:space="preserve">Notes: </w:t>
      </w:r>
      <w:r>
        <w:t>abstract_source=crossref</w:t>
      </w:r>
    </w:p>
    <w:p>
      <w:pPr>
        <w:spacing w:before="0" w:after="80" w:lineRule="auto" w:line="276"/>
      </w:pPr>
      <w:r>
        <w:rPr>
          <w:b/>
        </w:rPr>
        <w:t xml:space="preserve">摘要（ZH）: </w:t>
      </w:r>
      <w:r>
        <w:t>持续的气候变化导致大西洋经向翻转环流（AMOC）放缓，引发了人们对其对全球碳循环影响的担忧。了解全球生物圈生产力如何应对此类变化对于预测未来的碳循环至关重要，但量化过去的全球生物圈生产力仍然具有挑战性。我们使用空气中氧气的三重同位素成分（</w:t>
      </w:r>
      <w:r>
        <w:t xml:space="preserve"> </w:t>
      </w:r>
      <w:r>
        <w:t>17 号</w:t>
      </w:r>
      <w:r>
        <w:t xml:space="preserve"> </w:t>
      </w:r>
      <w:r>
        <w:t>Δ) 被困在极地冰芯中，重建了距今 40.5 至 38,600 年（ka B.P.）的全球生物圈生产力，涵盖了 Heinrich Stadial 4，即 AMOC 减弱的时期。我们的数据显示，二氧化碳（CO</w:t>
      </w:r>
      <w:r>
        <w:rPr>
          <w:vertAlign w:val="subscript"/>
        </w:rPr>
        <w:t>2</w:t>
      </w:r>
      <w:r>
        <w:t>）上升约 39.5 ka B.P.使用全球气候模型进行的淡水冲洗实验表明，CO</w:t>
      </w:r>
      <w:r>
        <w:rPr>
          <w:vertAlign w:val="subscript"/>
        </w:rPr>
        <w:t>2</w:t>
      </w:r>
      <w:r>
        <w:t>施肥对陆地生物圈的影响抵消了 AMOC 放缓造成的生产力下降。总的来说，我们的结果表明，全球生物圈生产力因 AMOC 放缓和随之而来的变化而略有增加。</w:t>
      </w:r>
    </w:p>
    <w:p>
      <w:pPr>
        <w:spacing w:before="0" w:after="200" w:lineRule="auto" w:line="276"/>
      </w:pPr>
      <w:r>
        <w:rPr>
          <w:b/>
        </w:rPr>
        <w:t xml:space="preserve">Abstract (EN): </w:t>
      </w:r>
      <w:r>
        <w:t>The slowdown of the Atlantic Meridional Overturning Circulation (AMOC) due to ongoing climate change raises concerns about its impact on the global carbon cycle. Understanding how global biosphere productivity may respond to such changes is essential for predicting the future carbon cycle, yet quantifying past global biosphere productivity remains challenging. We use triple isotope composition of air oxygen (</w:t>
      </w:r>
      <w:r>
        <w:rPr>
          <w:vertAlign w:val="subscript"/>
        </w:rPr>
        <w:t>17</w:t>
      </w:r>
      <w:r>
        <w:t>Δ) trapped in polar ice cores to reconstruct the global biosphere productivity over the period 40.5 to 38.6 thousand years before the present (ka B.P.), covering Heinrich Stadial 4, a period of weakened AMOC. Our data reveal a slight increase in productivity following a carbon dioxide (CO</w:t>
      </w:r>
      <w:r>
        <w:rPr>
          <w:vertAlign w:val="subscript"/>
        </w:rPr>
        <w:t>2</w:t>
      </w:r>
      <w:r>
        <w:t>) rise around 39.5 ka B.P. Freshwater hosing experiments using a global climate model indicate that the CO</w:t>
      </w:r>
      <w:r>
        <w:rPr>
          <w:vertAlign w:val="subscript"/>
        </w:rPr>
        <w:t>2</w:t>
      </w:r>
      <w:r>
        <w:t>fertilization effect on the terrestrial biosphere offsets productivity decline caused by consequences of AMOC slowdown. Collectively, our results suggest that global biosphere productivity slightly increases in response to AMOC slowdown and accompanying changes.</w:t>
      </w:r>
    </w:p>
    <w:p>
      <w:pPr>
        <w:spacing w:before="120" w:after="120"/>
      </w:pPr>
      <w:r>
        <w:rPr>
          <w:sz w:val="18"/>
        </w:rPr>
        <w:t>——————————————————————————————————————————————————————————————————————</w:t>
      </w:r>
    </w:p>
    <w:p>
      <w:pPr>
        <w:spacing w:before="160" w:after="40" w:line="240" w:lineRule="auto"/>
      </w:pPr>
      <w:r>
        <w:rPr>
          <w:b/>
        </w:rPr>
        <w:t xml:space="preserve">[431] </w:t>
      </w:r>
      <w:hyperlink r:id="rId1132">
        <w:r>
          <w:rPr>
            <w:color w:val="1155CC"/>
            <w:u w:val="single"/>
          </w:rPr>
          <w:t>以玉米为基础的混合栽培，而非单一栽培，维持了巴西塞拉多的前殖民社会</w:t>
        </w:r>
      </w:hyperlink>
    </w:p>
    <w:p>
      <w:pPr>
        <w:spacing w:before="0" w:after="80"/>
      </w:pPr>
      <w:r>
        <w:rPr>
          <w:i/>
          <w:sz w:val="20"/>
        </w:rPr>
        <w:t>EN: Maize-based polyculture, not monoculture, sustained precolonial societies in the Brazilian Cerrado</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33">
        <w:r>
          <w:rPr>
            <w:color w:val="1155CC"/>
            <w:u w:val="single"/>
          </w:rPr>
          <w:t>10.1126/sciadv.aef7066</w:t>
        </w:r>
      </w:hyperlink>
    </w:p>
    <w:p>
      <w:pPr>
        <w:spacing w:before="0" w:after="120"/>
      </w:pPr>
      <w:r>
        <w:rPr>
          <w:b/>
        </w:rPr>
        <w:t xml:space="preserve">Notes: </w:t>
      </w:r>
      <w:r>
        <w:t>abstract_source=crossref</w:t>
      </w:r>
    </w:p>
    <w:p>
      <w:pPr>
        <w:spacing w:before="0" w:after="80" w:lineRule="auto" w:line="276"/>
      </w:pPr>
      <w:r>
        <w:rPr>
          <w:b/>
        </w:rPr>
        <w:t xml:space="preserve">摘要（ZH）: </w:t>
      </w:r>
      <w:r>
        <w:t>长期以来，人们一直认为玉米在美洲向粮食生产转型的过程中发挥了关键作用。最近的研究甚至表明，这包括南美洲部分地区的“单一栽培”。在这里，我们报告稳定同位素数据（δ</w:t>
      </w:r>
      <w:r>
        <w:rPr>
          <w:vertAlign w:val="subscript"/>
        </w:rPr>
        <w:t>13</w:t>
      </w:r>
      <w:r>
        <w:t>C、δ</w:t>
      </w:r>
      <w:r>
        <w:rPr>
          <w:vertAlign w:val="subscript"/>
        </w:rPr>
        <w:t>15</w:t>
      </w:r>
      <w:r>
        <w:t>N 和 δ</w:t>
      </w:r>
      <w:r>
        <w:rPr>
          <w:vertAlign w:val="subscript"/>
        </w:rPr>
        <w:t>18</w:t>
      </w:r>
      <w:r>
        <w:t>O）来自南美洲中东部塞拉多（巴西稀树草原）、卡廷加（干燥森林）和大西洋森林生物群落的 37 个全新世晚期考古遗址的 101 个人，以及目前的动物基线和放射性碳日期。结果显示了考古传统之间的文化和经济多样性。综合考古学、古生态学和年代学数据，我们认为塞拉多生物群落中存在着多样化且更复杂的粮食生产系统，与亚马逊地区从事玉米农业的前殖民城市规模人口的系统相当。这些发现表明，南美洲东部的人们实行以玉米为基础的混养，重塑了塞拉多生物群落当前的文化和环境动态模式。</w:t>
      </w:r>
    </w:p>
    <w:p>
      <w:pPr>
        <w:spacing w:before="0" w:after="200" w:lineRule="auto" w:line="276"/>
      </w:pPr>
      <w:r>
        <w:rPr>
          <w:b/>
        </w:rPr>
        <w:t xml:space="preserve">Abstract (EN): </w:t>
      </w:r>
      <w:r>
        <w:t>Maize has long been argued to have played a key role in the transition to food production in the Americas. Recent work has even suggested that this included “monoculture” in parts of South America. Here, we report stable isotope data (δ</w:t>
      </w:r>
      <w:r>
        <w:rPr>
          <w:vertAlign w:val="subscript"/>
        </w:rPr>
        <w:t>13</w:t>
      </w:r>
      <w:r>
        <w:t>C, δ</w:t>
      </w:r>
      <w:r>
        <w:rPr>
          <w:vertAlign w:val="subscript"/>
        </w:rPr>
        <w:t>15</w:t>
      </w:r>
      <w:r>
        <w:t>N, and δ</w:t>
      </w:r>
      <w:r>
        <w:rPr>
          <w:vertAlign w:val="subscript"/>
        </w:rPr>
        <w:t>18</w:t>
      </w:r>
      <w:r>
        <w:t>O) of 101 human individuals from 37 late Holocene archaeological sites across the Cerrado (Brazilian savanna), Caatinga (dry forest), and Atlantic Forest biomes of central-eastern South America, in addition to present faunal baseline and radiocarbon dates. The results show cultural and economic diversity among archaeological traditions. Integrating archaeological, palaeoecological, and chronological data, we argue for the coexistence of a diversified and a more complex food production systems in the Cerrado biome, comparable to those of precolonial urban-scale populations practicing maize agriculture in the Amazon. These findings demonstrated that eastern South America populations practiced maize-based polyculture, reshaping current models of cultural and environmental dynamics in the Cerrado biome.</w:t>
      </w:r>
    </w:p>
    <w:p>
      <w:pPr>
        <w:spacing w:before="120" w:after="120"/>
      </w:pPr>
      <w:r>
        <w:rPr>
          <w:sz w:val="18"/>
        </w:rPr>
        <w:t>——————————————————————————————————————————————————————————————————————</w:t>
      </w:r>
    </w:p>
    <w:p>
      <w:pPr>
        <w:spacing w:before="160" w:after="40" w:line="240" w:lineRule="auto"/>
      </w:pPr>
      <w:r>
        <w:rPr>
          <w:b/>
        </w:rPr>
        <w:t xml:space="preserve">[432] </w:t>
      </w:r>
      <w:hyperlink r:id="rId1134">
        <w:r>
          <w:rPr>
            <w:color w:val="1155CC"/>
            <w:u w:val="single"/>
          </w:rPr>
          <w:t>基于光子波导芯片的纳米显微镜观察激活的 Jurkat T 细胞中皮质肌动蛋白细胞骨架的重排</w:t>
        </w:r>
      </w:hyperlink>
    </w:p>
    <w:p>
      <w:pPr>
        <w:spacing w:before="0" w:after="80"/>
      </w:pPr>
      <w:r>
        <w:rPr>
          <w:i/>
          <w:sz w:val="20"/>
        </w:rPr>
        <w:t>EN: Photonic waveguide chip–based nanoscopy visualizes rearrangements of the cortical actin cytoskeleton in activated Jurkat T cells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35">
        <w:r>
          <w:rPr>
            <w:color w:val="1155CC"/>
            <w:u w:val="single"/>
          </w:rPr>
          <w:t>10.1126/sciadv.aeg3960</w:t>
        </w:r>
      </w:hyperlink>
    </w:p>
    <w:p>
      <w:pPr>
        <w:spacing w:before="0" w:after="120"/>
      </w:pPr>
      <w:r>
        <w:rPr>
          <w:b/>
        </w:rPr>
        <w:t xml:space="preserve">Notes: </w:t>
      </w:r>
      <w:r>
        <w:t>abstract_source=crossref</w:t>
      </w:r>
    </w:p>
    <w:p>
      <w:pPr>
        <w:spacing w:before="0" w:after="80" w:lineRule="auto" w:line="276"/>
      </w:pPr>
      <w:r>
        <w:rPr>
          <w:b/>
        </w:rPr>
        <w:t xml:space="preserve">摘要（ZH）: </w:t>
      </w:r>
      <w:r>
        <w:t>活化 T 细胞中的肌动蛋白细胞骨架在免疫突触形成过程中经历快速的结构变化。超分辨率荧光显微镜提供了观察此类抗体触发变化的极好方法。在这里，我们使用由透明聚合物波导芯片支持的单分子定位显微镜 (SMLM)，在大视野范围内解析激活的 Jurkat T 细胞中的丝状肌动蛋白 (F-actin) 细胞骨架，并与非激活的 T 细胞进行比较。透明聚合物波导可实现多种成像模式。结合起来，这些方式揭示了活化 T 细胞免疫突触内板状肌动蛋白网络和分支肌动蛋白网络之间的结构差异。使用窄宽度波导全内反射照明记录的 SMLM 图像解析了激活的 Jurkat T 细胞中肌动蛋白丝的双链螺旋结构。测得丝的平均交叉长度约为 40 纳米，这证实了通过电子显微镜对分离的肌动蛋白丝进行的类似观察。</w:t>
      </w:r>
    </w:p>
    <w:p>
      <w:pPr>
        <w:spacing w:before="0" w:after="200" w:lineRule="auto" w:line="276"/>
      </w:pPr>
      <w:r>
        <w:rPr>
          <w:b/>
        </w:rPr>
        <w:t xml:space="preserve">Abstract (EN): </w:t>
      </w:r>
      <w:r>
        <w:t>The actin cytoskeleton in activated T cells undergoes rapid structural changes during the formation of an immunological synapse. Superresolution fluorescence microscopy provides excellent means to visualize such antibody-triggered changes. Here, we use single-molecule localization microscopy (SMLM) enabled by transparent polymer waveguide chips to resolve the filamentous-actin (F-actin) cytoskeleton in activated Jurkat T cells in comparison to nonactivated T cells across a large field of view. Transparent polymer waveguides enable a wide array of imaging modalities. In combination, these modalities reveal the structural differences between lamellipodial and ramified actin networks within the immunological synapse of activated T cells. SMLM images recorded by using narrow-width waveguide total internal reflection illumination resolve the double-stranded helical structure of actin filaments in activated Jurkat T cells. The average crossover length of the filaments is measured to be ~40 nanometers, which corroborates similar observations of isolated actin filaments by electron microscopy.</w:t>
      </w:r>
    </w:p>
    <w:p>
      <w:pPr>
        <w:spacing w:before="120" w:after="120"/>
      </w:pPr>
      <w:r>
        <w:rPr>
          <w:sz w:val="18"/>
        </w:rPr>
        <w:t>——————————————————————————————————————————————————————————————————————</w:t>
      </w:r>
    </w:p>
    <w:p>
      <w:pPr>
        <w:spacing w:before="160" w:after="40" w:line="240" w:lineRule="auto"/>
      </w:pPr>
      <w:r>
        <w:rPr>
          <w:b/>
        </w:rPr>
        <w:t xml:space="preserve">[433] </w:t>
      </w:r>
      <w:hyperlink r:id="rId1136">
        <w:r>
          <w:rPr>
            <w:color w:val="1155CC"/>
            <w:u w:val="single"/>
          </w:rPr>
          <w:t>VEGF、神经毡蛋白和肝素激活 VEGFR2 的机制</w:t>
        </w:r>
      </w:hyperlink>
    </w:p>
    <w:p>
      <w:pPr>
        <w:spacing w:before="0" w:after="80"/>
      </w:pPr>
      <w:r>
        <w:rPr>
          <w:i/>
          <w:sz w:val="20"/>
        </w:rPr>
        <w:t>EN: Mechanisms of VEGFR2 activation by VEGF, neuropilin, and heparin</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37">
        <w:r>
          <w:rPr>
            <w:color w:val="1155CC"/>
            <w:u w:val="single"/>
          </w:rPr>
          <w:t>10.1126/sciadv.aeg6323</w:t>
        </w:r>
      </w:hyperlink>
    </w:p>
    <w:p>
      <w:pPr>
        <w:spacing w:before="0" w:after="120"/>
      </w:pPr>
      <w:r>
        <w:rPr>
          <w:b/>
        </w:rPr>
        <w:t xml:space="preserve">Notes: </w:t>
      </w:r>
      <w:r>
        <w:t>abstract_source=crossref</w:t>
      </w:r>
    </w:p>
    <w:p>
      <w:pPr>
        <w:spacing w:before="0" w:after="80" w:lineRule="auto" w:line="276"/>
      </w:pPr>
      <w:r>
        <w:rPr>
          <w:b/>
        </w:rPr>
        <w:t xml:space="preserve">摘要（ZH）: </w:t>
      </w:r>
      <w:r>
        <w:t>血管内皮生长因子 (VEGF) 及其受体 VEGFR 是血管发生和血管生成的主要调节因子。 VEGF 通过诱导其二聚化和反式自磷酸化来激活 VEGFR。辅助受体神经毡蛋白（Nrp1 和 Nrp2）和硫酸乙酰肝素蛋白聚糖 (HSPG) 调节 VEGF-VEGFR 信号传导，但其潜在机制仍不完全清楚。在这里，我们报道了小鼠 VEGF 二聚体的冷冻电镜结构</w:t>
      </w:r>
      <w:r>
        <w:rPr>
          <w:vertAlign w:val="subscript"/>
        </w:rPr>
        <w:t>164</w:t>
      </w:r>
      <w:r>
        <w:t>-VEGFR2-Nrp1 胞外域复合物具有 2:2:2 化学计量，揭示了稳定 VEGFR2 二聚体的直接 Nrp1-VEGFR2 相互作用。我们还确定了 VEGF 的两种冷冻电镜结构</w:t>
      </w:r>
      <w:r>
        <w:rPr>
          <w:vertAlign w:val="subscript"/>
        </w:rPr>
        <w:t>164</w:t>
      </w:r>
      <w:r>
        <w:t>-VEGFR2-Nrp1 复合物在短链或长链肝素存在下，桥接所有三种蛋白质并促进两种不同的四聚体复合物的形成。长链肝素诱导与同一细胞表面上的受体聚集一致的顺式四聚体复合物，而短链肝素促进反式四聚体组装，该组装可能由来自相对细胞的两个二聚体复合物形成。我们基于结构的突变分析支持 Nrp1-VEGFR2 界面和肝素介导的聚类增强 VEGFR2 信号传导的模型。</w:t>
      </w:r>
    </w:p>
    <w:p>
      <w:pPr>
        <w:spacing w:before="0" w:after="200" w:lineRule="auto" w:line="276"/>
      </w:pPr>
      <w:r>
        <w:rPr>
          <w:b/>
        </w:rPr>
        <w:t xml:space="preserve">Abstract (EN): </w:t>
      </w:r>
      <w:r>
        <w:t>Vascular endothelial growth factor (VEGF) and its receptor VEGFR are master regulators of vasculogenesis and angiogenesis. VEGF activates VEGFR by inducing its dimerization and trans-autophosphorylation. The coreceptor neuropilin (Nrp1 and Nrp2) and heparan sulfate proteoglycan (HSPG) modulate VEGF-VEGFR signaling, but the underlying mechanisms remain incompletely understood. Here we report a cryo-EM structure of the dimeric mouse VEGF</w:t>
      </w:r>
      <w:r>
        <w:rPr>
          <w:vertAlign w:val="subscript"/>
        </w:rPr>
        <w:t>164</w:t>
      </w:r>
      <w:r>
        <w:t>-VEGFR2-Nrp1 ectodomain complex with a 2:2:2 stoichiometry, revealing direct Nrp1-VEGFR2 interactions that stabilize the VEGFR2 dimer. We also determined two cryo-EM structures of the VEGF</w:t>
      </w:r>
      <w:r>
        <w:rPr>
          <w:vertAlign w:val="subscript"/>
        </w:rPr>
        <w:t>164</w:t>
      </w:r>
      <w:r>
        <w:t>-VEGFR2-Nrp1 complex in the presence of short- or long-chain heparin, which bridges all three proteins and promotes the formation of two distinct tetrameric complexes. Long-chain heparin induces a cis tetrameric complex consistent with receptor clustering on the same cell surface, whereas short-chain heparin promotes a trans tetrameric assembly which might be formed by two dimeric complexes from opposing cells. Our structure-based mutational analyses support the model that both the Nrp1-VEGFR2 interface and the heparin-mediated clustering enhance VEGFR2 signaling.</w:t>
      </w:r>
    </w:p>
    <w:p>
      <w:pPr>
        <w:spacing w:before="120" w:after="120"/>
      </w:pPr>
      <w:r>
        <w:rPr>
          <w:sz w:val="18"/>
        </w:rPr>
        <w:t>——————————————————————————————————————————————————————————————————————</w:t>
      </w:r>
    </w:p>
    <w:p>
      <w:pPr>
        <w:spacing w:before="160" w:after="40" w:line="240" w:lineRule="auto"/>
      </w:pPr>
      <w:r>
        <w:rPr>
          <w:b/>
        </w:rPr>
        <w:t xml:space="preserve">[434] </w:t>
      </w:r>
      <w:hyperlink r:id="rId1138">
        <w:r>
          <w:rPr>
            <w:color w:val="1155CC"/>
            <w:u w:val="single"/>
          </w:rPr>
          <w:t>具有 pH 响应性释放血小板膜涂层纳米粒子的多级微型机器人</w:t>
        </w:r>
      </w:hyperlink>
    </w:p>
    <w:p>
      <w:pPr>
        <w:spacing w:before="0" w:after="80"/>
      </w:pPr>
      <w:r>
        <w:rPr>
          <w:i/>
          <w:sz w:val="20"/>
        </w:rPr>
        <w:t>EN: Multistage microrobots with pH-responsive release of platelet membrane–coated nanoparticles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39">
        <w:r>
          <w:rPr>
            <w:color w:val="1155CC"/>
            <w:u w:val="single"/>
          </w:rPr>
          <w:t>10.1126/sciadv.aee6534</w:t>
        </w:r>
      </w:hyperlink>
    </w:p>
    <w:p>
      <w:pPr>
        <w:spacing w:before="0" w:after="120"/>
      </w:pPr>
      <w:r>
        <w:rPr>
          <w:b/>
        </w:rPr>
        <w:t xml:space="preserve">Notes: </w:t>
      </w:r>
      <w:r>
        <w:t>abstract_source=crossref</w:t>
      </w:r>
    </w:p>
    <w:p>
      <w:pPr>
        <w:spacing w:before="0" w:after="80" w:lineRule="auto" w:line="276"/>
      </w:pPr>
      <w:r>
        <w:rPr>
          <w:b/>
        </w:rPr>
        <w:t xml:space="preserve">摘要（ZH）: </w:t>
      </w:r>
      <w:r>
        <w:t>胃肠道中的靶向药物输送仍然具有挑战性，因为治疗药物在到达患病组织之前必须克服多重层级障碍。在这里，我们提出了一种多级输送平台，该平台将磁性微型机器人、pH 响应保护涂层和血小板膜涂层纳米颗粒 (PNP) 集成在一个平台中。可填充设计能够形成用于微型机器人驱动的内部磁性层，而 pH 响应涂层可在运输过程中保护货物，并在 pH 变化时选择性降解，释放靶向癌细胞的 PNP。在重现关键胃肠道特征（包括流动、pH 变化和绒毛样结构）的体外结肠癌模型中，与单独施用纳米颗粒相比，该策略增加了纳米颗粒的保留并增强了癌细胞的细胞毒性。猪胃和肠道的离体研究进一步证明了在顺应性和折叠组织表面上的强劲运动。这些结果建立了一种环境响应的分级递送策略，以便在复杂的胃肠道环境中更精确地口服递送。</w:t>
      </w:r>
    </w:p>
    <w:p>
      <w:pPr>
        <w:spacing w:before="0" w:after="200" w:lineRule="auto" w:line="276"/>
      </w:pPr>
      <w:r>
        <w:rPr>
          <w:b/>
        </w:rPr>
        <w:t xml:space="preserve">Abstract (EN): </w:t>
      </w:r>
      <w:r>
        <w:t>Targeted drug delivery in the gastrointestinal tract remains challenging because therapeutics must overcome multiple hierarchical barriers before reaching diseased tissue. Here, we present a multistage delivery platform that integrates magnetic microrobots, a pH-responsive protective coating, and platelet membrane–coated nanoparticles (PNPs) in one platform. A fillable design enables the formation of an internal magnetic layer for microrobot actuation, while the pH-responsive coating protects the cargo during transit and selectively degrades upon pH change, releasing cancer cell–targeting PNPs. In an in vitro colon cancer model that reproduces key gastrointestinal features, including flow, pH variation, and villi-like structures, this strategy increased nanoparticle retention and enhanced cancer cell cytotoxicity compared to nanoparticles administered alone. Ex vivo studies in porcine stomach and intestine further demonstrated robust locomotion on compliant and folded tissue surfaces. These results establish an environment-responsive hierarchical delivery strategy for more precise oral delivery in complex gastrointestinal settings.</w:t>
      </w:r>
    </w:p>
    <w:p>
      <w:pPr>
        <w:spacing w:before="120" w:after="120"/>
      </w:pPr>
      <w:r>
        <w:rPr>
          <w:sz w:val="18"/>
        </w:rPr>
        <w:t>——————————————————————————————————————————————————————————————————————</w:t>
      </w:r>
    </w:p>
    <w:p>
      <w:pPr>
        <w:spacing w:before="160" w:after="40" w:line="240" w:lineRule="auto"/>
      </w:pPr>
      <w:r>
        <w:rPr>
          <w:b/>
        </w:rPr>
        <w:t xml:space="preserve">[435] </w:t>
      </w:r>
      <w:hyperlink r:id="rId1140">
        <w:r>
          <w:rPr>
            <w:color w:val="1155CC"/>
            <w:u w:val="single"/>
          </w:rPr>
          <w:t>真菌枯草杆菌蛋白酶样蛋白酶 SBT1 通过消除 MAPKKKα 信号节点来阻断水稻免疫力</w:t>
        </w:r>
      </w:hyperlink>
    </w:p>
    <w:p>
      <w:pPr>
        <w:spacing w:before="0" w:after="80"/>
      </w:pPr>
      <w:r>
        <w:rPr>
          <w:i/>
          <w:sz w:val="20"/>
        </w:rPr>
        <w:t>EN: A fungal subtilase-like protease SBT1 blocks rice immunity by erasing the MAPKKKα signaling node</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41">
        <w:r>
          <w:rPr>
            <w:color w:val="1155CC"/>
            <w:u w:val="single"/>
          </w:rPr>
          <w:t>10.1126/sciadv.aef1021</w:t>
        </w:r>
      </w:hyperlink>
    </w:p>
    <w:p>
      <w:pPr>
        <w:spacing w:before="0" w:after="120"/>
      </w:pPr>
      <w:r>
        <w:rPr>
          <w:b/>
        </w:rPr>
        <w:t xml:space="preserve">Notes: </w:t>
      </w:r>
      <w:r>
        <w:t>abstract_source=crossref</w:t>
      </w:r>
    </w:p>
    <w:p>
      <w:pPr>
        <w:spacing w:before="0" w:after="80" w:lineRule="auto" w:line="276"/>
      </w:pPr>
      <w:r>
        <w:rPr>
          <w:b/>
        </w:rPr>
        <w:t xml:space="preserve">摘要（ZH）: </w:t>
      </w:r>
      <w:r>
        <w:t>米饭（</w:t>
      </w:r>
      <w:r>
        <w:t xml:space="preserve"> </w:t>
      </w:r>
      <w:r>
        <w:t>水稻</w:t>
      </w:r>
      <w:r>
        <w:t xml:space="preserve"> </w:t>
      </w:r>
      <w:r>
        <w:t>）极易受到多种毁灭性真菌病害的影响。然而，这些系统发育上不同的真菌病原体是否利用保守的效应子来破坏常见的免疫中枢仍不清楚。在这里，我们确定了一种保守的毒力策略，其中多种感染水稻的真菌病原体利用枯草杆菌蛋白酶样蛋白酶效应子 SBT1 来抑制宿主免疫。 SBT1 分泌到植物细胞后，直接靶向关键的免疫信号成分 OsMAPKKKα，并以蛋白水解活性依赖性方式介导其降解。 OsMAPKKKα 在线性信号级联中起作用：它被 OsRLCK185 在 Thr493 处磷酸化并稳定，随后磷酸化 OsMKK4 以激活下游 MAPK 信号传导。通过降解 OsMAPKKKα，SBT1 破坏了通过 OsCERK1-OsRLCK185-OsMAPKKKα-OsMKK4 模块转导的几丁质触发的免疫信号。重要的是，针对 SBT1 的宿主诱导基因沉默 (HIGS) 赋予对多种真菌病原体的广谱抗性。我们的研究揭示了一种先前未探索的病原体策略，其中分泌的效应蛋白酶拆除中央信号传导节点，并将 OsMAPKKKα 确定为工程抗病作物的有希望的靶标。</w:t>
      </w:r>
    </w:p>
    <w:p>
      <w:pPr>
        <w:spacing w:before="0" w:after="200" w:lineRule="auto" w:line="276"/>
      </w:pPr>
      <w:r>
        <w:rPr>
          <w:b/>
        </w:rPr>
        <w:t xml:space="preserve">Abstract (EN): </w:t>
      </w:r>
      <w:r>
        <w:t>Rice (</w:t>
      </w:r>
      <w:r>
        <w:t xml:space="preserve"> </w:t>
      </w:r>
      <w:r>
        <w:t>Oryza sativa</w:t>
      </w:r>
      <w:r>
        <w:t xml:space="preserve"> </w:t>
      </w:r>
      <w:r>
        <w:t>) is highly susceptible to a variety of devastating fungal diseases. However, whether these phylogenetically distinct fungal pathogens employ conserved effectors to disrupt common immune hubs remains unclear. Here, we identify a conserved virulence strategy in which multiple rice-infecting fungal pathogens employ a subtilisin-like protease effector, SBT1, to suppress host immunity. Upon secretion into plant cells, SBT1 directly targets the key immune signaling component OsMAPKKKα and mediates its degradation in a proteolytic activity-dependent manner. OsMAPKKKα acts in a linear signaling cascade: it is phosphorylated and stabilized by OsRLCK185 at Thr493, and subsequently phosphorylates OsMKK4 to activate downstream MAPK signaling. By degrading OsMAPKKKα, SBT1 disrupts the chitin-triggered immune signaling transduced through the OsCERK1–OsRLCK185–OsMAPKKKα–OsMKK4 module. Importantly, host-induced gene silencing (HIGS) targeting SBT1 confers broad-spectrum resistance against multiple fungal pathogens. Our study unveils a previously unexplored pathogen strategy wherein a secreted effector protease dismantles a central signaling node, and identifies OsMAPKKKα as a promising target for engineering disease-resistant crops.</w:t>
      </w:r>
    </w:p>
    <w:p>
      <w:pPr>
        <w:spacing w:before="120" w:after="120"/>
      </w:pPr>
      <w:r>
        <w:rPr>
          <w:sz w:val="18"/>
        </w:rPr>
        <w:t>——————————————————————————————————————————————————————————————————————</w:t>
      </w:r>
    </w:p>
    <w:p>
      <w:pPr>
        <w:spacing w:before="160" w:after="40" w:line="240" w:lineRule="auto"/>
      </w:pPr>
      <w:r>
        <w:rPr>
          <w:b/>
        </w:rPr>
        <w:t xml:space="preserve">[436] </w:t>
      </w:r>
      <w:hyperlink r:id="rId1142">
        <w:r>
          <w:rPr>
            <w:color w:val="1155CC"/>
            <w:u w:val="single"/>
          </w:rPr>
          <w:t>TRiC 辅助折叠 I 类 HDAC 家族蛋白，受不同共伴侣和辅因子网络调节</w:t>
        </w:r>
      </w:hyperlink>
    </w:p>
    <w:p>
      <w:pPr>
        <w:spacing w:before="0" w:after="80"/>
      </w:pPr>
      <w:r>
        <w:rPr>
          <w:i/>
          <w:sz w:val="20"/>
        </w:rPr>
        <w:t>EN: TRiC-assisted folding of class I HDAC family proteins regulated by distinct co-chaperone and cofactor networks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43">
        <w:r>
          <w:rPr>
            <w:color w:val="1155CC"/>
            <w:u w:val="single"/>
          </w:rPr>
          <w:t>10.1126/sciadv.aef3048</w:t>
        </w:r>
      </w:hyperlink>
    </w:p>
    <w:p>
      <w:pPr>
        <w:spacing w:before="0" w:after="120"/>
      </w:pPr>
      <w:r>
        <w:rPr>
          <w:b/>
        </w:rPr>
        <w:t xml:space="preserve">Notes: </w:t>
      </w:r>
      <w:r>
        <w:t>abstract_source=crossref</w:t>
      </w:r>
    </w:p>
    <w:p>
      <w:pPr>
        <w:spacing w:before="0" w:after="80" w:lineRule="auto" w:line="276"/>
      </w:pPr>
      <w:r>
        <w:rPr>
          <w:b/>
        </w:rPr>
        <w:t xml:space="preserve">摘要（ZH）: </w:t>
      </w:r>
      <w:r>
        <w:t>I 类组蛋白脱乙酰酶（HDAC1、HDAC2、HDAC3 和 HDAC8）是关键的染色质调节因子，但它们如何被伴侣蛋白 TRiC 激活仍不清楚。使用冷冻电子显微镜、交联质谱和对 HEK293F 细胞中过表达的标记 HDAC 进行生物化学分析，我们将 I 类 HDAC 鉴定为 TRiC 底物，并阐明了 HDAC1 和 HDAC3 在 ATP 酶周期中的 TRiC 辅助折叠途径，由不同的共伴侣/辅因子网络精心策划。在封闭的 TRiC 室中，两个客户端都采用接近天然的构象并参与相似的结合界面。然而，在开放状态下，它们的途径有所不同：HDAC3 涉及 TRiC 顶部的 Hsp70 和室内的 PDCD5，而 HDAC1 涉及 TRiC 顶部的预折叠蛋白，揭示了底物递送和折叠调节的不同机制。我们还发现 TRiC-HDAC1 复合物中 CCT4 的意外弯曲构象可能与共伴侣释放有关。相比之下，HDAC8 的折叠独立于 TRiC。总之，这些发现揭示了控制 TRiC 辅助的 I 类 HDAC 折叠的特定客户辅助伴侣/辅助因子网络，揭示了 TRiC 复杂的监管环境。</w:t>
      </w:r>
    </w:p>
    <w:p>
      <w:pPr>
        <w:spacing w:before="0" w:after="200" w:lineRule="auto" w:line="276"/>
      </w:pPr>
      <w:r>
        <w:rPr>
          <w:b/>
        </w:rPr>
        <w:t xml:space="preserve">Abstract (EN): </w:t>
      </w:r>
      <w:r>
        <w:t>Class I histone deacetylases (HDAC1, HDAC2, HDAC3, and HDAC8) are key chromatin regulators, but how they are activated by chaperonin TRiC remains elusive. Using cryo–electron microscopy, cross-linking mass spectrometry, and biochemistry analyses of tagged HDACs overexpressed in HEK293F cells, we identify class I HDACs as TRiC substrates and elucidate the TRiC-assisted folding pathways of HDAC1 and HDAC3 across ATPase cycle, orchestrated by distinct co-chaperone/cofactor networks. In closed TRiC chamber, both clients adopt near-native conformations and engage similar binding interfaces. In the open state, however, their pathways diverge: HDAC3 involves Hsp70 atop TRiC and PDCD5 within the chamber, whereas HDAC1 involves prefoldin atop TRiC, revealing distinct mechanisms of substrate delivery and folding modulation. We also identify an unexpected bent conformation of CCT4 in TRiC-HDAC1 complex that may relate to co-chaperone release. By contrast, HDAC8 folds independently of TRiC. Together, these findings reveal client-specific co-chaperone/cofactor networks governing TRiC-assisted folding of class I HDACs, shedding light on the sophisticated regulatory landscape of TRiC.</w:t>
      </w:r>
    </w:p>
    <w:p>
      <w:pPr>
        <w:spacing w:before="120" w:after="120"/>
      </w:pPr>
      <w:r>
        <w:rPr>
          <w:sz w:val="18"/>
        </w:rPr>
        <w:t>——————————————————————————————————————————————————————————————————————</w:t>
      </w:r>
    </w:p>
    <w:p>
      <w:pPr>
        <w:spacing w:before="160" w:after="40" w:line="240" w:lineRule="auto"/>
      </w:pPr>
      <w:r>
        <w:rPr>
          <w:b/>
        </w:rPr>
        <w:t xml:space="preserve">[437] </w:t>
      </w:r>
      <w:hyperlink r:id="rId1144">
        <w:r>
          <w:rPr>
            <w:color w:val="1155CC"/>
            <w:u w:val="single"/>
          </w:rPr>
          <w:t>单细胞转录组揭示了肿瘤介导的中性粒细胞重编程及其抑制转移的独特脆弱性</w:t>
        </w:r>
      </w:hyperlink>
    </w:p>
    <w:p>
      <w:pPr>
        <w:spacing w:before="0" w:after="80"/>
      </w:pPr>
      <w:r>
        <w:rPr>
          <w:i/>
          <w:sz w:val="20"/>
        </w:rPr>
        <w:t>EN: Single-cell transcriptomic unveils tumor-mediated reprogramming of neutrophils and their unique vulnerability that inhibits metastasis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45">
        <w:r>
          <w:rPr>
            <w:color w:val="1155CC"/>
            <w:u w:val="single"/>
          </w:rPr>
          <w:t>10.1126/sciadv.aee9308</w:t>
        </w:r>
      </w:hyperlink>
    </w:p>
    <w:p>
      <w:pPr>
        <w:spacing w:before="0" w:after="120"/>
      </w:pPr>
      <w:r>
        <w:rPr>
          <w:b/>
        </w:rPr>
        <w:t xml:space="preserve">Notes: </w:t>
      </w:r>
      <w:r>
        <w:t>abstract_source=crossref</w:t>
      </w:r>
    </w:p>
    <w:p>
      <w:pPr>
        <w:spacing w:before="0" w:after="80" w:lineRule="auto" w:line="276"/>
      </w:pPr>
      <w:r>
        <w:rPr>
          <w:b/>
        </w:rPr>
        <w:t xml:space="preserve">摘要（ZH）: </w:t>
      </w:r>
      <w:r>
        <w:t>中性粒细胞在荷瘤小鼠中具有促肿瘤发生和促转移的作用。对幼稚和荷瘤 MMTV-PyMT（小鼠乳腺肿瘤病毒-多瘤中 T 抗原）小鼠的各种组织进行全面的单细胞 RNA 测序分析，揭示了中性粒细胞重编程过程，并发现了选择性靶向重编程中性粒细胞的策略。荷瘤小鼠中性粒细胞的转录重编程是由粒细胞集落刺激因子（G-CSF）在骨髓（BM）中启动的。在骨髓中的七个中性粒细胞簇中，在荷瘤小鼠中，一个簇的丰度显着增加，而另一个簇的丰度减少。这种重编程可以在多种组织类型中持续存在，包括血液、肿瘤微环境和肺部转移位。因此，在所有测试的组织中，来自荷瘤小鼠的中性粒细胞在转录上与来自幼稚小鼠的中性粒细胞不同。被显着诱导的基因包括</w:t>
      </w:r>
      <w:r>
        <w:t xml:space="preserve"> </w:t>
      </w:r>
      <w:r>
        <w:t>伊菲特姆</w:t>
      </w:r>
      <w:r>
        <w:t xml:space="preserve"> </w:t>
      </w:r>
      <w:r>
        <w:t>家庭。我们利用这一方面，通过 Rapalink-1（一种 mTOR（雷帕霉素的机械靶点）抑制剂）治疗选择性地靶向重编程的中性粒细胞，IFITM 蛋白大大增强了其摄入量。重新编程的中性粒细胞选择性地摄取 Rapalink-1，从而在体内选择性地消除它们，并使荷瘤小鼠的中性粒细胞与淋巴细胞的比例正常化，而不影响初始中性粒细胞。最后，Rapalink-1 抑制 Rapalink-1 耐药肿瘤的转移。因此，Rapalink-1不仅可以影响原发肿瘤，还可以影响原发肿瘤。</w:t>
      </w:r>
    </w:p>
    <w:p>
      <w:pPr>
        <w:spacing w:before="0" w:after="200" w:lineRule="auto" w:line="276"/>
      </w:pPr>
      <w:r>
        <w:rPr>
          <w:b/>
        </w:rPr>
        <w:t xml:space="preserve">Abstract (EN): </w:t>
      </w:r>
      <w:r>
        <w:t>Neutrophils are protumorigenic and prometastatic in tumor-bearing mice. Comprehensive single-cell RNA sequencing analyses on various tissues of naïve and tumor-bearing MMTV-PyMT (mouse mammary tumor virus–polyoma middle T antigen) mice unraveled a neutrophil reprogramming process and uncovered a strategy to selectively target reprogrammed neutrophils. Transcriptional reprogramming of neutrophils in tumor-bearing mice is initiated in the bone marrow (BM) by granulocyte colony-stimulating factor (G-CSF). Among the seven neutrophil clusters in the BM, the abundance of one cluster is markedly increased whereas another cluster is diminished in tumor-bearing mice. This reprogramming endures across tissue types including blood, tumor microenvironment, and the metastatic niche in the lungs. Thus, in all tissues tested, neutrophils derived from tumor-bearing mice are transcriptionally distinct from those derived from naïve mice. Among the genes that are markedly induced are members of the</w:t>
      </w:r>
      <w:r>
        <w:t xml:space="preserve"> </w:t>
      </w:r>
      <w:r>
        <w:t>Ifitm</w:t>
      </w:r>
      <w:r>
        <w:t xml:space="preserve"> </w:t>
      </w:r>
      <w:r>
        <w:t>family. We leverage this facet to selectively target reprogrammed neutrophils through treatment with Rapalink-1—an mTOR (mechanistic target of rapamycin) inhibitor—whose intake is greatly enhanced by IFITM proteins. Reprogrammed neutrophils selectively uptake Rapalink-1, which selectively eradicate them in vivo and normalized the neutrophil-to-lymphocyte ratio in tumor-bearing mice without affecting naïve neutrophils. Last, Rapalink-1 inhibited metastasis of a Rapalink-1–resistant tumor. Thus, Rapalink-1 not only could affect the primary tumor but also selectively eliminates tumor-reprogrammed neutrophils to diminish metastasis.</w:t>
      </w:r>
    </w:p>
    <w:p>
      <w:pPr>
        <w:spacing w:before="120" w:after="120"/>
      </w:pPr>
      <w:r>
        <w:rPr>
          <w:sz w:val="18"/>
        </w:rPr>
        <w:t>——————————————————————————————————————————————————————————————————————</w:t>
      </w:r>
    </w:p>
    <w:p>
      <w:pPr>
        <w:spacing w:before="160" w:after="40" w:line="240" w:lineRule="auto"/>
      </w:pPr>
      <w:r>
        <w:rPr>
          <w:b/>
        </w:rPr>
        <w:t xml:space="preserve">[438] </w:t>
      </w:r>
      <w:hyperlink r:id="rId1146">
        <w:r>
          <w:rPr>
            <w:color w:val="1155CC"/>
            <w:u w:val="single"/>
          </w:rPr>
          <w:t>用于从废水中反应分离氨的微环境工程带电膜</w:t>
        </w:r>
      </w:hyperlink>
    </w:p>
    <w:p>
      <w:pPr>
        <w:spacing w:before="0" w:after="80"/>
      </w:pPr>
      <w:r>
        <w:rPr>
          <w:i/>
          <w:sz w:val="20"/>
        </w:rPr>
        <w:t>EN: Microenvironment-engineered electrified membrane for reactive separation of ammonia from wastewater</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47">
        <w:r>
          <w:rPr>
            <w:color w:val="1155CC"/>
            <w:u w:val="single"/>
          </w:rPr>
          <w:t>10.1126/sciadv.aef5699</w:t>
        </w:r>
      </w:hyperlink>
    </w:p>
    <w:p>
      <w:pPr>
        <w:spacing w:before="0" w:after="120"/>
      </w:pPr>
      <w:r>
        <w:rPr>
          <w:b/>
        </w:rPr>
        <w:t xml:space="preserve">Notes: </w:t>
      </w:r>
      <w:r>
        <w:t>abstract_source=crossref</w:t>
      </w:r>
    </w:p>
    <w:p>
      <w:pPr>
        <w:spacing w:before="0" w:after="80" w:lineRule="auto" w:line="276"/>
      </w:pPr>
      <w:r>
        <w:rPr>
          <w:b/>
        </w:rPr>
        <w:t xml:space="preserve">摘要（ZH）: </w:t>
      </w:r>
      <w:r>
        <w:t>氮污染物的源头分离回收可以实现氮的循环并减轻废水基础设施的负担，但大多数电化学系统难以将高通量与低能耗结合起来。在这里，我们报道了一种无试剂的带电膜，它通过膜-废水边界处的水离解产生界面碱度，驱动铵（NH</w:t>
      </w:r>
      <w:r>
        <w:rPr>
          <w:vertAlign w:val="subscript"/>
        </w:rPr>
        <w:t>4</w:t>
      </w:r>
      <w:r>
        <w:t>+</w:t>
      </w:r>
      <w:r>
        <w:t xml:space="preserve"> </w:t>
      </w:r>
      <w:r>
        <w:t>) 转化为氨 (NH</w:t>
      </w:r>
      <w:r>
        <w:rPr>
          <w:vertAlign w:val="subscript"/>
        </w:rPr>
        <w:t>3</w:t>
      </w:r>
      <w:r>
        <w:t>)转化，连续提取NH</w:t>
      </w:r>
      <w:r>
        <w:rPr>
          <w:vertAlign w:val="subscript"/>
        </w:rPr>
        <w:t>3</w:t>
      </w:r>
      <w:r>
        <w:t>作为高纯度流穿过膜。集成的微环境工程设计增加了界面碱度并降低了气体传输阻力，从而优化了 NH</w:t>
      </w:r>
      <w:r>
        <w:rPr>
          <w:vertAlign w:val="subscript"/>
        </w:rPr>
        <w:t>4</w:t>
      </w:r>
      <w:r>
        <w:t>+</w:t>
      </w:r>
      <w:r>
        <w:t xml:space="preserve"> </w:t>
      </w:r>
      <w:r>
        <w:t>/NH</w:t>
      </w:r>
      <w:r>
        <w:rPr>
          <w:vertAlign w:val="subscript"/>
        </w:rPr>
        <w:t>3</w:t>
      </w:r>
      <w:r>
        <w:t>低能耗的形态形成和跨膜通量。带电膜达到了报道中最高的 NH</w:t>
      </w:r>
      <w:r>
        <w:rPr>
          <w:vertAlign w:val="subscript"/>
        </w:rPr>
        <w:t>3</w:t>
      </w:r>
      <w:r>
        <w:t>电化学回收系统中的分离率平均是传统结构的2.9倍，并且在流式运行500小时后仍保持其初始性能的87.5%。初步的建筑规模生命周期评估和技术经济分析显示出显着的环境效益和经济潜力，2.34平方米的膜实现了95%的NH</w:t>
      </w:r>
      <w:r>
        <w:rPr>
          <w:vertAlign w:val="subscript"/>
        </w:rPr>
        <w:t>3</w:t>
      </w:r>
      <w:r>
        <w:t>440 名居民公寓的恢复目标。这项工作为电化学 NH 建立了框架</w:t>
      </w:r>
    </w:p>
    <w:p>
      <w:pPr>
        <w:spacing w:before="0" w:after="200" w:lineRule="auto" w:line="276"/>
      </w:pPr>
      <w:r>
        <w:rPr>
          <w:b/>
        </w:rPr>
        <w:t xml:space="preserve">Abstract (EN): </w:t>
      </w:r>
      <w:r>
        <w:t>Source-separated recovery of nitrogen pollutants can enable nitrogen circularity and reduce the burden on wastewater infrastructure, yet most electrochemical systems struggle to couple high flux with low energy consumption. Here, we report a reagent-free electrified membrane that generates interfacial alkalinity via water dissociation at the membrane-wastewater boundary, drives ammonium (NH</w:t>
      </w:r>
      <w:r>
        <w:rPr>
          <w:vertAlign w:val="subscript"/>
        </w:rPr>
        <w:t>4</w:t>
      </w:r>
      <w:r>
        <w:t>+</w:t>
      </w:r>
      <w:r>
        <w:t xml:space="preserve"> </w:t>
      </w:r>
      <w:r>
        <w:t>) to ammonia (NH</w:t>
      </w:r>
      <w:r>
        <w:rPr>
          <w:vertAlign w:val="subscript"/>
        </w:rPr>
        <w:t>3</w:t>
      </w:r>
      <w:r>
        <w:t>) conversion, and continuously extracts NH</w:t>
      </w:r>
      <w:r>
        <w:rPr>
          <w:vertAlign w:val="subscript"/>
        </w:rPr>
        <w:t>3</w:t>
      </w:r>
      <w:r>
        <w:t>across the membrane as a high-purity stream. An integrated microenvironment-engineered design increases interfacial alkalinity and reduces gas-transport resistance, thereby optimizing NH</w:t>
      </w:r>
      <w:r>
        <w:rPr>
          <w:vertAlign w:val="subscript"/>
        </w:rPr>
        <w:t>4</w:t>
      </w:r>
      <w:r>
        <w:t>+</w:t>
      </w:r>
      <w:r>
        <w:t xml:space="preserve"> </w:t>
      </w:r>
      <w:r>
        <w:t>/NH</w:t>
      </w:r>
      <w:r>
        <w:rPr>
          <w:vertAlign w:val="subscript"/>
        </w:rPr>
        <w:t>3</w:t>
      </w:r>
      <w:r>
        <w:t>speciation and transmembrane flux with low energy consumption. The electrified membrane achieves the highest reported NH</w:t>
      </w:r>
      <w:r>
        <w:rPr>
          <w:vertAlign w:val="subscript"/>
        </w:rPr>
        <w:t>3</w:t>
      </w:r>
      <w:r>
        <w:t>separation rate among electrochemical recovery systems and averages 2.9 times that of conventional structure while retaining 87.5% of its initial performance after 500 hours of flow-type operation. Preliminary building-scale life-cycle assessment and techno-economic analysis indicate notable environmental benefits and economic potential, with 2.34 square meters of membrane achieving a 95% NH</w:t>
      </w:r>
      <w:r>
        <w:rPr>
          <w:vertAlign w:val="subscript"/>
        </w:rPr>
        <w:t>3</w:t>
      </w:r>
      <w:r>
        <w:t>recovery target for a 440-resident apartment. This work sets a framework for electrochemical NH</w:t>
      </w:r>
      <w:r>
        <w:rPr>
          <w:vertAlign w:val="subscript"/>
        </w:rPr>
        <w:t>3</w:t>
      </w:r>
      <w:r>
        <w:t>separation and outlines a pathway to practical, decentralized deployment.</w:t>
      </w:r>
    </w:p>
    <w:p>
      <w:pPr>
        <w:spacing w:before="120" w:after="120"/>
      </w:pPr>
      <w:r>
        <w:rPr>
          <w:sz w:val="18"/>
        </w:rPr>
        <w:t>——————————————————————————————————————————————————————————————————————</w:t>
      </w:r>
    </w:p>
    <w:p>
      <w:pPr>
        <w:spacing w:before="160" w:after="40" w:line="240" w:lineRule="auto"/>
      </w:pPr>
      <w:r>
        <w:rPr>
          <w:b/>
        </w:rPr>
        <w:t xml:space="preserve">[439] </w:t>
      </w:r>
      <w:hyperlink r:id="rId1148">
        <w:r>
          <w:rPr>
            <w:color w:val="1155CC"/>
            <w:u w:val="single"/>
          </w:rPr>
          <w:t>驱动蛋白-1自抑制的结构基础及其对微管运动的控制</w:t>
        </w:r>
      </w:hyperlink>
    </w:p>
    <w:p>
      <w:pPr>
        <w:spacing w:before="0" w:after="80"/>
      </w:pPr>
      <w:r>
        <w:rPr>
          <w:i/>
          <w:sz w:val="20"/>
        </w:rPr>
        <w:t>EN: Structural basis of kinesin-1 autoinhibition and its control of microtubule-based motility</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49">
        <w:r>
          <w:rPr>
            <w:color w:val="1155CC"/>
            <w:u w:val="single"/>
          </w:rPr>
          <w:t>10.1126/sciadv.aeg1267</w:t>
        </w:r>
      </w:hyperlink>
    </w:p>
    <w:p>
      <w:pPr>
        <w:spacing w:before="0" w:after="120"/>
      </w:pPr>
      <w:r>
        <w:rPr>
          <w:b/>
        </w:rPr>
        <w:t xml:space="preserve">Notes: </w:t>
      </w:r>
      <w:r>
        <w:t>abstract_source=crossref</w:t>
      </w:r>
    </w:p>
    <w:p>
      <w:pPr>
        <w:spacing w:before="0" w:after="80" w:lineRule="auto" w:line="276"/>
      </w:pPr>
      <w:r>
        <w:rPr>
          <w:b/>
        </w:rPr>
        <w:t xml:space="preserve">摘要（ZH）: </w:t>
      </w:r>
      <w:r>
        <w:t>Kinesin-1 是第一个被发现的微管马达，负责真核细胞中多种货物的顺行运输。 kinesin-1 的缺陷或失调与多种神经系统疾病有关，并且各种病原体利用 kinesin-1 来运输其货物。在没有货物的情况下，kinesin-1 采用紧凑的自抑制构象来实现时空调节并防止无用的能量消耗。尽管很重要，但对于驱动蛋白-1 自抑制和激活的结构机制仍知之甚少。在这里，我们报告了自抑制驱动蛋白-1异四聚体的冷冻电子显微镜结构，并使用交联质谱法对其进行了验证。该结构揭示了一种 36 纳米颗粒，其中驱动蛋白重链 (KHC) 采用头尾结构，由不对称排列的驱动蛋白轻链 (KLC) 四肽重复 (TPR) 结构域稳定，这些结构域结合在折叠的 KHC 卷曲线圈上和 KHC 运动结构域之间。这种结构通过将二聚体运动域限制在与进行运动不相容的配置中来抑制驱动蛋白运动。此外，该结构表明，KLC 羧基末端螺旋封闭了 TPR 货物结合界面，揭示了直接阻止货物结合的第二层自动抑制。功能研究和结构建模表明，调节因子（例如 MAP7D3）的结合与分子内 KHC 卷曲螺旋相互作用竞争，导致自抑制结构和激活素的展开</w:t>
      </w:r>
    </w:p>
    <w:p>
      <w:pPr>
        <w:spacing w:before="0" w:after="200" w:lineRule="auto" w:line="276"/>
      </w:pPr>
      <w:r>
        <w:rPr>
          <w:b/>
        </w:rPr>
        <w:t xml:space="preserve">Abstract (EN): </w:t>
      </w:r>
      <w:r>
        <w:t>Kinesin-1 was the first microtubule motor identified, responsible for anterograde transport of diverse cargo in eukaryotic cells. Defects or misregulation of kinesin-1 is linked to multiple neurological disorders, and various pathogens exploit kinesin-1 to transport their cargo. In the absence of cargo, kinesin-1 adopts a compact autoinhibited conformation to enable its spatiotemporal regulation and prevent futile energy consumption. Despite its importance, the structural mechanisms for kinesin-1 autoinhibition and activation remain poorly understood. Here, we report the cryo–electron microscopy structure of the autoinhibited kinesin-1 heterotetramer and validate it using cross-linking mass spectrometry. The structure reveals a 36-nanometer particle in which the kinesin heavy chains (KHCs) adopt a head-to-tail configuration, stabilized by asymmetrically arranged kinesin light chain (KLC) tetratricopeptide repeat (TPR) domains that bind across folded KHC coiled coils and in between the KHC motor domains. This architecture inhibits kinesin motility by constraining the dimeric motor domains in a configuration that is incompatible with processive motility. In addition, the structure shows that the KLC carboxyl-terminal helices occlude the TPR cargo-binding interfaces, revealing a second layer of autoinhibition that directly blocks cargo engagement. Functional studies and structural modeling suggest that binding of regulatory factors, such as MAP7D3, competes with intramolecular KHC coiled-coil interactions, resulting in the unfurling of the autoinhibited structure and activating motor motility. These findings provide a molecular framework for understanding kinesin-1 regulation and its implications for intracellular transport.</w:t>
      </w:r>
    </w:p>
    <w:p>
      <w:pPr>
        <w:spacing w:before="120" w:after="120"/>
      </w:pPr>
      <w:r>
        <w:rPr>
          <w:sz w:val="18"/>
        </w:rPr>
        <w:t>——————————————————————————————————————————————————————————————————————</w:t>
      </w:r>
    </w:p>
    <w:p>
      <w:pPr>
        <w:spacing w:before="160" w:after="40" w:line="240" w:lineRule="auto"/>
      </w:pPr>
      <w:r>
        <w:rPr>
          <w:b/>
        </w:rPr>
        <w:t xml:space="preserve">[440] </w:t>
      </w:r>
      <w:hyperlink r:id="rId1150">
        <w:r>
          <w:rPr>
            <w:color w:val="1155CC"/>
            <w:u w:val="single"/>
          </w:rPr>
          <w:t>用于软组织疾病医学评估的可穿戴生物力学系统</w:t>
        </w:r>
      </w:hyperlink>
    </w:p>
    <w:p>
      <w:pPr>
        <w:spacing w:before="0" w:after="80"/>
      </w:pPr>
      <w:r>
        <w:rPr>
          <w:i/>
          <w:sz w:val="20"/>
        </w:rPr>
        <w:t>EN: A wearable biomechanical system for medical evaluation of soft tissue disorders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51">
        <w:r>
          <w:rPr>
            <w:color w:val="1155CC"/>
            <w:u w:val="single"/>
          </w:rPr>
          <w:t>10.1126/sciadv.aeg2631</w:t>
        </w:r>
      </w:hyperlink>
    </w:p>
    <w:p>
      <w:pPr>
        <w:spacing w:before="0" w:after="120"/>
      </w:pPr>
      <w:r>
        <w:rPr>
          <w:b/>
        </w:rPr>
        <w:t xml:space="preserve">Notes: </w:t>
      </w:r>
      <w:r>
        <w:t>abstract_source=crossref</w:t>
      </w:r>
    </w:p>
    <w:p>
      <w:pPr>
        <w:spacing w:before="0" w:after="80" w:lineRule="auto" w:line="276"/>
      </w:pPr>
      <w:r>
        <w:rPr>
          <w:b/>
        </w:rPr>
        <w:t xml:space="preserve">摘要（ZH）: </w:t>
      </w:r>
      <w:r>
        <w:t>评估软组织弹性提供了关键的生物力学见解，对于精确表征各种生理和病理条件至关重要。在这里，我们展示了一种无线紧凑型可穿戴系统的临床验证，该系统旨在通过振动旋转生物力学动力学直接、特定位置监测皮肤和皮下组织的弹性模量。该设备经过计算模型和实验验证，使用可调谐皮肤接口来实现跨不同解剖部位的深度控制测量。两项人体研究，一项涉及癌症相关淋巴水肿患者，另一项涉及系统性硬皮病患者，产生的数据与标准临床指标相关。该技术提供了在临床和家庭环境中在这些和其他背景下进行纵向评估的潜力。</w:t>
      </w:r>
    </w:p>
    <w:p>
      <w:pPr>
        <w:spacing w:before="0" w:after="200" w:lineRule="auto" w:line="276"/>
      </w:pPr>
      <w:r>
        <w:rPr>
          <w:b/>
        </w:rPr>
        <w:t xml:space="preserve">Abstract (EN): </w:t>
      </w:r>
      <w:r>
        <w:t>Evaluating soft tissue elasticity provides critical biomechanical insights essential for the precise characterization of various physiological and pathological conditions. Here, we present the clinical validation of a wireless, compact wearable system designed for direct, location-specific monitoring of the elastic modulus of the skin and underlying tissues via vibro-rotational biomechanical dynamics. Validated by computational models and experiments, the device uses a tunable skin interface to enable depth-controlled measurements across diverse anatomical sites. Two human subject studies, one involving patients with cancer-related lymphedema and the other involving patients with systemic scleroderma, yield data that correlate with standard clinical metrics. This technology offers the potential for longitudinal assessments in these and other contexts, in both clinical and home settings.</w:t>
      </w:r>
    </w:p>
    <w:p>
      <w:pPr>
        <w:spacing w:before="120" w:after="120"/>
      </w:pPr>
      <w:r>
        <w:rPr>
          <w:sz w:val="18"/>
        </w:rPr>
        <w:t>——————————————————————————————————————————————————————————————————————</w:t>
      </w:r>
    </w:p>
    <w:p>
      <w:pPr>
        <w:spacing w:before="160" w:after="40" w:line="240" w:lineRule="auto"/>
      </w:pPr>
      <w:r>
        <w:rPr>
          <w:b/>
        </w:rPr>
        <w:t xml:space="preserve">[441] </w:t>
      </w:r>
      <w:hyperlink r:id="rId1152">
        <w:r>
          <w:rPr>
            <w:color w:val="1155CC"/>
            <w:u w:val="single"/>
          </w:rPr>
          <w:t>广泛可重编程变形的 Digintel 超表面</w:t>
        </w:r>
      </w:hyperlink>
    </w:p>
    <w:p>
      <w:pPr>
        <w:spacing w:before="0" w:after="80"/>
      </w:pPr>
      <w:r>
        <w:rPr>
          <w:i/>
          <w:sz w:val="20"/>
        </w:rPr>
        <w:t>EN: Digintel metasurface of extensive reprogrammable morphing</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53">
        <w:r>
          <w:rPr>
            <w:color w:val="1155CC"/>
            <w:u w:val="single"/>
          </w:rPr>
          <w:t>10.1126/sciadv.aef3895</w:t>
        </w:r>
      </w:hyperlink>
    </w:p>
    <w:p>
      <w:pPr>
        <w:spacing w:before="0" w:after="120"/>
      </w:pPr>
      <w:r>
        <w:rPr>
          <w:b/>
        </w:rPr>
        <w:t xml:space="preserve">Notes: </w:t>
      </w:r>
      <w:r>
        <w:t>abstract_source=crossref</w:t>
      </w:r>
    </w:p>
    <w:p>
      <w:pPr>
        <w:spacing w:before="0" w:after="80" w:lineRule="auto" w:line="276"/>
      </w:pPr>
      <w:r>
        <w:rPr>
          <w:b/>
        </w:rPr>
        <w:t xml:space="preserve">摘要（ZH）: </w:t>
      </w:r>
      <w:r>
        <w:t>可编程表面变形正在将几何物质从静态、预先指定的形式重塑为能够自适应、按需控制的系统，但复杂表面的精确和广泛的可重新编程变形仍然是通过外部刺激材料响应的主要挑战。在这里，我们提出了一种由数字可寻址双稳态单元构建的可重新编程的数字智能（digitintel）超表面（DMS），其稳定的配置切换产生局部特征应变以及数字可编程表面变形。通过对晶胞的稳定状态进行数字编码，DMS 表现出广泛的可重编程变形，表面形态的复杂性和类型随着晶胞数量呈指数增长。为了精确设计目标表面，我们进一步开发了机器学习辅助的逆向设计框架，将目标表面映射到数字状态代码，从而实现复杂表面的确定性重建。实验和有限元分析验证了单元和 DMS 的机械响应，表现为状态相关的刚度、稳定性裕度、承载能力以及跨重新配置的几何形状的变形流场调制。这项工作为可重构功能表面的数字计算机工程建立了一个通用平台，对机器人、医疗援助和航空航天变形结构具有潜在影响。</w:t>
      </w:r>
    </w:p>
    <w:p>
      <w:pPr>
        <w:spacing w:before="0" w:after="200" w:lineRule="auto" w:line="276"/>
      </w:pPr>
      <w:r>
        <w:rPr>
          <w:b/>
        </w:rPr>
        <w:t xml:space="preserve">Abstract (EN): </w:t>
      </w:r>
      <w:r>
        <w:t>Programmable surface morphing is reshaping geometrical matter from static, prespecified forms into systems capable of adaptive, on-demand control, yet precise and extensive reprogrammable morphing of complex surfaces remains a central challenge through external stimulated material response. Here, we present a reprogrammable digital-intelligent (digintel) metasurface (DMS) built from digitally addressable bistable unit cells whose stable configuration switching generates local eigenstrain, as well as the digitally programmable surface morphing. By digitally encoding the stable state of unit cells, DMS exhibits extensive reprogrammable morphing with the complexity and type of surface morphology exponentially increasing with the number of unit cells. To precisely design the target surface, we further develop a machine learning–assisted inverse-design framework that maps the target surface to digital state codes, enabling deterministic reconstruction of complex surfaces. Experiments and finite element analyses validate the mechanical response of the unit cell and DMS, manifested as state-dependent stiffness, stability margins, load-bearing capacity, and morphing-enabled flow-field modulation across reconfigured geometries. This work establishes a generalizable platform for digintel engineering of reconfigurable functional surfaces, with potential impact on robotics, medical assistance, and aerospace morphing structures.</w:t>
      </w:r>
    </w:p>
    <w:p>
      <w:pPr>
        <w:spacing w:before="120" w:after="120"/>
      </w:pPr>
      <w:r>
        <w:rPr>
          <w:sz w:val="18"/>
        </w:rPr>
        <w:t>——————————————————————————————————————————————————————————————————————</w:t>
      </w:r>
    </w:p>
    <w:p>
      <w:pPr>
        <w:spacing w:before="160" w:after="40" w:line="240" w:lineRule="auto"/>
      </w:pPr>
      <w:r>
        <w:rPr>
          <w:b/>
        </w:rPr>
        <w:t xml:space="preserve">[442] </w:t>
      </w:r>
      <w:hyperlink r:id="rId1154">
        <w:r>
          <w:rPr>
            <w:color w:val="1155CC"/>
            <w:u w:val="single"/>
          </w:rPr>
          <w:t>中国中泥盆世最早的琥珀</w:t>
        </w:r>
      </w:hyperlink>
    </w:p>
    <w:p>
      <w:pPr>
        <w:spacing w:before="0" w:after="80"/>
      </w:pPr>
      <w:r>
        <w:rPr>
          <w:i/>
          <w:sz w:val="20"/>
        </w:rPr>
        <w:t>EN: The earliest amber from the Middle Devonian of China</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55">
        <w:r>
          <w:rPr>
            <w:color w:val="1155CC"/>
            <w:u w:val="single"/>
          </w:rPr>
          <w:t>10.1126/sciadv.aeh1266</w:t>
        </w:r>
      </w:hyperlink>
    </w:p>
    <w:p>
      <w:pPr>
        <w:spacing w:before="0" w:after="120"/>
      </w:pPr>
      <w:r>
        <w:rPr>
          <w:b/>
        </w:rPr>
        <w:t xml:space="preserve">Notes: </w:t>
      </w:r>
      <w:r>
        <w:t>abstract_source=crossref</w:t>
      </w:r>
    </w:p>
    <w:p>
      <w:pPr>
        <w:spacing w:before="0" w:after="80" w:lineRule="auto" w:line="276"/>
      </w:pPr>
      <w:r>
        <w:rPr>
          <w:b/>
        </w:rPr>
        <w:t xml:space="preserve">摘要（ZH）: </w:t>
      </w:r>
      <w:r>
        <w:t>树脂生产是陆地植物的一项重大创新，标志着专门的分泌系统、复杂的萜类生物合成以及防御和伤口密封功能的进化。然而，它的起源仍然很难受到限制，因为化石树脂（琥珀）在古生代矿床中极其罕见，最早被广泛接受的琥珀记录来自晚石炭世。在这里，我们报道了来自中国中泥盆世的已知最早的琥珀（约 3.85 亿年），将琥珀的地质记录延长了约 6500 万年。傅里叶变换红外光谱和气相色谱-三重四极杆质谱揭示了与针叶树型琥珀相当的化学特征。这些数据表明，一些中泥盆世维管植物（最有可能的是原裸子植物或树状石松类）已经进化出与萜烯合酶一致的生物合成能力。树脂生产的早期出现可能通过增强保护和伤口密封促进了泥盆纪-石炭纪陆地植物群的生态成功。</w:t>
      </w:r>
    </w:p>
    <w:p>
      <w:pPr>
        <w:spacing w:before="0" w:after="200" w:lineRule="auto" w:line="276"/>
      </w:pPr>
      <w:r>
        <w:rPr>
          <w:b/>
        </w:rPr>
        <w:t xml:space="preserve">Abstract (EN): </w:t>
      </w:r>
      <w:r>
        <w:t>Resin production is a major innovation in land plants, signaling the evolution of specialized secretory systems, complex terpenoid biosynthesis, and defensive and wound-sealing functions. Yet its origin remains poorly constrained because fossilized resin (amber) is exceedingly rare in Paleozoic deposits, with the earliest widely accepted amber record from the Late Carboniferous. Here we report the earliest known amber from the Middle Devonian of China (~385 million years old), extending the geological record of amber by ~65 million years. Fourier transform infrared spectroscopy and gas chromatography–triple quadrupole mass spectrometry reveal chemical signatures comparable to conifer-type amber. These data indicate that some Middle Devonian vascular plants—most plausibly progymnosperms or arborescent lycopsids—had already evolved biosynthetic capacity consistent with terpene synthase. The early emergence of resin production may have promoted the ecological success of Devonian-Carboniferous terrestrial floras by enhancing protection and wound sealing.</w:t>
      </w:r>
    </w:p>
    <w:p>
      <w:pPr>
        <w:spacing w:before="120" w:after="120"/>
      </w:pPr>
      <w:r>
        <w:rPr>
          <w:sz w:val="18"/>
        </w:rPr>
        <w:t>——————————————————————————————————————————————————————————————————————</w:t>
      </w:r>
    </w:p>
    <w:p>
      <w:pPr>
        <w:spacing w:before="160" w:after="40" w:line="240" w:lineRule="auto"/>
      </w:pPr>
      <w:r>
        <w:rPr>
          <w:b/>
        </w:rPr>
        <w:t xml:space="preserve">[443] </w:t>
      </w:r>
      <w:hyperlink r:id="rId1156">
        <w:r>
          <w:rPr>
            <w:color w:val="1155CC"/>
            <w:u w:val="single"/>
          </w:rPr>
          <w:t>水合和水解定义了大环内酯酶赋予的抗生素耐药性</w:t>
        </w:r>
      </w:hyperlink>
    </w:p>
    <w:p>
      <w:pPr>
        <w:spacing w:before="0" w:after="80"/>
      </w:pPr>
      <w:r>
        <w:rPr>
          <w:i/>
          <w:sz w:val="20"/>
        </w:rPr>
        <w:t>EN: Hydration and hydrolysis define antibiotic resistance conferred by macrolide esterases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57">
        <w:r>
          <w:rPr>
            <w:color w:val="1155CC"/>
            <w:u w:val="single"/>
          </w:rPr>
          <w:t>10.1073/pnas.2611077123</w:t>
        </w:r>
      </w:hyperlink>
    </w:p>
    <w:p>
      <w:pPr>
        <w:spacing w:before="0" w:after="120"/>
      </w:pPr>
      <w:r>
        <w:rPr>
          <w:b/>
        </w:rPr>
        <w:t xml:space="preserve">Notes: </w:t>
      </w:r>
      <w:r>
        <w:t>abstract_source=crossref</w:t>
      </w:r>
    </w:p>
    <w:p>
      <w:pPr>
        <w:spacing w:before="0" w:after="80" w:lineRule="auto" w:line="276"/>
      </w:pPr>
      <w:r>
        <w:rPr>
          <w:b/>
        </w:rPr>
        <w:t xml:space="preserve">摘要（ZH）: </w:t>
      </w:r>
      <w:r>
        <w:t>大环内酯类是一类广泛用于人类和兽医的抗生素，通过干扰蛋白质合成发挥作用。遗憾的是，在细菌中发现了许多规避大环内酯类抗生素特性的策略，包括酶介导的灭活。这些机制现在在致病菌、动物相关菌和环境细菌中广泛传播，使其成为一个健康问题。大环内酯酯酶可水解大环内酯的酯键，从而产生了一种这样的耐药机制。迄今为止，已鉴定出两种类型的大环内酯酯酶，即经过充分研究的红霉素酯酶和最近发现的属于α/β-水解酶超家族的Est型酶。我们对四种不同的 Est 型酯酶进行了详细的结构-功能研究：它们仅具有 44% 至 66% 的序列同一性 (EstT</w:t>
      </w:r>
      <w:r>
        <w:t xml:space="preserve"> </w:t>
      </w:r>
      <w:r>
        <w:t>SF</w:t>
      </w:r>
      <w:r>
        <w:t xml:space="preserve"> </w:t>
      </w:r>
      <w:r>
        <w:t>, 估计值</w:t>
      </w:r>
      <w:r>
        <w:t xml:space="preserve"> </w:t>
      </w:r>
      <w:r>
        <w:t>圣</w:t>
      </w:r>
      <w:r>
        <w:t xml:space="preserve"> </w:t>
      </w:r>
      <w:r>
        <w:t>, 估计值</w:t>
      </w:r>
      <w:r>
        <w:t xml:space="preserve"> </w:t>
      </w:r>
      <w:r>
        <w:t>BC</w:t>
      </w:r>
      <w:r>
        <w:t xml:space="preserve"> </w:t>
      </w:r>
      <w:r>
        <w:t>, 和 EstX</w:t>
      </w:r>
      <w:r>
        <w:t xml:space="preserve"> </w:t>
      </w:r>
      <w:r>
        <w:t>埃克</w:t>
      </w:r>
      <w:r>
        <w:t xml:space="preserve"> </w:t>
      </w:r>
      <w:r>
        <w:t>）。除了抗性分析和底物特异性研究之外，我们还提供了所有四种酶的结构，包括 EstT 的结构</w:t>
      </w:r>
      <w:r>
        <w:t xml:space="preserve"> </w:t>
      </w:r>
      <w:r>
        <w:t>BC</w:t>
      </w:r>
      <w:r>
        <w:t xml:space="preserve"> </w:t>
      </w:r>
      <w:r>
        <w:t>和EstX</w:t>
      </w:r>
      <w:r>
        <w:t xml:space="preserve"> </w:t>
      </w:r>
      <w:r>
        <w:t>埃克</w:t>
      </w:r>
      <w:r>
        <w:t xml:space="preserve"> </w:t>
      </w:r>
      <w:r>
        <w:t>与泰乐菌素和泰万菌素大环内酯类复合，后水解。通过突变和动力学研究补充数据，可以详细分析大环内酯-酶相互作用的结构基础。综合起来，数据表明混杂的结合和不精确的位置</w:t>
      </w:r>
    </w:p>
    <w:p>
      <w:pPr>
        <w:spacing w:before="0" w:after="200" w:lineRule="auto" w:line="276"/>
      </w:pPr>
      <w:r>
        <w:rPr>
          <w:b/>
        </w:rPr>
        <w:t xml:space="preserve">Abstract (EN): </w:t>
      </w:r>
      <w:r>
        <w:t>Macrolides are an antibiotic class widely used in both human and veterinary medicine, and function by interfering with protein synthesis. Regrettably, numerous strategies for evading the antibiotic properties of macrolides have been found in bacteria, including enzyme-mediated inactivation. These mechanisms are now widely disseminated among pathogenic, animal-associated, and environmental bacteria making them a One Health issue. Macrolide esterases, which hydrolyze the macrolactone’s ester bond, confer one such resistance mechanism. Two types of macrolide esterases have thus far been identified, the well-studied erythromycin esterases and the recently discovered Est-type enzymes that belong to the α/β-hydrolase superfamily. We present detailed structure–function studies for four diverse Est type esterases: which only share 44 to 66% sequence identity (EstT</w:t>
      </w:r>
      <w:r>
        <w:t xml:space="preserve"> </w:t>
      </w:r>
      <w:r>
        <w:t>Sf</w:t>
      </w:r>
      <w:r>
        <w:t xml:space="preserve"> </w:t>
      </w:r>
      <w:r>
        <w:t>, EstT</w:t>
      </w:r>
      <w:r>
        <w:t xml:space="preserve"> </w:t>
      </w:r>
      <w:r>
        <w:t>St</w:t>
      </w:r>
      <w:r>
        <w:t xml:space="preserve"> </w:t>
      </w:r>
      <w:r>
        <w:t>, EstT</w:t>
      </w:r>
      <w:r>
        <w:t xml:space="preserve"> </w:t>
      </w:r>
      <w:r>
        <w:t>Bc</w:t>
      </w:r>
      <w:r>
        <w:t xml:space="preserve"> </w:t>
      </w:r>
      <w:r>
        <w:t>, and EstX</w:t>
      </w:r>
      <w:r>
        <w:t xml:space="preserve"> </w:t>
      </w:r>
      <w:r>
        <w:t>Ec</w:t>
      </w:r>
      <w:r>
        <w:t xml:space="preserve"> </w:t>
      </w:r>
      <w:r>
        <w:t>). In addition to resistance profiling and substrate specificity studies, we present structures for all four enzymes, including structures for EstT</w:t>
      </w:r>
      <w:r>
        <w:t xml:space="preserve"> </w:t>
      </w:r>
      <w:r>
        <w:t>Bc</w:t>
      </w:r>
      <w:r>
        <w:t xml:space="preserve"> </w:t>
      </w:r>
      <w:r>
        <w:t>and EstX</w:t>
      </w:r>
      <w:r>
        <w:t xml:space="preserve"> </w:t>
      </w:r>
      <w:r>
        <w:t>Ec</w:t>
      </w:r>
      <w:r>
        <w:t xml:space="preserve"> </w:t>
      </w:r>
      <w:r>
        <w:t>in complex with tylosin and tylvalosin macrolides, posthydrolysis. Complementing the data with mutational and kinetic studies allowed for a detailed analysis of the structural basis for macrolide–enzyme interactions. Combined, the data suggest that promiscuous binding and imprecise positioning, mediated by a water-cage, dictate substrate specificity for Est-type macrolide resistance enzymes. These insights may prove beneficial for next-generation antibiotic development.</w:t>
      </w:r>
    </w:p>
    <w:p>
      <w:pPr>
        <w:spacing w:before="120" w:after="120"/>
      </w:pPr>
      <w:r>
        <w:rPr>
          <w:sz w:val="18"/>
        </w:rPr>
        <w:t>——————————————————————————————————————————————————————————————————————</w:t>
      </w:r>
    </w:p>
    <w:p>
      <w:pPr>
        <w:spacing w:before="160" w:after="40" w:line="240" w:lineRule="auto"/>
      </w:pPr>
      <w:r>
        <w:rPr>
          <w:b/>
        </w:rPr>
        <w:t xml:space="preserve">[444] </w:t>
      </w:r>
      <w:hyperlink r:id="rId1158">
        <w:r>
          <w:rPr>
            <w:color w:val="1155CC"/>
            <w:u w:val="single"/>
          </w:rPr>
          <w:t>神经科学中不同的哲学承诺：来自全球调查的证据</w:t>
        </w:r>
      </w:hyperlink>
    </w:p>
    <w:p>
      <w:pPr>
        <w:spacing w:before="0" w:after="80"/>
      </w:pPr>
      <w:r>
        <w:rPr>
          <w:i/>
          <w:sz w:val="20"/>
        </w:rPr>
        <w:t>EN: Divergent philosophical commitments in neuroscience: Evidence from a global survey</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59">
        <w:r>
          <w:rPr>
            <w:color w:val="1155CC"/>
            <w:u w:val="single"/>
          </w:rPr>
          <w:t>10.1073/pnas.2610776123</w:t>
        </w:r>
      </w:hyperlink>
    </w:p>
    <w:p>
      <w:pPr>
        <w:spacing w:before="0" w:after="120"/>
      </w:pPr>
      <w:r>
        <w:rPr>
          <w:b/>
        </w:rPr>
        <w:t xml:space="preserve">Notes: </w:t>
      </w:r>
      <w:r>
        <w:t>abstract_source=crossref</w:t>
      </w:r>
    </w:p>
    <w:p>
      <w:pPr>
        <w:spacing w:before="0" w:after="80" w:lineRule="auto" w:line="276"/>
      </w:pPr>
      <w:r>
        <w:rPr>
          <w:b/>
        </w:rPr>
        <w:t xml:space="preserve">摘要（ZH）: </w:t>
      </w:r>
      <w:r>
        <w:t>心脑关系是当代神经科学的一个基础但尚未得到充分探索的维度，它塑造了研究框架、数据解释和公共交流。我们对 2,657 名神经科学家进行了大规模的国际调查，以评估他们对心脑问题、自由意志和学科未来的看法。我们的结果揭示了一种复杂且有时自相矛盾的世界观。虽然 64% 的参与者赞同还原物理主义（即心理活动完全可以还原为大脑功能的观点），但只有 17.5% 的人拒绝自由意志。尽管估计目前的知识仅涵盖大脑结构和功能的有限部分（30％），但受访者对神经科学的未来表示明显乐观，包括通过神经科学全面了解人类和精神障碍，甚至实现读心和精神上传的前景。主成分分析确定了五个潜在维度，其中一些维度因社会人口和学科因素而系统地变化。这些发现表明，神经科学家持有不同的哲学承诺，与硬决定论的常见叙述不同。神经本质主义观点的盛行进一步凸显了持续跨学科对话的必要性，以解决神经科学进步的概念、伦理和社会影响。</w:t>
      </w:r>
    </w:p>
    <w:p>
      <w:pPr>
        <w:spacing w:before="0" w:after="200" w:lineRule="auto" w:line="276"/>
      </w:pPr>
      <w:r>
        <w:rPr>
          <w:b/>
        </w:rPr>
        <w:t xml:space="preserve">Abstract (EN): </w:t>
      </w:r>
      <w:r>
        <w:t>The mind–brain relationship is a foundational yet underexplored dimension of contemporary neuroscience, shaping research framing, data interpretation, and public communication. We conducted a large-scale international survey of 2,657 neuroscientists to assess their views on the mind–brain problem, free will, and the future of the discipline. Our results reveal a complex and sometimes paradoxical worldview. While 64% of participants endorse reductive physicalism—the view that mental activity is fully reducible to brain function—only 17.5% reject free will. Despite estimating that current knowledge covers only a limited portion of brain structure and function (30%), respondents express marked optimism about the future of neuroscience, including the prospect of fully understanding the human being and mental disorders through neuroscience, and even achieving mind reading and mental uploading. A principal component analysis identified five latent dimensions, some of which vary systematically across sociodemographic and disciplinary factors. These findings indicate that neuroscientists hold diverse philosophical commitments that diverge from common narratives of hard determinism. The prevalence of neuroessentialist views further highlights the need for sustained interdisciplinary dialogue to address the conceptual, ethical, and societal implications of neuroscientific progress.</w:t>
      </w:r>
    </w:p>
    <w:p>
      <w:pPr>
        <w:spacing w:before="120" w:after="120"/>
      </w:pPr>
      <w:r>
        <w:rPr>
          <w:sz w:val="18"/>
        </w:rPr>
        <w:t>——————————————————————————————————————————————————————————————————————</w:t>
      </w:r>
    </w:p>
    <w:p>
      <w:pPr>
        <w:spacing w:before="160" w:after="40" w:line="240" w:lineRule="auto"/>
      </w:pPr>
      <w:r>
        <w:rPr>
          <w:b/>
        </w:rPr>
        <w:t xml:space="preserve">[445] </w:t>
      </w:r>
      <w:hyperlink r:id="rId1160">
        <w:r>
          <w:rPr>
            <w:color w:val="1155CC"/>
            <w:u w:val="single"/>
          </w:rPr>
          <w:t>薄元素流动铁磁体中的狄拉克磁振子</w:t>
        </w:r>
      </w:hyperlink>
    </w:p>
    <w:p>
      <w:pPr>
        <w:spacing w:before="0" w:after="80"/>
      </w:pPr>
      <w:r>
        <w:rPr>
          <w:i/>
          <w:sz w:val="20"/>
        </w:rPr>
        <w:t>EN: Dirac magnons in a thin elemental itinerant ferromagnet</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61">
        <w:r>
          <w:rPr>
            <w:color w:val="1155CC"/>
            <w:u w:val="single"/>
          </w:rPr>
          <w:t>10.1126/sciadv.aed9835</w:t>
        </w:r>
      </w:hyperlink>
    </w:p>
    <w:p>
      <w:pPr>
        <w:spacing w:before="0" w:after="120"/>
      </w:pPr>
      <w:r>
        <w:rPr>
          <w:b/>
        </w:rPr>
        <w:t xml:space="preserve">Notes: </w:t>
      </w:r>
      <w:r>
        <w:t>abstract_source=crossref</w:t>
      </w:r>
    </w:p>
    <w:p>
      <w:pPr>
        <w:spacing w:before="0" w:after="80" w:lineRule="auto" w:line="276"/>
      </w:pPr>
      <w:r>
        <w:rPr>
          <w:b/>
        </w:rPr>
        <w:t xml:space="preserve">摘要（ZH）: </w:t>
      </w:r>
      <w:r>
        <w:t>石墨烯（碳原子层）与传统半导体之间的显着区别在于，其电子表现为无质量的狄拉克费米子，从而产生了前所未有的物理特性。磁有序固体含有磁振子，即与磁自由度相关的准粒子。虽然狄拉克磁振子最近在特定的绝缘或稀土磁体中被预测，但由于流动磁性和维度效应的复杂性，它们在薄 3d 磁体中的存在仍然难以捉摸。在这里，我们证明了狄拉克磁振子在薄的流动元素铁磁体中的存在。通过研究原子设计的六方密堆积钴薄膜，我们确定这种结构中的磁振子类似于石墨烯中的狄拉克电子。我们解释了这些狄拉克磁振子的物理性质，并讨论了对称性、维度、磁相互作用、原子层数和钴的巡回磁性对狄拉克点性质的影响。我们的结果为在各种低维层状 3d 铁磁体和超材料中寻找和设计狄拉克磁振子铺平了道路。</w:t>
      </w:r>
    </w:p>
    <w:p>
      <w:pPr>
        <w:spacing w:before="0" w:after="200" w:lineRule="auto" w:line="276"/>
      </w:pPr>
      <w:r>
        <w:rPr>
          <w:b/>
        </w:rPr>
        <w:t xml:space="preserve">Abstract (EN): </w:t>
      </w:r>
      <w:r>
        <w:t>A distinct difference between graphene—an atomic layer of carbon—and conventional semiconductors is that its electrons behave as massless Dirac fermions, giving rise to unprecedented physical properties. Magnetically ordered solids host magnons, quasiparticles associated with magnetic degrees of freedom. While Dirac magnons have recently been predicted in specific insulating or rare-earth magnets, their existence in thin 3d magnets remains elusive because of the complex nature of itinerant magnetism and dimensionality effects. Here, we demonstrate the presence of Dirac magnons in a thin itinerant elemental ferromagnet. By investigating atomically designed hexagonal close-packed cobalt films, we establish that magnons in such structures resemble the Dirac electrons in graphene. We explain the physical nature of these Dirac magnons and discuss the consequences of symmetry, dimensionality, magnetic interactions, the number of atomic layers, and cobalt’s itinerant magnetism on the properties of the Dirac points. Our results pave the way for finding and engineering Dirac magnons in a variety of low-dimensional layered 3d ferromagnets and metamaterials.</w:t>
      </w:r>
    </w:p>
    <w:p>
      <w:pPr>
        <w:spacing w:before="120" w:after="120"/>
      </w:pPr>
      <w:r>
        <w:rPr>
          <w:sz w:val="18"/>
        </w:rPr>
        <w:t>——————————————————————————————————————————————————————————————————————</w:t>
      </w:r>
    </w:p>
    <w:p>
      <w:pPr>
        <w:spacing w:before="160" w:after="40" w:line="240" w:lineRule="auto"/>
      </w:pPr>
      <w:r>
        <w:rPr>
          <w:b/>
        </w:rPr>
        <w:t xml:space="preserve">[446] </w:t>
      </w:r>
      <w:hyperlink r:id="rId1162">
        <w:r>
          <w:rPr>
            <w:color w:val="1155CC"/>
            <w:u w:val="single"/>
          </w:rPr>
          <w:t>转录启动驱动雄性果蝇剂量补偿的建立和维持</w:t>
        </w:r>
      </w:hyperlink>
    </w:p>
    <w:p>
      <w:pPr>
        <w:spacing w:before="0" w:after="80"/>
      </w:pPr>
      <w:r>
        <w:rPr>
          <w:i/>
          <w:sz w:val="20"/>
        </w:rPr>
        <w:t>EN: Transcription initiation drives dosage compensation establishment and maintenance in male Drosophila</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63">
        <w:r>
          <w:rPr>
            <w:color w:val="1155CC"/>
            <w:u w:val="single"/>
          </w:rPr>
          <w:t>10.1126/sciadv.aec3865</w:t>
        </w:r>
      </w:hyperlink>
    </w:p>
    <w:p>
      <w:pPr>
        <w:spacing w:before="0" w:after="120"/>
      </w:pPr>
      <w:r>
        <w:rPr>
          <w:b/>
        </w:rPr>
        <w:t xml:space="preserve">Notes: </w:t>
      </w:r>
      <w:r>
        <w:t>abstract_source=crossref</w:t>
      </w:r>
    </w:p>
    <w:p>
      <w:pPr>
        <w:spacing w:before="0" w:after="80" w:lineRule="auto" w:line="276"/>
      </w:pPr>
      <w:r>
        <w:rPr>
          <w:b/>
        </w:rPr>
        <w:t xml:space="preserve">摘要（ZH）: </w:t>
      </w:r>
      <w:r>
        <w:t>剂量补偿 (DC)</w:t>
      </w:r>
      <w:r>
        <w:t xml:space="preserve"> </w:t>
      </w:r>
      <w:r>
        <w:t>果蝇</w:t>
      </w:r>
      <w:r>
        <w:t xml:space="preserve"> </w:t>
      </w:r>
      <w:r>
        <w:t>通过男性特异性致死复合物平衡 X 染色体相关基因的表达，该复合物乙酰化男性 X 染色体上的组蛋白 4 赖氨酸 16。 DC在早期胚胎发生过程中如何建立仍不清楚，这主要是由于在早期胚胎阶段难以获得足够的性别特异性材料。在这里，我们开发了一种高通量胚胎分选策略，并结合新合成的 RNA 测序和 RNA 聚合酶 II (Pol II) 分析来研究体内 DC 发病的机制。我们发现转录起始的变化发生在可检测到的转录暂停或延伸差异之前，并且代表了 DC 建立期间 mRNA 输出增强的主要决定因素。迄今为止，尚不清楚 DC 的建立和维持是否对转录动力学产生相似或不同的影响。将全基因组分析扩展到 S2 细胞，我们发现 Pol II 起始是 DC 驱动的转录上调的起始和持续的一般原则。</w:t>
      </w:r>
    </w:p>
    <w:p>
      <w:pPr>
        <w:spacing w:before="0" w:after="200" w:lineRule="auto" w:line="276"/>
      </w:pPr>
      <w:r>
        <w:rPr>
          <w:b/>
        </w:rPr>
        <w:t xml:space="preserve">Abstract (EN): </w:t>
      </w:r>
      <w:r>
        <w:t>Dosage compensation (DC) in</w:t>
      </w:r>
      <w:r>
        <w:t xml:space="preserve"> </w:t>
      </w:r>
      <w:r>
        <w:t>Drosophila</w:t>
      </w:r>
      <w:r>
        <w:t xml:space="preserve"> </w:t>
      </w:r>
      <w:r>
        <w:t>equalizes X chromosome–linked gene expression via the male-specific lethal complex, which acetylates histone 4 lysine-16 on the male X chromosome. How DC is established during early embryogenesis remains obscure, largely due to the difficulty of obtaining sufficient sex-specific material at early embryonic stages. Here, we developed a high-throughput embryo sorting strategy and combined newly synthesized RNA-sequencing and RNA polymerase II (Pol II) profiling to investigate the mechanisms underlying the onset of DC in vivo. We found that changes in transcription initiation occur before detectable differences in transcriptional pausing or elongation and represent the primary determinant of enhanced mRNA output during DC establishment. It had hitherto been unclear whether DC establishment and maintenance exerted similar or distinct effects on transcriptional kinetics. Extending genome-wide profiling to S2 cells, we uncovered Pol II initiation as a general principle underlying both inception and perpetuation of DC-driven transcriptional up-regulation.</w:t>
      </w:r>
    </w:p>
    <w:p>
      <w:pPr>
        <w:spacing w:before="120" w:after="120"/>
      </w:pPr>
      <w:r>
        <w:rPr>
          <w:sz w:val="18"/>
        </w:rPr>
        <w:t>——————————————————————————————————————————————————————————————————————</w:t>
      </w:r>
    </w:p>
    <w:p>
      <w:pPr>
        <w:spacing w:before="160" w:after="40" w:line="240" w:lineRule="auto"/>
      </w:pPr>
      <w:r>
        <w:rPr>
          <w:b/>
        </w:rPr>
        <w:t xml:space="preserve">[447] </w:t>
      </w:r>
      <w:hyperlink r:id="rId1164">
        <w:r>
          <w:rPr>
            <w:color w:val="1155CC"/>
            <w:u w:val="single"/>
          </w:rPr>
          <w:t>通过镁铁质补给和流体介导的硫化物溶解富集亲铜金属形成长英质热液矿床</w:t>
        </w:r>
      </w:hyperlink>
    </w:p>
    <w:p>
      <w:pPr>
        <w:spacing w:before="0" w:after="80"/>
      </w:pPr>
      <w:r>
        <w:rPr>
          <w:i/>
          <w:sz w:val="20"/>
        </w:rPr>
        <w:t>EN: Felsic hydrothermal deposit formation by chalcophile metal concentration through mafic recharge and fluid-mediated sulfide dissolution</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65">
        <w:r>
          <w:rPr>
            <w:color w:val="1155CC"/>
            <w:u w:val="single"/>
          </w:rPr>
          <w:t>10.1126/sciadv.aec4514</w:t>
        </w:r>
      </w:hyperlink>
    </w:p>
    <w:p>
      <w:pPr>
        <w:spacing w:before="0" w:after="120"/>
      </w:pPr>
      <w:r>
        <w:rPr>
          <w:b/>
        </w:rPr>
        <w:t xml:space="preserve">Notes: </w:t>
      </w:r>
      <w:r>
        <w:t>abstract_source=crossref</w:t>
      </w:r>
    </w:p>
    <w:p>
      <w:pPr>
        <w:spacing w:before="0" w:after="80" w:lineRule="auto" w:line="276"/>
      </w:pPr>
      <w:r>
        <w:rPr>
          <w:b/>
        </w:rPr>
        <w:t xml:space="preserve">摘要（ZH）: </w:t>
      </w:r>
      <w:r>
        <w:t>与长英质岩浆作用相关的热液硫化物矿床（例如斑岩和夕卡岩）是亲铜金属的主要来源，包括铜（Cu）、钼（Mo）、金（Au）、铅（Pb）、锌（Zn）、银（Ag）和锡（Sn）。然而，硫和金属的来源仍然存在争议。我们报告了一项关于北大山花岗岩岩体（中国东北）镁铁质包体中单斜辉石硫化物包裹体的研究，该包体与一个巨大的锡-铅-锌-银-铜矿床有关。证据表明：（i）在上地壳镁铁质岩浆侵位期间，富铜和富锌的硫化物液体、硅酸盐液体和水性流体之间不混溶； (ii) FeS[硫化铁]为主的熔体包裹体中的金属富集（~2628ppm的Cu、~233ppm的Zn、~275ppm的Pb和~2.0ppm的Sn），反映了对硫化物熔体的强烈分配； (iii) 出溶流体氧化溶解硫化物，使金属转移到上覆的长英质岩浆。研究表明，长英质矿床中的金属来源于下方的镁铁质岩浆，镁铁质-长英质相互作用引发了硫化物液体/水性流体的共饱和，确保了流体介导的亲铜金属的有效溶解和转移。</w:t>
      </w:r>
    </w:p>
    <w:p>
      <w:pPr>
        <w:spacing w:before="0" w:after="200" w:lineRule="auto" w:line="276"/>
      </w:pPr>
      <w:r>
        <w:rPr>
          <w:b/>
        </w:rPr>
        <w:t xml:space="preserve">Abstract (EN): </w:t>
      </w:r>
      <w:r>
        <w:t>Hydrothermal sulfide deposits (e.g., porphyry and skarn) associated with felsic magmatism are major sources of chalcophile metals, including copper (Cu), molybdenum (Mo), gold (Au), lead (Pb), zinc (Zn), silver (Ag), and tin (Sn). However, the source of sulfur and metals remains debated. We report a study of clinopyroxene-hosted sulfide inclusions in mafic enclaves from the Beidashan granitic pluton (Northeast China), associated with a giant Sn-Pb-Zn-Ag-Cu deposit. Evidence shows the following: (i) immiscibility among Cu- and Zn-rich sulfide liquid, a silicate liquid, and an aqueous fluid during mafic magma emplacement in the upper crust; (ii) metal enrichment in FeS [iron(II) sulfide]–dominated melt inclusions (∼2628 parts per million of Cu, ∼233 parts per million of Zn, ∼275 parts per million of Pb, and ∼2.0 parts per million of Sn), reflecting strong partitioning into sulfide melts; and (iii) oxidative dissolution of sulfides by exsolved fluids, enabling metal transfer to the overlying felsic magma. The study demonstrates that metals in felsic-hosted deposits are sourced from subjacent mafic magmas and that mafic-felsic interaction triggered sulfide liquid/aqueous fluid cosaturation, ensuring efficient fluid-mediated chalcophile metal dissolution and transfer.</w:t>
      </w:r>
    </w:p>
    <w:p>
      <w:pPr>
        <w:spacing w:before="120" w:after="120"/>
      </w:pPr>
      <w:r>
        <w:rPr>
          <w:sz w:val="18"/>
        </w:rPr>
        <w:t>——————————————————————————————————————————————————————————————————————</w:t>
      </w:r>
    </w:p>
    <w:p>
      <w:pPr>
        <w:spacing w:before="160" w:after="40" w:line="240" w:lineRule="auto"/>
      </w:pPr>
      <w:r>
        <w:rPr>
          <w:b/>
        </w:rPr>
        <w:t xml:space="preserve">[448] </w:t>
      </w:r>
      <w:hyperlink r:id="rId1166">
        <w:r>
          <w:rPr>
            <w:color w:val="1155CC"/>
            <w:u w:val="single"/>
          </w:rPr>
          <w:t>玻连蛋白在 3D 培养物和特发性肺纤维化中对促纤维化巨噬细胞进行代谢编程</w:t>
        </w:r>
      </w:hyperlink>
    </w:p>
    <w:p>
      <w:pPr>
        <w:spacing w:before="0" w:after="80"/>
      </w:pPr>
      <w:r>
        <w:rPr>
          <w:i/>
          <w:sz w:val="20"/>
        </w:rPr>
        <w:t>EN: Vitronectin metabolically programs profibrotic macrophages in 3D cultures and idiopathic pulmonary fibrosis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67">
        <w:r>
          <w:rPr>
            <w:color w:val="1155CC"/>
            <w:u w:val="single"/>
          </w:rPr>
          <w:t>10.1126/sciadv.aec8501</w:t>
        </w:r>
      </w:hyperlink>
    </w:p>
    <w:p>
      <w:pPr>
        <w:spacing w:before="0" w:after="120"/>
      </w:pPr>
      <w:r>
        <w:rPr>
          <w:b/>
        </w:rPr>
        <w:t xml:space="preserve">Notes: </w:t>
      </w:r>
      <w:r>
        <w:t>abstract_source=crossref</w:t>
      </w:r>
    </w:p>
    <w:p>
      <w:pPr>
        <w:spacing w:before="0" w:after="80" w:lineRule="auto" w:line="276"/>
      </w:pPr>
      <w:r>
        <w:rPr>
          <w:b/>
        </w:rPr>
        <w:t xml:space="preserve">摘要（ZH）: </w:t>
      </w:r>
      <w:r>
        <w:t>巨噬细胞是炎症和纤维化疾病的关键驱动因素，它们的激活是由组织微环境中的相互作用决定的。然而，剖析驱动免疫病理学的过程已被证明具有挑战性，因为传统的二维 (2D) 培养方法无法捕获巨噬细胞在体内栖息的复杂分子环境。为了解决这个问题，我们生成了 3D 体外模型，以更好地模拟体内生物物理微环境。我们发现细胞外基质蛋白玻连蛋白在 3D 中促进以前未知的促纤维化巨噬细胞表型，其特征是烟酰胺腺嘌呤二核苷酸（NAD）的表达增加</w:t>
      </w:r>
      <w:r>
        <w:t xml:space="preserve"> </w:t>
      </w:r>
      <w:r>
        <w:t>+</w:t>
      </w:r>
      <w:r>
        <w:t xml:space="preserve"> </w:t>
      </w:r>
      <w:r>
        <w:t>) 胞外酶 CD38，糖酵解和线粒体代谢升高，以及免疫调节代谢物衣康酸的合成。这在体内得到了验证，特发性肺纤维化患者的玻连蛋白水平升高，并且</w:t>
      </w:r>
      <w:r>
        <w:t xml:space="preserve"> </w:t>
      </w:r>
      <w:r>
        <w:t>MRC1</w:t>
      </w:r>
      <w:r>
        <w:t xml:space="preserve"> </w:t>
      </w:r>
      <w:r>
        <w:t>+</w:t>
      </w:r>
      <w:r>
        <w:t xml:space="preserve"> </w:t>
      </w:r>
      <w:r>
        <w:t>CD38</w:t>
      </w:r>
      <w:r>
        <w:t xml:space="preserve"> </w:t>
      </w:r>
      <w:r>
        <w:t>+</w:t>
      </w:r>
      <w:r>
        <w:t xml:space="preserve"> </w:t>
      </w:r>
      <w:r>
        <w:t>巨噬细胞，而缺乏玻连蛋白的小鼠则免受肺损伤和纤维化的实验模型的影响。因此，我们通过改变代谢重编程发现了组织生态位的组成与巨噬细胞促纤维化功能之间以前未识别的联系。</w:t>
      </w:r>
    </w:p>
    <w:p>
      <w:pPr>
        <w:spacing w:before="0" w:after="200" w:lineRule="auto" w:line="276"/>
      </w:pPr>
      <w:r>
        <w:rPr>
          <w:b/>
        </w:rPr>
        <w:t xml:space="preserve">Abstract (EN): </w:t>
      </w:r>
      <w:r>
        <w:t>Macrophages are key drivers of inflammatory and fibrotic diseases, and their activation is shaped by interactions in their tissue microenvironment. However, dissecting the processes that drive immunopathology has proved challenging, as traditional two-dimensional (2D) culture methods fail to capture the complex molecular environment that macrophages inhabit in vivo. To address this, we generated a 3D in vitro model to better mimic the in vivo biophysical microenvironment. We show that the extracellular matrix protein vitronectin promotes a previously unknown profibrotic macrophage phenotype in 3D that is characterized by increased expression of the nicotinamide adenine dinucleotide (NAD</w:t>
      </w:r>
      <w:r>
        <w:t xml:space="preserve"> </w:t>
      </w:r>
      <w:r>
        <w:t>+</w:t>
      </w:r>
      <w:r>
        <w:t xml:space="preserve"> </w:t>
      </w:r>
      <w:r>
        <w:t>) ectoenzyme CD38, elevated glycolysis and mitochondrial metabolism, and synthesis of the immunomodulatory metabolite itaconate. This is validated in vivo where patients with idiopathic pulmonary fibrosis have elevated vitronectin and</w:t>
      </w:r>
      <w:r>
        <w:t xml:space="preserve"> </w:t>
      </w:r>
      <w:r>
        <w:t>MRC1</w:t>
      </w:r>
      <w:r>
        <w:t xml:space="preserve"> </w:t>
      </w:r>
      <w:r>
        <w:t>+</w:t>
      </w:r>
      <w:r>
        <w:t xml:space="preserve"> </w:t>
      </w:r>
      <w:r>
        <w:t>CD38</w:t>
      </w:r>
      <w:r>
        <w:t xml:space="preserve"> </w:t>
      </w:r>
      <w:r>
        <w:t>+</w:t>
      </w:r>
      <w:r>
        <w:t xml:space="preserve"> </w:t>
      </w:r>
      <w:r>
        <w:t>macrophages, while vitronectin-deficient mice were protected from an experimental model of lung injury and fibrosis. Thus, we uncover a previously unidentified link between the composition of tissue niches and macrophage profibrotic function via altered metabolic reprogramming.</w:t>
      </w:r>
    </w:p>
    <w:p>
      <w:pPr>
        <w:spacing w:before="120" w:after="120"/>
      </w:pPr>
      <w:r>
        <w:rPr>
          <w:sz w:val="18"/>
        </w:rPr>
        <w:t>——————————————————————————————————————————————————————————————————————</w:t>
      </w:r>
    </w:p>
    <w:p>
      <w:pPr>
        <w:spacing w:before="160" w:after="40" w:line="240" w:lineRule="auto"/>
      </w:pPr>
      <w:r>
        <w:rPr>
          <w:b/>
        </w:rPr>
        <w:t xml:space="preserve">[449] </w:t>
      </w:r>
      <w:hyperlink r:id="rId1168">
        <w:r>
          <w:rPr>
            <w:color w:val="1155CC"/>
            <w:u w:val="single"/>
          </w:rPr>
          <w:t>帕金森病的功能分离</w:t>
        </w:r>
      </w:hyperlink>
    </w:p>
    <w:p>
      <w:pPr>
        <w:spacing w:before="0" w:after="80"/>
      </w:pPr>
      <w:r>
        <w:rPr>
          <w:i/>
          <w:sz w:val="20"/>
        </w:rPr>
        <w:t>EN: Functional segregation in Parkinson’s disease</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69">
        <w:r>
          <w:rPr>
            <w:color w:val="1155CC"/>
            <w:u w:val="single"/>
          </w:rPr>
          <w:t>10.1126/sciadv.aed1707</w:t>
        </w:r>
      </w:hyperlink>
    </w:p>
    <w:p>
      <w:pPr>
        <w:spacing w:before="0" w:after="120"/>
      </w:pPr>
      <w:r>
        <w:rPr>
          <w:b/>
        </w:rPr>
        <w:t xml:space="preserve">Notes: </w:t>
      </w:r>
      <w:r>
        <w:t>abstract_source=crossref</w:t>
      </w:r>
    </w:p>
    <w:p>
      <w:pPr>
        <w:spacing w:before="0" w:after="80" w:lineRule="auto" w:line="276"/>
      </w:pPr>
      <w:r>
        <w:rPr>
          <w:b/>
        </w:rPr>
        <w:t xml:space="preserve">摘要（ZH）: </w:t>
      </w:r>
      <w:r>
        <w:t>基底神经节以体位表征为特征，并以平行、功能分离的皮质纹状体回路组织，但帕金森病 (PD) 对这种结构的影响尚不清楚。我们使用[绘制了任务诱发的多巴胺释放图</w:t>
      </w:r>
      <w:r>
        <w:rPr>
          <w:vertAlign w:val="subscript"/>
        </w:rPr>
        <w:t>11</w:t>
      </w:r>
      <w:r>
        <w:t>C]雷氯必利正电子发射断层扫描/磁共振对 13 名早期 PD 和 15 名健康对照 (HC) 受试者在执行运动、认知和奖励任务期间进行。在PD中，与HC相比，运动任务导致背壳核中多巴胺的相对释放减少，但受影响较小的尾状核和腹侧纹状体中的多巴胺释放增加。 HC 在上肢和下肢激活方面表现出不同的多巴胺能拓扑； PD 中不存在这种体征。 HC 在所有任务中都表现出多巴胺释放的分离模式，但在 PD 中，解剖学和功能分离都丢失了。改变多巴胺释放拓扑的代偿效应可能有助于维持 PD 患者的功能，但分离的丧失可能会导致离散运动选择和多任务处理方面的挑战。</w:t>
      </w:r>
    </w:p>
    <w:p>
      <w:pPr>
        <w:spacing w:before="0" w:after="200" w:lineRule="auto" w:line="276"/>
      </w:pPr>
      <w:r>
        <w:rPr>
          <w:b/>
        </w:rPr>
        <w:t xml:space="preserve">Abstract (EN): </w:t>
      </w:r>
      <w:r>
        <w:t>The basal ganglia are characterized by somatotopic representation and are organized in parallel, functionally segregated corticostriatal circuits, but the impact of Parkinson’s disease (PD) on this architecture is unknown. We mapped task-evoked dopamine release using [</w:t>
      </w:r>
      <w:r>
        <w:rPr>
          <w:vertAlign w:val="subscript"/>
        </w:rPr>
        <w:t>11</w:t>
      </w:r>
      <w:r>
        <w:t>C]raclopride positron emission tomography/magnetic resonance in 13 early PD and 15 healthy control (HC) subjects during the performance of motor, cognitive, and reward tasks. In PD, motor tasks elicited decreased relative dopamine release in dorsal putamen but increased in less affected caudate and ventral striatum compared to HC. HC showed distinct dopaminergic topographies for upper versus lower limb activation; this somatotopy was absent in PD. HC exhibited segregated patterns of dopamine release across all tasks, but both anatomical and functional segregation were lost in PD. Compensatory effects of altered dopamine release topography may help to maintain function in patients with PD, but loss of segregation may contribute to challenges in discrete selection of movement and in multitasking.</w:t>
      </w:r>
    </w:p>
    <w:p>
      <w:pPr>
        <w:spacing w:before="120" w:after="120"/>
      </w:pPr>
      <w:r>
        <w:rPr>
          <w:sz w:val="18"/>
        </w:rPr>
        <w:t>——————————————————————————————————————————————————————————————————————</w:t>
      </w:r>
    </w:p>
    <w:p>
      <w:pPr>
        <w:spacing w:before="160" w:after="40" w:line="240" w:lineRule="auto"/>
      </w:pPr>
      <w:r>
        <w:rPr>
          <w:b/>
        </w:rPr>
        <w:t xml:space="preserve">[450] </w:t>
      </w:r>
      <w:hyperlink r:id="rId1170">
        <w:r>
          <w:rPr>
            <w:color w:val="1155CC"/>
            <w:u w:val="single"/>
          </w:rPr>
          <w:t>卫星 DNA 序列决定着丝粒周围异染色质的形成和功能</w:t>
        </w:r>
      </w:hyperlink>
    </w:p>
    <w:p>
      <w:pPr>
        <w:spacing w:before="0" w:after="80"/>
      </w:pPr>
      <w:r>
        <w:rPr>
          <w:i/>
          <w:sz w:val="20"/>
        </w:rPr>
        <w:t>EN: Satellite DNA sequence dictates pericentromere heterochromatin formation and function</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71">
        <w:r>
          <w:rPr>
            <w:color w:val="1155CC"/>
            <w:u w:val="single"/>
          </w:rPr>
          <w:t>10.1126/sciadv.ady2267</w:t>
        </w:r>
      </w:hyperlink>
    </w:p>
    <w:p>
      <w:pPr>
        <w:spacing w:before="0" w:after="120"/>
      </w:pPr>
      <w:r>
        <w:rPr>
          <w:b/>
        </w:rPr>
        <w:t xml:space="preserve">Notes: </w:t>
      </w:r>
      <w:r>
        <w:t>abstract_source=crossref</w:t>
      </w:r>
    </w:p>
    <w:p>
      <w:pPr>
        <w:spacing w:before="0" w:after="80" w:lineRule="auto" w:line="276"/>
      </w:pPr>
      <w:r>
        <w:rPr>
          <w:b/>
        </w:rPr>
        <w:t xml:space="preserve">摘要（ZH）: </w:t>
      </w:r>
      <w:r>
        <w:t>着丝粒周围是与着丝粒相邻的异染色质区域，可确保准确的染色体分离。尽管它们的功能保守，但它们由快速进化的富含 A/T 的卫星 DNA 组成。为了测试这种快速序列进化的功能后果，我们建立了杂交小鼠胚胎作为模型系统，以比较来自共同细胞质中不同物种的不同卫星阵列。我们发现卫星序列的变化会影响异染色质的形成、染色体乘客复合物（CPC）的招募以及与有丝分裂纺锤体的相互作用。卫星 DNA 序列的差异改变了多梳抑制复合物 1 (PRC1) 的着丝粒周围包装，因为招募 PRC1 的卫星阵列富集了 PRC1 AT 钩优先结合的特定 A/T 序列。此外，PRC1 异染色质通过抑制 CPC 的募集来改变着丝粒周围的功能，增加有丝分裂期间微管对动粒的作用力。我们的研究结果提供了卫星 DNA 组成与有丝分裂染色体行为之间的直接联系，并强调早期胚胎发生是对卫星 DNA 进化敏感的发育关键点。</w:t>
      </w:r>
    </w:p>
    <w:p>
      <w:pPr>
        <w:spacing w:before="0" w:after="200" w:lineRule="auto" w:line="276"/>
      </w:pPr>
      <w:r>
        <w:rPr>
          <w:b/>
        </w:rPr>
        <w:t xml:space="preserve">Abstract (EN): </w:t>
      </w:r>
      <w:r>
        <w:t>Pericentromeres are heterochromatic regions adjacent to centromeres that ensure accurate chromosome segregation. Despite their conserved function, they are composed of rapidly evolving A/T-rich satellite DNA. To test the functional consequences of this rapid sequence evolution, we establish hybrid mouse embryos as a model system to compare divergent satellite arrays from distinct species in a common cytoplasm. We show that variation in satellite sequence impacts heterochromatin formation, recruitment of the Chromosome Passenger Complex (CPC), and interactions with the mitotic spindle. Differences in satellite DNA sequence alter pericentromere packaging by Polycomb Repressive Complex 1 (PRC1), as satellite arrays that recruit PRC1 are enriched for specific A/T sequences that the PRC1 AT-hook preferentially binds. Furthermore, PRC1 heterochromatin modifies pericentromere function by inhibiting recruitment of the CPC, increasing microtubule forces on kinetochores during mitosis. Our results provide a direct link between satellite DNA composition and mitotic chromosome behavior and highlight early embryogenesis as a critical point in development that is sensitive to satellite DNA evolution.</w:t>
      </w:r>
    </w:p>
    <w:p>
      <w:pPr>
        <w:spacing w:before="120" w:after="120"/>
      </w:pPr>
      <w:r>
        <w:rPr>
          <w:sz w:val="18"/>
        </w:rPr>
        <w:t>——————————————————————————————————————————————————————————————————————</w:t>
      </w:r>
    </w:p>
    <w:p>
      <w:pPr>
        <w:spacing w:before="160" w:after="40" w:line="240" w:lineRule="auto"/>
      </w:pPr>
      <w:r>
        <w:rPr>
          <w:b/>
        </w:rPr>
        <w:t xml:space="preserve">[451] </w:t>
      </w:r>
      <w:hyperlink r:id="rId1172">
        <w:r>
          <w:rPr>
            <w:color w:val="1155CC"/>
            <w:u w:val="single"/>
          </w:rPr>
          <w:t>有袋动物的异时性肢体模式揭示了侧板中胚层形态发生过程的灵活性</w:t>
        </w:r>
      </w:hyperlink>
    </w:p>
    <w:p>
      <w:pPr>
        <w:spacing w:before="0" w:after="80"/>
      </w:pPr>
      <w:r>
        <w:rPr>
          <w:i/>
          <w:sz w:val="20"/>
        </w:rPr>
        <w:t>EN: Heterochronic limb patterning in marsupials reveals flexibility in the processes underlying lateral plate mesoderm morphogenesis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73">
        <w:r>
          <w:rPr>
            <w:color w:val="1155CC"/>
            <w:u w:val="single"/>
          </w:rPr>
          <w:t>10.1126/sciadv.aed3192</w:t>
        </w:r>
      </w:hyperlink>
    </w:p>
    <w:p>
      <w:pPr>
        <w:spacing w:before="0" w:after="120"/>
      </w:pPr>
      <w:r>
        <w:rPr>
          <w:b/>
        </w:rPr>
        <w:t xml:space="preserve">Notes: </w:t>
      </w:r>
      <w:r>
        <w:t>abstract_source=crossref</w:t>
      </w:r>
    </w:p>
    <w:p>
      <w:pPr>
        <w:spacing w:before="0" w:after="80" w:lineRule="auto" w:line="276"/>
      </w:pPr>
      <w:r>
        <w:rPr>
          <w:b/>
        </w:rPr>
        <w:t xml:space="preserve">摘要（ZH）: </w:t>
      </w:r>
      <w:r>
        <w:t>有袋动物胚胎在强烈的功能限制下发育：新生儿在短暂妊娠后出生，但必须立即利用早熟的前肢爬到乳头处。为了满足这一需求，有袋动物进化出了肢体形态发生的极度加速，但这种转变背后的细胞和分子机制仍未得到解决。使用两种远亲有袋动物，肥尾袋鼩（</w:t>
      </w:r>
      <w:r>
        <w:t xml:space="preserve"> </w:t>
      </w:r>
      <w:r>
        <w:t>粗尾绿草</w:t>
      </w:r>
      <w:r>
        <w:t xml:space="preserve"> </w:t>
      </w:r>
      <w:r>
        <w:t>）和灰色短尾负鼠（</w:t>
      </w:r>
      <w:r>
        <w:t xml:space="preserve"> </w:t>
      </w:r>
      <w:r>
        <w:t>家蝇</w:t>
      </w:r>
      <w:r>
        <w:t xml:space="preserve"> </w:t>
      </w:r>
      <w:r>
        <w:t>），我们发现这种加速向上游延伸到侧板中胚层（LPM）形成的最早阶段。前肢区域与其他轴向结构相对隔离，其特征是在神经管和体节形成之前肢体基因的加速激活。前肢生长在明显的 LPM 细分和上皮-间质转化之前开始，肢体间质由未分化的 LPM 产生。这些发现揭示了轴向形态发生和肢体起始之间的时间关系中意想不到的灵活性，突出了控制脊椎动物肢体模式的过程中的进化可塑性。</w:t>
      </w:r>
    </w:p>
    <w:p>
      <w:pPr>
        <w:spacing w:before="0" w:after="200" w:lineRule="auto" w:line="276"/>
      </w:pPr>
      <w:r>
        <w:rPr>
          <w:b/>
        </w:rPr>
        <w:t xml:space="preserve">Abstract (EN): </w:t>
      </w:r>
      <w:r>
        <w:t>Marsupial embryos develop under intense functional constraints: neonates are born after a short gestation but must immediately crawl to the teat using precociously developed forelimbs. To meet this demand, marsupials have evolved extreme acceleration of limb morphogenesis, yet the cellular and molecular mechanisms underlying this shift remain unresolved. Using two distantly related marsupials, the fat-tailed dunnart (</w:t>
      </w:r>
      <w:r>
        <w:t xml:space="preserve"> </w:t>
      </w:r>
      <w:r>
        <w:t>Sminthopsis crassicaudata</w:t>
      </w:r>
      <w:r>
        <w:t xml:space="preserve"> </w:t>
      </w:r>
      <w:r>
        <w:t>) and the gray short-tailed opossum (</w:t>
      </w:r>
      <w:r>
        <w:t xml:space="preserve"> </w:t>
      </w:r>
      <w:r>
        <w:t>Monodelphis domestica</w:t>
      </w:r>
      <w:r>
        <w:t xml:space="preserve"> </w:t>
      </w:r>
      <w:r>
        <w:t>), we show that this acceleration extends upstream to the earliest stages of lateral plate mesoderm (LPM) formation. The forelimb field is specified in relative isolation from other axial structures, marked by accelerated activation of limb genes prior to neural tube and somite formation. Forelimb outgrowth begins before overt LPM subdivision and epithelial–mesenchymal transitions, with limb mesenchyme arising from an undifferentiated LPM. These findings reveal unexpected flexibility in the temporal relationships between axial morphogenesis and limb initiation, highlighting evolutionary plasticity in the processes that govern vertebrate limb patterning.</w:t>
      </w:r>
    </w:p>
    <w:p>
      <w:pPr>
        <w:spacing w:before="120" w:after="120"/>
      </w:pPr>
      <w:r>
        <w:rPr>
          <w:sz w:val="18"/>
        </w:rPr>
        <w:t>——————————————————————————————————————————————————————————————————————</w:t>
      </w:r>
    </w:p>
    <w:p>
      <w:pPr>
        <w:spacing w:before="160" w:after="40" w:line="240" w:lineRule="auto"/>
      </w:pPr>
      <w:r>
        <w:rPr>
          <w:b/>
        </w:rPr>
        <w:t xml:space="preserve">[452] </w:t>
      </w:r>
      <w:hyperlink r:id="rId1174">
        <w:r>
          <w:rPr>
            <w:color w:val="1155CC"/>
            <w:u w:val="single"/>
          </w:rPr>
          <w:t>航天多组学揭示人类生殖细胞发育的脆弱性</w:t>
        </w:r>
      </w:hyperlink>
    </w:p>
    <w:p>
      <w:pPr>
        <w:spacing w:before="0" w:after="80"/>
      </w:pPr>
      <w:r>
        <w:rPr>
          <w:i/>
          <w:sz w:val="20"/>
        </w:rPr>
        <w:t>EN: Spaceflight multi-omics reveals vulnerabilities of human germ cell development</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75">
        <w:r>
          <w:rPr>
            <w:color w:val="1155CC"/>
            <w:u w:val="single"/>
          </w:rPr>
          <w:t>10.1126/sciadv.aee0143</w:t>
        </w:r>
      </w:hyperlink>
    </w:p>
    <w:p>
      <w:pPr>
        <w:spacing w:before="0" w:after="120"/>
      </w:pPr>
      <w:r>
        <w:rPr>
          <w:b/>
        </w:rPr>
        <w:t xml:space="preserve">Notes: </w:t>
      </w:r>
      <w:r>
        <w:t>abstract_source=crossref</w:t>
      </w:r>
    </w:p>
    <w:p>
      <w:pPr>
        <w:spacing w:before="0" w:after="80" w:lineRule="auto" w:line="276"/>
      </w:pPr>
      <w:r>
        <w:rPr>
          <w:b/>
        </w:rPr>
        <w:t xml:space="preserve">摘要（ZH）: </w:t>
      </w:r>
      <w:r>
        <w:t>了解航天对人类生殖的影响对于星际探索至关重要，但技术障碍限制了对轨道生殖细胞生物学的直接研究。在这里，我们利用自动化生物反应器支持航天器上的人类胚胎干细胞长期分化为人类诱导原始生殖细胞（hiPGC）、人类诱导卵巢卵泡（hiOF）和人类诱导精原干细胞（hiSSC）。集成的实时成像、可编程介质灌注和原位保存可实现时间分辨多组学分析。在中国天舟一号和天舟六号航天器执行任务期间，航天使 hiPGC 规范效率降低了约 50%，并将 hiSSC 扩散抑制了 26%。转录组-翻译组协调揭示了细胞外基质组织、微管动力学和脂质代谢的细胞类型特异性失调。全外显子组测序和 DNA 甲基化组分析表明，尽管存在这些功能扰动，但基因组完整性得以保留。这些发现提供了直接证据，表明太空飞行会扰乱人类生殖细胞的发育，并建立了一个可扩展的框架来监测深空任务期间的细胞适应。</w:t>
      </w:r>
    </w:p>
    <w:p>
      <w:pPr>
        <w:spacing w:before="0" w:after="200" w:lineRule="auto" w:line="276"/>
      </w:pPr>
      <w:r>
        <w:rPr>
          <w:b/>
        </w:rPr>
        <w:t xml:space="preserve">Abstract (EN): </w:t>
      </w:r>
      <w:r>
        <w:t>Understanding the impact of spaceflight on human reproduction is critical for interplanetary exploration, yet technical barriers have limited direct studies of germ cell biology in orbit. Here, we utilized an automated bioreactor that supported long-term differentiation of human embryonic stem cells into human induced primordial germ cells (hiPGCs), human induced ovarian follicles (hiOFs), and human induced spermatogonial stem cells (hiSSCs) aboard spacecraft. Integrated real-time imaging, programmable medium perfusion, and in situ preservation enabled time-resolved multi-omics analysis. During missions on China’s Tianzhou-1 and Tianzhou-6 spacecraft, spaceflight reduced hiPGC specification efficiency by approximately 50% and suppressed hiSSC proliferation by 26%. Transcriptome-translatome coordination revealed cell-type-specific dysregulation of extracellular matrix organization, microtubule dynamics, and lipid metabolism. Whole-exome sequencing and DNA methylome analysis demonstrated preserved genomic integrity despite these functional perturbations. These findings provide direct evidence that spaceflight perturbs human germ cell development and establish a scalable framework for monitoring cellular adaptation during deep-space missions.</w:t>
      </w:r>
    </w:p>
    <w:p>
      <w:pPr>
        <w:spacing w:before="120" w:after="120"/>
      </w:pPr>
      <w:r>
        <w:rPr>
          <w:sz w:val="18"/>
        </w:rPr>
        <w:t>——————————————————————————————————————————————————————————————————————</w:t>
      </w:r>
    </w:p>
    <w:p>
      <w:pPr>
        <w:spacing w:before="160" w:after="40" w:line="240" w:lineRule="auto"/>
      </w:pPr>
      <w:r>
        <w:rPr>
          <w:b/>
        </w:rPr>
        <w:t xml:space="preserve">[453] </w:t>
      </w:r>
      <w:hyperlink r:id="rId1176">
        <w:r>
          <w:rPr>
            <w:color w:val="1155CC"/>
            <w:u w:val="single"/>
          </w:rPr>
          <w:t>重新思考未来的洪水灾害：每小时数据挑战阿尔卑斯流域的每日洪水预测</w:t>
        </w:r>
      </w:hyperlink>
    </w:p>
    <w:p>
      <w:pPr>
        <w:spacing w:before="0" w:after="80"/>
      </w:pPr>
      <w:r>
        <w:rPr>
          <w:i/>
          <w:sz w:val="20"/>
        </w:rPr>
        <w:t>EN: Rethinking future flood hazard: Hourly data challenge daily flood projections in Alpine catchments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77">
        <w:r>
          <w:rPr>
            <w:color w:val="1155CC"/>
            <w:u w:val="single"/>
          </w:rPr>
          <w:t>10.1126/sciadv.aed6012</w:t>
        </w:r>
      </w:hyperlink>
    </w:p>
    <w:p>
      <w:pPr>
        <w:spacing w:before="0" w:after="120"/>
      </w:pPr>
      <w:r>
        <w:rPr>
          <w:b/>
        </w:rPr>
        <w:t xml:space="preserve">Notes: </w:t>
      </w:r>
      <w:r>
        <w:t>abstract_source=crossref</w:t>
      </w:r>
    </w:p>
    <w:p>
      <w:pPr>
        <w:spacing w:before="0" w:after="80" w:lineRule="auto" w:line="276"/>
      </w:pPr>
      <w:r>
        <w:rPr>
          <w:b/>
        </w:rPr>
        <w:t xml:space="preserve">摘要（ZH）: </w:t>
      </w:r>
      <w:r>
        <w:t>这项研究挑战了当前洪水灾害研究中的一个常见误解，即在气候变暖的情况下，由于地表过程的变化，特别是融雪的减少，许多河流的洪水将会减少。这种观点仍然存在，因为大多数关于洪水变化的研究都依赖于每日分辨率数据，这掩盖了由于次日降雨强度而导致的洪水变化。我们表明，与高山流域的每小时预测相比，每日径流预测系统地低估了洪水变化。我们的结果强调，从每小时的角度来看，在受到强烈降雪影响的流域中，变化的迹象甚至可以从负转为正，因为亚日降水的加剧可以超过融雪的减少。这些结果表明，使用每日预测而不是每小时预测可能会导致对洪水变化的幅度和方向得出错误的结论。因此，每小时的解决方案对于可靠地指导在变暖的世界中应对极端高山洪水的适应策略至关重要。</w:t>
      </w:r>
    </w:p>
    <w:p>
      <w:pPr>
        <w:spacing w:before="0" w:after="200" w:lineRule="auto" w:line="276"/>
      </w:pPr>
      <w:r>
        <w:rPr>
          <w:b/>
        </w:rPr>
        <w:t xml:space="preserve">Abstract (EN): </w:t>
      </w:r>
      <w:r>
        <w:t>This study challenges a common misconception in current flood hazard research that floods will decrease under a warming climate in many rivers due to changes in land-surface processes, particularly decreases in snowmelt. This view persists because most studies on flood changes rely on daily resolution data, which masks flood changes due to subdaily rainfall intensification. We show that daily streamflow projections systematically underestimate flood changes compared with hourly projections in Alpine catchments. Our results highlight that the sign of change can even switch from negative to positive in strongly snow-influenced catchments when taking an hourly perspective because intensified subdaily precipitation can outweigh snowmelt decline. These results highlight that using daily instead of hourly projections may lead to wrong conclusions on both the magnitude and direction of flood changes. An hourly resolution perspective is, therefore, crucial to reliably guide adaptation strategies to extreme Alpine floods in a warming world.</w:t>
      </w:r>
    </w:p>
    <w:p>
      <w:pPr>
        <w:spacing w:before="120" w:after="120"/>
      </w:pPr>
      <w:r>
        <w:rPr>
          <w:sz w:val="18"/>
        </w:rPr>
        <w:t>——————————————————————————————————————————————————————————————————————</w:t>
      </w:r>
    </w:p>
    <w:p>
      <w:pPr>
        <w:spacing w:before="160" w:after="40" w:line="240" w:lineRule="auto"/>
      </w:pPr>
      <w:r>
        <w:rPr>
          <w:b/>
        </w:rPr>
        <w:t xml:space="preserve">[454] </w:t>
      </w:r>
      <w:hyperlink r:id="rId1178">
        <w:r>
          <w:rPr>
            <w:color w:val="1155CC"/>
            <w:u w:val="single"/>
          </w:rPr>
          <w:t>父亲的气味：父亲的体味促进大脑间的同步</w:t>
        </w:r>
      </w:hyperlink>
    </w:p>
    <w:p>
      <w:pPr>
        <w:spacing w:before="0" w:after="80"/>
      </w:pPr>
      <w:r>
        <w:rPr>
          <w:i/>
          <w:sz w:val="20"/>
        </w:rPr>
        <w:t>EN: Scent of a father: Paternal body odors boost interbrain synchrony</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79">
        <w:r>
          <w:rPr>
            <w:color w:val="1155CC"/>
            <w:u w:val="single"/>
          </w:rPr>
          <w:t>10.1126/sciadv.aed6110</w:t>
        </w:r>
      </w:hyperlink>
    </w:p>
    <w:p>
      <w:pPr>
        <w:spacing w:before="0" w:after="120"/>
      </w:pPr>
      <w:r>
        <w:rPr>
          <w:b/>
        </w:rPr>
        <w:t xml:space="preserve">Notes: </w:t>
      </w:r>
      <w:r>
        <w:t>abstract_source=crossref</w:t>
      </w:r>
    </w:p>
    <w:p>
      <w:pPr>
        <w:spacing w:before="0" w:after="80" w:lineRule="auto" w:line="276"/>
      </w:pPr>
      <w:r>
        <w:rPr>
          <w:b/>
        </w:rPr>
        <w:t xml:space="preserve">摘要（ZH）: </w:t>
      </w:r>
      <w:r>
        <w:t>嗅觉信号是古老的信号，哺乳动物幼崽在母亲不在的情况下利用母亲的体味 (BO) 与栖息地建立联系，加强联想学习并培养社交大脑。婴儿是否会对父亲的 BO 做出反应以及父亲的 BO 如何影响他们的大脑成熟仍然未知。利用双脑电图记录的生态有效范式，我们测量了自然交互过程中婴儿-父亲和婴儿-陌生人的脑间同步性，并评估了父亲 BO 的影响。与陌生人相比，婴儿与父亲表现出更强的脑间同步性。父亲的 BO 增加了婴儿与陌生人的大脑间同步性，并增强了父亲典型的积极唤醒，这提供了证据表明婴儿可以处理父亲的气味，并可以在父亲不在时唤起他的存在。父亲通过增强阿尔法节律的跨半球连接来促进大脑成熟，阿尔法节律在刺激社交互动过程中维持注意力调节。父亲的嗅觉线索可以激发婴儿的联想学习，并可能推动更复杂的神经和行为能力的发展。</w:t>
      </w:r>
    </w:p>
    <w:p>
      <w:pPr>
        <w:spacing w:before="0" w:after="200" w:lineRule="auto" w:line="276"/>
      </w:pPr>
      <w:r>
        <w:rPr>
          <w:b/>
        </w:rPr>
        <w:t xml:space="preserve">Abstract (EN): </w:t>
      </w:r>
      <w:r>
        <w:t>Olfactory cues are ancient signals and mammalian young utilize maternal body odors (BO) to form a bond to their habitat in the absence of the mother, strengthen associative learning, and grow a social brain. Whether infants respond to their father’s BO and how paternal BO impact their brain maturation is still unknown. Utilizing ecologically-valid paradigms with dual-electroencephalography recordings, we measured infant-father and infant-stranger interbrain synchrony during naturalistic interactions and assessed the effects of paternal BO. Infants show greater interbrain synchrony with father compared to a stranger male. Paternal BO increase infant-stranger interbrain synchrony and enhance the father-typical positive arousal, providing evidence that infants process their father’s odor and can invoke his presence in his absence. Fathers contribute to brain maturation by enhancing cross-hemisphere connectivity in alpha rhythm that sustains attention regulation during stimulating social interactions. Paternal olfactory cues can invoke infants’ associative learning and may push the development of more complex neural and behavioral competencies.</w:t>
      </w:r>
    </w:p>
    <w:p>
      <w:pPr>
        <w:spacing w:before="120" w:after="120"/>
      </w:pPr>
      <w:r>
        <w:rPr>
          <w:sz w:val="18"/>
        </w:rPr>
        <w:t>——————————————————————————————————————————————————————————————————————</w:t>
      </w:r>
    </w:p>
    <w:p>
      <w:pPr>
        <w:spacing w:before="160" w:after="40" w:line="240" w:lineRule="auto"/>
      </w:pPr>
      <w:r>
        <w:rPr>
          <w:b/>
        </w:rPr>
        <w:t xml:space="preserve">[455] </w:t>
      </w:r>
      <w:hyperlink r:id="rId1180">
        <w:r>
          <w:rPr>
            <w:color w:val="1155CC"/>
            <w:u w:val="single"/>
          </w:rPr>
          <w:t>剪接体缓冲神秘的遗传变异以增强拟南芥表型的鲁棒性</w:t>
        </w:r>
      </w:hyperlink>
    </w:p>
    <w:p>
      <w:pPr>
        <w:spacing w:before="0" w:after="80"/>
      </w:pPr>
      <w:r>
        <w:rPr>
          <w:i/>
          <w:sz w:val="20"/>
        </w:rPr>
        <w:t>EN: Spliceosome buffers cryptic genetic variation to enforce phenotypic robustness in Arabidopsis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81">
        <w:r>
          <w:rPr>
            <w:color w:val="1155CC"/>
            <w:u w:val="single"/>
          </w:rPr>
          <w:t>10.1126/sciadv.aed7513</w:t>
        </w:r>
      </w:hyperlink>
    </w:p>
    <w:p>
      <w:pPr>
        <w:spacing w:before="0" w:after="120"/>
      </w:pPr>
      <w:r>
        <w:rPr>
          <w:b/>
        </w:rPr>
        <w:t xml:space="preserve">Notes: </w:t>
      </w:r>
      <w:r>
        <w:t>abstract_source=crossref</w:t>
      </w:r>
    </w:p>
    <w:p>
      <w:pPr>
        <w:spacing w:before="0" w:after="80" w:lineRule="auto" w:line="276"/>
      </w:pPr>
      <w:r>
        <w:rPr>
          <w:b/>
        </w:rPr>
        <w:t xml:space="preserve">摘要（ZH）: </w:t>
      </w:r>
      <w:r>
        <w:t>隐性遗传变异（CGV）在正常条件下表型上是沉默的，当暴露出来时可能会损害表型的稳健性。渠道化缓冲 CGV 以稳定表型，但潜在的分子机制仍然很大程度上未知。在这里，我们展示了选择性剪接作为一种渠道机制</w:t>
      </w:r>
      <w:r>
        <w:t xml:space="preserve"> </w:t>
      </w:r>
      <w:r>
        <w:t>拟南芥</w:t>
      </w:r>
      <w:r>
        <w:t xml:space="preserve"> </w:t>
      </w:r>
      <w:r>
        <w:t>。功能未知基因中的天然单核苷酸多态性</w:t>
      </w:r>
      <w:r>
        <w:t xml:space="preserve"> </w:t>
      </w:r>
      <w:r>
        <w:t>隐藏杀手1</w:t>
      </w:r>
      <w:r>
        <w:t xml:space="preserve"> </w:t>
      </w:r>
      <w:r>
        <w:t>（</w:t>
      </w:r>
      <w:r>
        <w:t xml:space="preserve"> </w:t>
      </w:r>
      <w:r>
        <w:t>HIKI1</w:t>
      </w:r>
      <w:r>
        <w:t xml:space="preserve"> </w:t>
      </w:r>
      <w:r>
        <w:t>）表现为 CGV 并破坏依赖于遗传背景的胚胎稳健性</w:t>
      </w:r>
      <w:r>
        <w:t xml:space="preserve"> </w:t>
      </w:r>
      <w:r>
        <w:t>跳过</w:t>
      </w:r>
      <w:r>
        <w:t xml:space="preserve"> </w:t>
      </w:r>
      <w:r>
        <w:t>自然之间的妥协</w:t>
      </w:r>
      <w:r>
        <w:t xml:space="preserve"> </w:t>
      </w:r>
      <w:r>
        <w:t>拟南芥</w:t>
      </w:r>
      <w:r>
        <w:t xml:space="preserve"> </w:t>
      </w:r>
      <w:r>
        <w:t>人口。含有 SKIP 的剪接体可挽救 CGV 扰动</w:t>
      </w:r>
      <w:r>
        <w:t xml:space="preserve"> </w:t>
      </w:r>
      <w:r>
        <w:t>HIKI1</w:t>
      </w:r>
      <w:r>
        <w:t xml:space="preserve"> </w:t>
      </w:r>
      <w:r>
        <w:t>前信使 RNA 选择性剪接，从而缓冲 CGV 并恢复正常胚胎发生。这种缓冲延伸到胚胎后特征，表明选择性剪接是一种普遍的通道化机制。我们的研究结果揭示了基因解码机制如何在隐藏变异的情况下保持表型稳健性，并为解锁物种范围的遗传潜力和调整性状外显率开辟了先前未探索的途径。</w:t>
      </w:r>
    </w:p>
    <w:p>
      <w:pPr>
        <w:spacing w:before="0" w:after="200" w:lineRule="auto" w:line="276"/>
      </w:pPr>
      <w:r>
        <w:rPr>
          <w:b/>
        </w:rPr>
        <w:t xml:space="preserve">Abstract (EN): </w:t>
      </w:r>
      <w:r>
        <w:t>Cryptic genetic variations (CGVs), which are phenotypically silent under normal conditions, can compromise phenotypic robustness when unmasked. Canalization buffers CGV to stabilize phenotypes, yet the underlying molecular mechanisms remain largely unknown. Here, we show that alternative splicing acts as a canalization mechanism in</w:t>
      </w:r>
      <w:r>
        <w:t xml:space="preserve"> </w:t>
      </w:r>
      <w:r>
        <w:t>Arabidopsis</w:t>
      </w:r>
      <w:r>
        <w:t xml:space="preserve"> </w:t>
      </w:r>
      <w:r>
        <w:t>. A natural single-nucleotide polymorphism in the functionally unknown gene</w:t>
      </w:r>
      <w:r>
        <w:t xml:space="preserve"> </w:t>
      </w:r>
      <w:r>
        <w:t>Hidden Killer 1</w:t>
      </w:r>
      <w:r>
        <w:t xml:space="preserve"> </w:t>
      </w:r>
      <w:r>
        <w:t>(</w:t>
      </w:r>
      <w:r>
        <w:t xml:space="preserve"> </w:t>
      </w:r>
      <w:r>
        <w:t>HIKI1</w:t>
      </w:r>
      <w:r>
        <w:t xml:space="preserve"> </w:t>
      </w:r>
      <w:r>
        <w:t>) behaves as CGV and disrupts embryonic robustness dependent on genetic background when</w:t>
      </w:r>
      <w:r>
        <w:t xml:space="preserve"> </w:t>
      </w:r>
      <w:r>
        <w:t>SKIP</w:t>
      </w:r>
      <w:r>
        <w:t xml:space="preserve"> </w:t>
      </w:r>
      <w:r>
        <w:t>is compromised among natural</w:t>
      </w:r>
      <w:r>
        <w:t xml:space="preserve"> </w:t>
      </w:r>
      <w:r>
        <w:t>Arabidopsis</w:t>
      </w:r>
      <w:r>
        <w:t xml:space="preserve"> </w:t>
      </w:r>
      <w:r>
        <w:t>populations. SKIP-containing spliceosome rescues CGV-perturbed</w:t>
      </w:r>
      <w:r>
        <w:t xml:space="preserve"> </w:t>
      </w:r>
      <w:r>
        <w:t>HIKI1</w:t>
      </w:r>
      <w:r>
        <w:t xml:space="preserve"> </w:t>
      </w:r>
      <w:r>
        <w:t>pre–messenger RNA alternative splicing, thereby buffering the CGV and restoring normal embryogenesis. This buffering extends to postembryonic traits, demonstrating that alternative splicing is a general canalization mechanism. Our findings reveal how genetic decoding machinery maintains phenotypic robustness despite hidden variations and open previously unexplored routes for unlocking species-wide genetic potential and tuning trait penetrance.</w:t>
      </w:r>
    </w:p>
    <w:p>
      <w:pPr>
        <w:spacing w:before="120" w:after="120"/>
      </w:pPr>
      <w:r>
        <w:rPr>
          <w:sz w:val="18"/>
        </w:rPr>
        <w:t>——————————————————————————————————————————————————————————————————————</w:t>
      </w:r>
    </w:p>
    <w:p>
      <w:pPr>
        <w:spacing w:before="160" w:after="40" w:line="240" w:lineRule="auto"/>
      </w:pPr>
      <w:r>
        <w:rPr>
          <w:b/>
        </w:rPr>
        <w:t xml:space="preserve">[456] </w:t>
      </w:r>
      <w:hyperlink r:id="rId1182">
        <w:r>
          <w:rPr>
            <w:color w:val="1155CC"/>
            <w:u w:val="single"/>
          </w:rPr>
          <w:t>高维量子存储器的光子网络</w:t>
        </w:r>
      </w:hyperlink>
    </w:p>
    <w:p>
      <w:pPr>
        <w:spacing w:before="0" w:after="80"/>
      </w:pPr>
      <w:r>
        <w:rPr>
          <w:i/>
          <w:sz w:val="20"/>
        </w:rPr>
        <w:t>EN: Photonic networking of quantum memories in high dimensions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83">
        <w:r>
          <w:rPr>
            <w:color w:val="1155CC"/>
            <w:u w:val="single"/>
          </w:rPr>
          <w:t>10.1126/sciadv.aed8404</w:t>
        </w:r>
      </w:hyperlink>
    </w:p>
    <w:p>
      <w:pPr>
        <w:spacing w:before="0" w:after="120"/>
      </w:pPr>
      <w:r>
        <w:rPr>
          <w:b/>
        </w:rPr>
        <w:t xml:space="preserve">Notes: </w:t>
      </w:r>
      <w:r>
        <w:t>abstract_source=crossref</w:t>
      </w:r>
    </w:p>
    <w:p>
      <w:pPr>
        <w:spacing w:before="0" w:after="80" w:lineRule="auto" w:line="276"/>
      </w:pPr>
      <w:r>
        <w:rPr>
          <w:b/>
        </w:rPr>
        <w:t xml:space="preserve">摘要（ZH）: </w:t>
      </w:r>
      <w:r>
        <w:t>量子网络能够在物理上分离的量子系统之间交换量子信息，其应用范围从量子计算到无条件安全通信。这些量子信息通常由二能级量子系统或量子比特来表示。在这里，我们展示了存储在单个原子中的高维（HD）量子存储器或“量子”的量子网络。从原子量子体存储器发射的高清时间仓编码的单光子的干涉和检测预示着原子量子体能级对之间的最大纠缠贝尔态。这种方法扩展了量子网络的量子信息容量，同时将纠缠成功率提高到超出基于量子位的测量协议的标准 50% 限制。</w:t>
      </w:r>
    </w:p>
    <w:p>
      <w:pPr>
        <w:spacing w:before="0" w:after="200" w:lineRule="auto" w:line="276"/>
      </w:pPr>
      <w:r>
        <w:rPr>
          <w:b/>
        </w:rPr>
        <w:t xml:space="preserve">Abstract (EN): </w:t>
      </w:r>
      <w:r>
        <w:t>Quantum networking enables the exchange of quantum information between physically separated quantum systems, which has applications ranging from quantum computing to unconditionally secure communication. These quantum information is generally represented by two-level quantum systems or qubits. Here, we demonstrate a quantum network of high-dimensional (HD) quantum memories or “qudits” stored in individual atoms. The interference and detection of HD time-bin–encoded single photons emitted from atomic qudit memories herald maximally entangled Bell states across pairs of atomic qudit levels. This approach expands the quantum information capacity of a quantum network while improving the entanglement success fraction beyond the standard 50% limit of qubit-based measurement protocols.</w:t>
      </w:r>
    </w:p>
    <w:p>
      <w:pPr>
        <w:spacing w:before="120" w:after="120"/>
      </w:pPr>
      <w:r>
        <w:rPr>
          <w:sz w:val="18"/>
        </w:rPr>
        <w:t>——————————————————————————————————————————————————————————————————————</w:t>
      </w:r>
    </w:p>
    <w:p>
      <w:pPr>
        <w:spacing w:before="160" w:after="40" w:line="240" w:lineRule="auto"/>
      </w:pPr>
      <w:r>
        <w:rPr>
          <w:b/>
        </w:rPr>
        <w:t xml:space="preserve">[457] </w:t>
      </w:r>
      <w:hyperlink r:id="rId1184">
        <w:r>
          <w:rPr>
            <w:color w:val="1155CC"/>
            <w:u w:val="single"/>
          </w:rPr>
          <w:t>地表过程使卡拉利特努纳特（格陵兰岛）西南冰盖变暗</w:t>
        </w:r>
      </w:hyperlink>
    </w:p>
    <w:p>
      <w:pPr>
        <w:spacing w:before="0" w:after="80"/>
      </w:pPr>
      <w:r>
        <w:rPr>
          <w:i/>
          <w:sz w:val="20"/>
        </w:rPr>
        <w:t>EN: Surface processes darkening the southwestern ice sheet of Kalaallit Nunaat (Greenland)</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85">
        <w:r>
          <w:rPr>
            <w:color w:val="1155CC"/>
            <w:u w:val="single"/>
          </w:rPr>
          <w:t>10.1126/sciadv.ady9482</w:t>
        </w:r>
      </w:hyperlink>
    </w:p>
    <w:p>
      <w:pPr>
        <w:spacing w:before="0" w:after="120"/>
      </w:pPr>
      <w:r>
        <w:rPr>
          <w:b/>
        </w:rPr>
        <w:t xml:space="preserve">Notes: </w:t>
      </w:r>
      <w:r>
        <w:t>abstract_source=crossref</w:t>
      </w:r>
    </w:p>
    <w:p>
      <w:pPr>
        <w:spacing w:before="0" w:after="80" w:lineRule="auto" w:line="276"/>
      </w:pPr>
      <w:r>
        <w:rPr>
          <w:b/>
        </w:rPr>
        <w:t xml:space="preserve">摘要（ZH）: </w:t>
      </w:r>
      <w:r>
        <w:t>每个融化季节，卡拉利特努纳特冰盖的西南边缘都会形成一个“暗区”，降低地表反照率并提高地表融化速率。虽然已知有几个过程会影响局部反照率，但它们各自对区域范围变暗的贡献仍然未知。在这里，我们结合实验室测量、现场观察以及物理和概率建模来量化整个暗区的反照率降低机制。我们的结果表明，变暗主要是由冰石物质积累和冰柱致密化共同驱动的，随后是微藻华的发展，而矿物尘埃颗粒并不直接导致变暗。我们的研究提供了一个经验约束的物理反照率模型来表示暗区及其他地区的裸冰变暗过程，这可以指导建模工作将表面变暗纳入冰盖质量损失预测中。</w:t>
      </w:r>
    </w:p>
    <w:p>
      <w:pPr>
        <w:spacing w:before="0" w:after="200" w:lineRule="auto" w:line="276"/>
      </w:pPr>
      <w:r>
        <w:rPr>
          <w:b/>
        </w:rPr>
        <w:t xml:space="preserve">Abstract (EN): </w:t>
      </w:r>
      <w:r>
        <w:t>Each melt season, a “Dark Zone” develops on the southwestern margin of the ice sheet of Kalaallit Nunaat, reducing surface albedo and enhancing surface melt rates. While several processes are known to locally influence albedo, their respective contributions to the regional-scale darkening remain unknown. Here, we combine laboratory measurements, in situ observations, and physical and probabilistic modeling to quantify the albedo-reducing mechanisms across the Dark Zone. Our results indicate that the darkening is primarily driven by a combination of cryoconite material accumulation and densification of the ice column, followed by the development of microalgal blooms, while mineral dust particles do not directly contribute to the darkening. Our study provides an empirically constrained physical albedo model to represent bare ice darkening processes at play in the Dark Zone and beyond, which can guide modeling efforts to include surface darkening in ice sheet mass loss predictions.</w:t>
      </w:r>
    </w:p>
    <w:p>
      <w:pPr>
        <w:spacing w:before="120" w:after="120"/>
      </w:pPr>
      <w:r>
        <w:rPr>
          <w:sz w:val="18"/>
        </w:rPr>
        <w:t>——————————————————————————————————————————————————————————————————————</w:t>
      </w:r>
    </w:p>
    <w:p>
      <w:pPr>
        <w:spacing w:before="160" w:after="40" w:line="240" w:lineRule="auto"/>
      </w:pPr>
      <w:r>
        <w:rPr>
          <w:b/>
        </w:rPr>
        <w:t xml:space="preserve">[458] </w:t>
      </w:r>
      <w:hyperlink r:id="rId1186">
        <w:r>
          <w:rPr>
            <w:color w:val="1155CC"/>
            <w:u w:val="single"/>
          </w:rPr>
          <w:t>纽约市上空的流星：原始 CM 小行星中的盐水</w:t>
        </w:r>
      </w:hyperlink>
    </w:p>
    <w:p>
      <w:pPr>
        <w:spacing w:before="0" w:after="80"/>
      </w:pPr>
      <w:r>
        <w:rPr>
          <w:i/>
          <w:sz w:val="20"/>
        </w:rPr>
        <w:t>EN: Meteor over New York City: Brines in a primitive CM asteroid</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87">
        <w:r>
          <w:rPr>
            <w:color w:val="1155CC"/>
            <w:u w:val="single"/>
          </w:rPr>
          <w:t>10.1126/sciadv.aea2105</w:t>
        </w:r>
      </w:hyperlink>
    </w:p>
    <w:p>
      <w:pPr>
        <w:spacing w:before="0" w:after="120"/>
      </w:pPr>
      <w:r>
        <w:rPr>
          <w:b/>
        </w:rPr>
        <w:t xml:space="preserve">Notes: </w:t>
      </w:r>
      <w:r>
        <w:t>abstract_source=crossref</w:t>
      </w:r>
    </w:p>
    <w:p>
      <w:pPr>
        <w:spacing w:before="0" w:after="80" w:lineRule="auto" w:line="276"/>
      </w:pPr>
      <w:r>
        <w:rPr>
          <w:b/>
        </w:rPr>
        <w:t xml:space="preserve">摘要（ZH）: </w:t>
      </w:r>
      <w:r>
        <w:t>从小行星 Ryugu 和 Bennu 返回的 CI（Ivuna 型）碳质材料含有液态水蒸发或冻结成盐水时流动的钠，揭示了富含冰的 CI 型世界的内部结构以及生命起源前有机化合物的形成。 CM（Mighei 型）碳质球粒陨石中尚未证实盐水的形成，它也为早期地球提供了有机物质。在此，我们宣布 2024 年 7 月，一颗原始陨石从纽约大都市区上空的白天火球中坠落。它是 CM2 角砾岩，含有独特的富含水和钠的 CM1 碎屑。该陨石在盐水中含有丰富的氨基酸和其他有机化学产物，揭示了 CM 型小行星母体的地下过程。</w:t>
      </w:r>
    </w:p>
    <w:p>
      <w:pPr>
        <w:spacing w:before="0" w:after="200" w:lineRule="auto" w:line="276"/>
      </w:pPr>
      <w:r>
        <w:rPr>
          <w:b/>
        </w:rPr>
        <w:t xml:space="preserve">Abstract (EN): </w:t>
      </w:r>
      <w:r>
        <w:t>The CI (Ivuna-type) carbonaceous material returned from asteroids Ryugu and Bennu contain mobilized sodium from the evaporation or freezing of liquid water into brines, shedding light on the internal structure of ice-rich CI-type worlds and the formation of prebiotic organic compounds. The formation of brines has not been demonstrated in CM (Mighei-type) carbonaceous chondrites, which also supplied organic matter to the early Earth. Here, we announce the fall of a primitive meteorite from a daytime fireball over the New York metropolitan area in July 2024. It is a CM2 breccia that contains unique CM1 clasts rich in water and sodium. The meteorite contains abundant amino acids and other products of organic chemistry in brines that reveal subsurface processes on CM-type asteroid parent bodies.</w:t>
      </w:r>
    </w:p>
    <w:p>
      <w:pPr>
        <w:spacing w:before="120" w:after="120"/>
      </w:pPr>
      <w:r>
        <w:rPr>
          <w:sz w:val="18"/>
        </w:rPr>
        <w:t>——————————————————————————————————————————————————————————————————————</w:t>
      </w:r>
    </w:p>
    <w:p>
      <w:pPr>
        <w:spacing w:before="160" w:after="40" w:line="240" w:lineRule="auto"/>
      </w:pPr>
      <w:r>
        <w:rPr>
          <w:b/>
        </w:rPr>
        <w:t xml:space="preserve">[459] </w:t>
      </w:r>
      <w:hyperlink r:id="rId1188">
        <w:r>
          <w:rPr>
            <w:color w:val="1155CC"/>
            <w:u w:val="single"/>
          </w:rPr>
          <w:t>Heimdallarchaeales α/β-微管蛋白的四原丝微管的结构和动力学</w:t>
        </w:r>
      </w:hyperlink>
    </w:p>
    <w:p>
      <w:pPr>
        <w:spacing w:before="0" w:after="80"/>
      </w:pPr>
      <w:r>
        <w:rPr>
          <w:i/>
          <w:sz w:val="20"/>
        </w:rPr>
        <w:t>EN: Structure and dynamics of a four-protofilament microtubule from Heimdallarchaeales α/β-tubulin</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89">
        <w:r>
          <w:rPr>
            <w:color w:val="1155CC"/>
            <w:u w:val="single"/>
          </w:rPr>
          <w:t>10.1126/sciadv.aeh4305</w:t>
        </w:r>
      </w:hyperlink>
    </w:p>
    <w:p>
      <w:pPr>
        <w:spacing w:before="0" w:after="120"/>
      </w:pPr>
      <w:r>
        <w:rPr>
          <w:b/>
        </w:rPr>
        <w:t xml:space="preserve">Notes: </w:t>
      </w:r>
      <w:r>
        <w:t>abstract_source=crossref</w:t>
      </w:r>
    </w:p>
    <w:p>
      <w:pPr>
        <w:spacing w:before="0" w:after="80" w:lineRule="auto" w:line="276"/>
      </w:pPr>
      <w:r>
        <w:rPr>
          <w:b/>
        </w:rPr>
        <w:t xml:space="preserve">摘要（ZH）: </w:t>
      </w:r>
      <w:r>
        <w:t>真核微管通常是由 α/β-微管蛋白异二聚体组装而成的 13 根原丝管，结合了机械刚性和动态不稳定性。已在与真核生物最接近的原核生物亲戚 Asgard 古细菌中鉴定出同源微管蛋白。在这里，我们表征了 Heimdallarchaeales 的异二聚体 α/β-微管蛋白系统。生化重建表明</w:t>
      </w:r>
      <w:r>
        <w:t xml:space="preserve"> </w:t>
      </w:r>
      <w:r>
        <w:t>海姆——</w:t>
      </w:r>
      <w:r>
        <w:t xml:space="preserve"> </w:t>
      </w:r>
      <w:r>
        <w:t>α/β-微管蛋白形成异二聚体，该异二聚体经历鸟苷 5'-三磷酸依赖性聚合以及偶联的核苷酸水解。冷冻电子显微镜显示，聚合物由四原丝小管组成，具有由保守的纵向界面和球窝横向接触形成的微管状晶格。单丝成像显示了内在的动力学极性和动态不稳定性，而脂质体封装显示微管生长产生足以使膜变形的力。尽管原丝数量减少，</w:t>
      </w:r>
      <w:r>
        <w:t xml:space="preserve"> </w:t>
      </w:r>
      <w:r>
        <w:t>海姆</w:t>
      </w:r>
      <w:r>
        <w:t xml:space="preserve"> </w:t>
      </w:r>
      <w:r>
        <w:t>–α/β-微管与真核微管具有相同的关键结构和动力学特征，但表现出较低的弯曲刚度和聚合力。因此，微管状聚合物可以由一定范围的原丝数量形成，具有减少的结构，可能适合小细胞尺寸和较低的机械负载。总之，我们的结果表明真核发生过程中微管原丝数量的扩张。</w:t>
      </w:r>
    </w:p>
    <w:p>
      <w:pPr>
        <w:spacing w:before="0" w:after="200" w:lineRule="auto" w:line="276"/>
      </w:pPr>
      <w:r>
        <w:rPr>
          <w:b/>
        </w:rPr>
        <w:t xml:space="preserve">Abstract (EN): </w:t>
      </w:r>
      <w:r>
        <w:t>Eukaryotic microtubules are typically 13-protofilament tubes assembled from α/β-tubulin heterodimers that combine mechanical rigidity with dynamic instability. Homologous tubulins have been identified in Asgard archaea, the closest prokaryotic relatives to eukaryotes. Here, we characterize a heterodimeric α/β-tubulin system from Heimdallarchaeales. Biochemical reconstitution shows that</w:t>
      </w:r>
      <w:r>
        <w:t xml:space="preserve"> </w:t>
      </w:r>
      <w:r>
        <w:t>Heim–</w:t>
      </w:r>
      <w:r>
        <w:t xml:space="preserve"> </w:t>
      </w:r>
      <w:r>
        <w:t>α/β-tubulin forms a heterodimer that undergoes guanosine 5′-triphosphate–dependent polymerization with coupled nucleotide hydrolysis. Cryo–electron microscopy reveals that the polymers are composed of four-protofilament tubules, with microtubule-like lattices formed by conserved longitudinal interfaces and ball-and-socket lateral contacts. Single-filament imaging demonstrates intrinsic kinetic polarity and dynamic instability, while liposome encapsulation shows that microtubule growth generates forces sufficient to deform membranes. Despite their reduced protofilament number,</w:t>
      </w:r>
      <w:r>
        <w:t xml:space="preserve"> </w:t>
      </w:r>
      <w:r>
        <w:t>Heim</w:t>
      </w:r>
      <w:r>
        <w:t xml:space="preserve"> </w:t>
      </w:r>
      <w:r>
        <w:t>–α/β-microtubules share key structural and dynamic features with eukaryotic microtubules but exhibit lower bending stiffness and polymerization force. Thus, microtubule-like polymers can form from a range of protofilament numbers, with reduced architectures potentially adapted to small cellular dimensions and lower mechanical loads. Together, our results indicate expansion in microtubule protofilament number during eukaryogenesis.</w:t>
      </w:r>
    </w:p>
    <w:p>
      <w:pPr>
        <w:spacing w:before="120" w:after="120"/>
      </w:pPr>
      <w:r>
        <w:rPr>
          <w:sz w:val="18"/>
        </w:rPr>
        <w:t>——————————————————————————————————————————————————————————————————————</w:t>
      </w:r>
    </w:p>
    <w:p>
      <w:pPr>
        <w:spacing w:before="160" w:after="40" w:line="240" w:lineRule="auto"/>
      </w:pPr>
      <w:r>
        <w:rPr>
          <w:b/>
        </w:rPr>
        <w:t xml:space="preserve">[460] </w:t>
      </w:r>
      <w:hyperlink r:id="rId1190">
        <w:r>
          <w:rPr>
            <w:color w:val="1155CC"/>
            <w:u w:val="single"/>
          </w:rPr>
          <w:t>大型热带森林哺乳动物灭绝风险的预测因素：从全球到局部</w:t>
        </w:r>
      </w:hyperlink>
    </w:p>
    <w:p>
      <w:pPr>
        <w:spacing w:before="0" w:after="80"/>
      </w:pPr>
      <w:r>
        <w:rPr>
          <w:i/>
          <w:sz w:val="20"/>
        </w:rPr>
        <w:t>EN: Predictors of extinction risk in large tropical forest mammals: From global to local</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91">
        <w:r>
          <w:rPr>
            <w:color w:val="1155CC"/>
            <w:u w:val="single"/>
          </w:rPr>
          <w:t>10.1126/sciadv.aeb7543</w:t>
        </w:r>
      </w:hyperlink>
    </w:p>
    <w:p>
      <w:pPr>
        <w:spacing w:before="0" w:after="120"/>
      </w:pPr>
      <w:r>
        <w:rPr>
          <w:b/>
        </w:rPr>
        <w:t xml:space="preserve">Notes: </w:t>
      </w:r>
      <w:r>
        <w:t>abstract_source=crossref</w:t>
      </w:r>
    </w:p>
    <w:p>
      <w:pPr>
        <w:spacing w:before="0" w:after="80" w:lineRule="auto" w:line="276"/>
      </w:pPr>
      <w:r>
        <w:rPr>
          <w:b/>
        </w:rPr>
        <w:t xml:space="preserve">摘要（ZH）: </w:t>
      </w:r>
      <w:r>
        <w:t>只有当研究结果在从业者和政策制定者运作的范围内提供信息时，研究才能指导保护。然而，很少有人测试大规模研究是否得出与保护传统上依赖的小规模研究相似的结论。我们研究了过去 13 万年间存在于三个生物地理领域 64 个热带森林中的 210 种热带森林哺乳动物物种（≥1 千克）的灭绝风险预测因子在全球、区域和地方尺度上是否一致。当分析仅在空间分辨率上有所不同时，我们发现了灭绝风险的一致预测因素（体重、世代长度、饮食、脑容量和扫描序列）。然而，当分析的时间范围也发生变化时，预测因素也会有所不同。因此，有关灭绝风险的宏观生态学发现可以为较小规模的保护提供信息，但如果不认识到时间范围的差异，它们就有可能错误识别受威胁物种。</w:t>
      </w:r>
    </w:p>
    <w:p>
      <w:pPr>
        <w:spacing w:before="0" w:after="200" w:lineRule="auto" w:line="276"/>
      </w:pPr>
      <w:r>
        <w:rPr>
          <w:b/>
        </w:rPr>
        <w:t xml:space="preserve">Abstract (EN): </w:t>
      </w:r>
      <w:r>
        <w:t>Studies can only guide conservation if their findings are informative at the scales at which practitioners and policy-makers operate. Yet, it is rarely tested whether large-scale studies reach similar conclusions to the smaller-scale studies on which conservation traditionally relies. We examine whether predictors of extinction risk are consistent across global, regional, and local scales, for 210 tropical forest mammal species (≥1 kg) that existed during the last 130,000 years, in 64 tropical forests, across three biogeographical realms. We found consistent predictors of extinction risk (body mass, generation length, diet, brain volume, and scansoriality) when analyses differed only in their spatial resolution. However, predictors differed when analyses also varied in their temporal extent. Macroecological findings about extinction risk can, thus, inform conservation at smaller scales, but they risk misidentifying threatened species if differences in temporal extent are not recognized.</w:t>
      </w:r>
    </w:p>
    <w:p>
      <w:pPr>
        <w:spacing w:before="120" w:after="120"/>
      </w:pPr>
      <w:r>
        <w:rPr>
          <w:sz w:val="18"/>
        </w:rPr>
        <w:t>——————————————————————————————————————————————————————————————————————</w:t>
      </w:r>
    </w:p>
    <w:p>
      <w:pPr>
        <w:spacing w:before="160" w:after="40" w:line="240" w:lineRule="auto"/>
      </w:pPr>
      <w:r>
        <w:rPr>
          <w:b/>
        </w:rPr>
        <w:t xml:space="preserve">[461] </w:t>
      </w:r>
      <w:hyperlink r:id="rId1192">
        <w:r>
          <w:rPr>
            <w:color w:val="1155CC"/>
            <w:u w:val="single"/>
          </w:rPr>
          <w:t>将人类 T 细胞有效化学重编程为功能性巨核细胞和血小板</w:t>
        </w:r>
      </w:hyperlink>
    </w:p>
    <w:p>
      <w:pPr>
        <w:spacing w:before="0" w:after="80"/>
      </w:pPr>
      <w:r>
        <w:rPr>
          <w:i/>
          <w:sz w:val="20"/>
        </w:rPr>
        <w:t>EN: Efficient chemical reprogramming of human T cells into functional megakaryocytes and platelets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93">
        <w:r>
          <w:rPr>
            <w:color w:val="1155CC"/>
            <w:u w:val="single"/>
          </w:rPr>
          <w:t>10.1126/sciadv.aeb3177</w:t>
        </w:r>
      </w:hyperlink>
    </w:p>
    <w:p>
      <w:pPr>
        <w:spacing w:before="0" w:after="120"/>
      </w:pPr>
      <w:r>
        <w:rPr>
          <w:b/>
        </w:rPr>
        <w:t xml:space="preserve">Notes: </w:t>
      </w:r>
      <w:r>
        <w:t>abstract_source=crossref</w:t>
      </w:r>
    </w:p>
    <w:p>
      <w:pPr>
        <w:spacing w:before="0" w:after="80" w:lineRule="auto" w:line="276"/>
      </w:pPr>
      <w:r>
        <w:rPr>
          <w:b/>
        </w:rPr>
        <w:t xml:space="preserve">摘要（ZH）: </w:t>
      </w:r>
      <w:r>
        <w:t>通过化学重编程从人类体细胞产生巨核细胞（MK）代表了开发替代血小板来源的有前途的策略。基于我们之前将有红细胞转化为 MK 的化学重编程方案，我们建立了一种稳健的方法，成功从人脐带血衍生的 CD3 中生成诱导 MK (iMK)</w:t>
      </w:r>
      <w:r>
        <w:t xml:space="preserve"> </w:t>
      </w:r>
      <w:r>
        <w:t>+</w:t>
      </w:r>
      <w:r>
        <w:t xml:space="preserve"> </w:t>
      </w:r>
      <w:r>
        <w:t>T细胞，这是一个更丰富的来源。该方法使用含有重编程增强剂 AZD4205 的五小分子混合物来促进 T 细胞身份的消除并促进向 MK 的命运转变。 T 细胞衍生的 iMK 表现出特征性 MK 细胞和分子特征，证明其具有产生前血小板和释放功能性血小板的能力。单细胞 RNA 测序进一步揭示 iMK 是异质的，具有不同的功能特征，包括循环、免疫和血小板生成偏向的 MK。我们的研究结果强调了一种优化的化学重编程策略，该策略能够将 T 细胞有效转化为 MK，为生成临床相关的 MK 和血小板提供实用且方便的方法。</w:t>
      </w:r>
    </w:p>
    <w:p>
      <w:pPr>
        <w:spacing w:before="0" w:after="200" w:lineRule="auto" w:line="276"/>
      </w:pPr>
      <w:r>
        <w:rPr>
          <w:b/>
        </w:rPr>
        <w:t xml:space="preserve">Abstract (EN): </w:t>
      </w:r>
      <w:r>
        <w:t>The generation of megakaryocytes (MKs) from human somatic cells through chemical reprogramming represents a promising strategy for developing alternative platelet sources. Building on our prior chemical reprogramming protocol for converting erythroblasts to MKs, we established a robust method that successfully generated induced MKs (iMKs) from human cord blood–derived CD3</w:t>
      </w:r>
      <w:r>
        <w:t xml:space="preserve"> </w:t>
      </w:r>
      <w:r>
        <w:t>+</w:t>
      </w:r>
      <w:r>
        <w:t xml:space="preserve"> </w:t>
      </w:r>
      <w:r>
        <w:t>T cells, which is a more abundant source. This method used a five–small molecule cocktail containing a reprogramming booster, AZD4205, to promote erasure of T cell identity and facilitate fate transition toward MKs. T cell–derived iMKs exhibited characteristic MK cellular and molecular signatures, demonstrating the capacity to produce proplatelets and release functional platelets. Single-cell RNA sequencing further revealed that iMKs were heterogeneous with distinct functional profiles, including cycling, immune, and thrombopoiesis-biased MKs. Our findings highlight an optimized chemical reprogramming strategy that enables efficient conversion of T cells to MKs, providing a practical and convenient approach to generating clinically relevant MKs and platelets.</w:t>
      </w:r>
    </w:p>
    <w:p>
      <w:pPr>
        <w:spacing w:before="120" w:after="120"/>
      </w:pPr>
      <w:r>
        <w:rPr>
          <w:sz w:val="18"/>
        </w:rPr>
        <w:t>——————————————————————————————————————————————————————————————————————</w:t>
      </w:r>
    </w:p>
    <w:p>
      <w:pPr>
        <w:spacing w:before="160" w:after="40" w:line="240" w:lineRule="auto"/>
      </w:pPr>
      <w:r>
        <w:rPr>
          <w:b/>
        </w:rPr>
        <w:t xml:space="preserve">[462] </w:t>
      </w:r>
      <w:hyperlink r:id="rId1194">
        <w:r>
          <w:rPr>
            <w:color w:val="1155CC"/>
            <w:u w:val="single"/>
          </w:rPr>
          <w:t>核心生物钟基因的剪接通过冬季门控机制调节季节适应</w:t>
        </w:r>
      </w:hyperlink>
    </w:p>
    <w:p>
      <w:pPr>
        <w:spacing w:before="0" w:after="80"/>
      </w:pPr>
      <w:r>
        <w:rPr>
          <w:i/>
          <w:sz w:val="20"/>
        </w:rPr>
        <w:t>EN: Splicing of a core circadian clock gene regulates seasonal adaptations by a winter gating mechanism</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95">
        <w:r>
          <w:rPr>
            <w:color w:val="1155CC"/>
            <w:u w:val="single"/>
          </w:rPr>
          <w:t>10.1126/sciadv.aed4249</w:t>
        </w:r>
      </w:hyperlink>
    </w:p>
    <w:p>
      <w:pPr>
        <w:spacing w:before="0" w:after="120"/>
      </w:pPr>
      <w:r>
        <w:rPr>
          <w:b/>
        </w:rPr>
        <w:t xml:space="preserve">Notes: </w:t>
      </w:r>
      <w:r>
        <w:t>abstract_source=crossref</w:t>
      </w:r>
    </w:p>
    <w:p>
      <w:pPr>
        <w:spacing w:before="0" w:after="80" w:lineRule="auto" w:line="276"/>
      </w:pPr>
      <w:r>
        <w:rPr>
          <w:b/>
        </w:rPr>
        <w:t xml:space="preserve">摘要（ZH）: </w:t>
      </w:r>
      <w:r>
        <w:t>生物体根据季节变化调整其生理和行为。目前的工作模型表明生物钟参与了这一过程，但介导季节线索整合的分子机制仍不清楚。值得注意的是，昼夜节律神经肽色素分散因子（PDF）是生物钟的输出，已被证明可以根据季节变化改变其表达和活性，以促进昆虫的季节适应。在这里，我们展示了生物钟基因的选择性剪接，</w:t>
      </w:r>
      <w:r>
        <w:t xml:space="preserve"> </w:t>
      </w:r>
      <w:r>
        <w:t>永恒的</w:t>
      </w:r>
      <w:r>
        <w:t xml:space="preserve"> </w:t>
      </w:r>
      <w:r>
        <w:t>（</w:t>
      </w:r>
      <w:r>
        <w:t xml:space="preserve"> </w:t>
      </w:r>
      <w:r>
        <w:t>蒂姆</w:t>
      </w:r>
      <w:r>
        <w:t xml:space="preserve"> </w:t>
      </w:r>
      <w:r>
        <w:t>），通过 PDF 调节季节性响应</w:t>
      </w:r>
      <w:r>
        <w:t xml:space="preserve"> </w:t>
      </w:r>
      <w:r>
        <w:t>黑腹果蝇</w:t>
      </w:r>
      <w:r>
        <w:t xml:space="preserve"> </w:t>
      </w:r>
      <w:r>
        <w:t>。我们发现</w:t>
      </w:r>
      <w:r>
        <w:t xml:space="preserve"> </w:t>
      </w:r>
      <w:r>
        <w:t>蒂姆-SC</w:t>
      </w:r>
      <w:r>
        <w:t xml:space="preserve"> </w:t>
      </w:r>
      <w:r>
        <w:t>，冬季主要的亚型，受光周期调节，而典型的亚型</w:t>
      </w:r>
      <w:r>
        <w:t xml:space="preserve"> </w:t>
      </w:r>
      <w:r>
        <w:t>蒂姆-L</w:t>
      </w:r>
      <w:r>
        <w:t xml:space="preserve"> </w:t>
      </w:r>
      <w:r>
        <w:t>异构体不是。此外，我们还证明了</w:t>
      </w:r>
      <w:r>
        <w:t xml:space="preserve"> </w:t>
      </w:r>
      <w:r>
        <w:t>蒂姆-SC</w:t>
      </w:r>
      <w:r>
        <w:t xml:space="preserve"> </w:t>
      </w:r>
      <w:r>
        <w:t>用于通过调节PDF来维持生理和行为处于“冬锁”状态。我们的结果支持异构体特异性特征在提供具有调节季节性生理学能力的生物钟成分方面的作用。</w:t>
      </w:r>
    </w:p>
    <w:p>
      <w:pPr>
        <w:spacing w:before="0" w:after="200" w:lineRule="auto" w:line="276"/>
      </w:pPr>
      <w:r>
        <w:rPr>
          <w:b/>
        </w:rPr>
        <w:t xml:space="preserve">Abstract (EN): </w:t>
      </w:r>
      <w:r>
        <w:t>Organisms adjust their physiology and behavior in response to seasonal changes. The current working model indicates that the circadian clock is involved in this process, but the molecular mechanisms mediating the integration of seasonal cues are still unclear. Notably, the circadian neuropeptide pigment-dispersing factor (PDF), an output of the circadian clock, has been shown to alter its expression and activity in response to seasonal changes to facilitate seasonal adaptations in insects. Here, we show that the alternative splicing of a circadian clock gene,</w:t>
      </w:r>
      <w:r>
        <w:t xml:space="preserve"> </w:t>
      </w:r>
      <w:r>
        <w:t>timeless</w:t>
      </w:r>
      <w:r>
        <w:t xml:space="preserve"> </w:t>
      </w:r>
      <w:r>
        <w:t>(</w:t>
      </w:r>
      <w:r>
        <w:t xml:space="preserve"> </w:t>
      </w:r>
      <w:r>
        <w:t>tim</w:t>
      </w:r>
      <w:r>
        <w:t xml:space="preserve"> </w:t>
      </w:r>
      <w:r>
        <w:t>), regulates the seasonal responses through PDF in</w:t>
      </w:r>
      <w:r>
        <w:t xml:space="preserve"> </w:t>
      </w:r>
      <w:r>
        <w:t>Drosophila melanogaster</w:t>
      </w:r>
      <w:r>
        <w:t xml:space="preserve"> </w:t>
      </w:r>
      <w:r>
        <w:t>. We found that</w:t>
      </w:r>
      <w:r>
        <w:t xml:space="preserve"> </w:t>
      </w:r>
      <w:r>
        <w:t>tim-sc</w:t>
      </w:r>
      <w:r>
        <w:t xml:space="preserve"> </w:t>
      </w:r>
      <w:r>
        <w:t>, the predominant isoform in winter, is regulated by photoperiod, while the canonical</w:t>
      </w:r>
      <w:r>
        <w:t xml:space="preserve"> </w:t>
      </w:r>
      <w:r>
        <w:t>tim-l</w:t>
      </w:r>
      <w:r>
        <w:t xml:space="preserve"> </w:t>
      </w:r>
      <w:r>
        <w:t>isoform is not. In addition, we demonstrated that</w:t>
      </w:r>
      <w:r>
        <w:t xml:space="preserve"> </w:t>
      </w:r>
      <w:r>
        <w:t>tim-sc</w:t>
      </w:r>
      <w:r>
        <w:t xml:space="preserve"> </w:t>
      </w:r>
      <w:r>
        <w:t>is used to maintain physiology and behavior in a “winter lock” state by modulating PDF. Our results support a role of isoform-specific characteristics in providing circadian clock components with the ability to modulate seasonal physiology.</w:t>
      </w:r>
    </w:p>
    <w:p>
      <w:pPr>
        <w:spacing w:before="120" w:after="120"/>
      </w:pPr>
      <w:r>
        <w:rPr>
          <w:sz w:val="18"/>
        </w:rPr>
        <w:t>——————————————————————————————————————————————————————————————————————</w:t>
      </w:r>
    </w:p>
    <w:p>
      <w:pPr>
        <w:spacing w:before="160" w:after="40" w:line="240" w:lineRule="auto"/>
      </w:pPr>
      <w:r>
        <w:rPr>
          <w:b/>
        </w:rPr>
        <w:t xml:space="preserve">[463] </w:t>
      </w:r>
      <w:hyperlink r:id="rId1196">
        <w:r>
          <w:rPr>
            <w:color w:val="1155CC"/>
            <w:u w:val="single"/>
          </w:rPr>
          <w:t>腹足动物壳记录了幼虫从深海热液喷口到真光带的迁移</w:t>
        </w:r>
      </w:hyperlink>
    </w:p>
    <w:p>
      <w:pPr>
        <w:spacing w:before="0" w:after="80"/>
      </w:pPr>
      <w:r>
        <w:rPr>
          <w:i/>
          <w:sz w:val="20"/>
        </w:rPr>
        <w:t>EN: Gastropod shells record larval migration from deep-sea hydrothermal vents to the euphotic zone</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197">
        <w:r>
          <w:rPr>
            <w:color w:val="1155CC"/>
            <w:u w:val="single"/>
          </w:rPr>
          <w:t>10.1126/sciadv.adx7045</w:t>
        </w:r>
      </w:hyperlink>
    </w:p>
    <w:p>
      <w:pPr>
        <w:spacing w:before="0" w:after="120"/>
      </w:pPr>
      <w:r>
        <w:rPr>
          <w:b/>
        </w:rPr>
        <w:t xml:space="preserve">Notes: </w:t>
      </w:r>
      <w:r>
        <w:t>abstract_source=crossref</w:t>
      </w:r>
    </w:p>
    <w:p>
      <w:pPr>
        <w:spacing w:before="0" w:after="80" w:lineRule="auto" w:line="276"/>
      </w:pPr>
      <w:r>
        <w:rPr>
          <w:b/>
        </w:rPr>
        <w:t xml:space="preserve">摘要（ZH）: </w:t>
      </w:r>
      <w:r>
        <w:t>幼虫的迁徙对于决定热液喷口（深海中分离且短暂的栖息地）特有的无脊椎动物的分布和进化起着至关重要的作用。然而，技术障碍阻碍了对其自由游动的微小幼虫的现场观察或跟踪。我们对贝壳变质前和变质后部分的地球化学分析表明，以浮游生物为食（浮游营养型）的通风口特有帽贝幼虫迁移到上层，位于或靠近真光带（0 至 200 m）。氧同位素表明，幼虫经历了接近喷口位点上方透光带条件的温暖温度，而作为热喷口流体代理的钡和锰浓度在变质后壳中比在变质前壳中高得多，排除了在热液影响下的滞留。我们的结果为表面洋流和温度对深海化学合成滋养的喷口群落分布的影响提供了证据。这些发现还有助于模拟深海生态系统的连通性和规划保护区。</w:t>
      </w:r>
    </w:p>
    <w:p>
      <w:pPr>
        <w:spacing w:before="0" w:after="200" w:lineRule="auto" w:line="276"/>
      </w:pPr>
      <w:r>
        <w:rPr>
          <w:b/>
        </w:rPr>
        <w:t xml:space="preserve">Abstract (EN): </w:t>
      </w:r>
      <w:r>
        <w:t>Larval migration plays an essential role in determining the distribution and evolution of invertebrate animals endemic to hydrothermal vents—disjunct and ephemeral habitats in the deep sea. However, technical obstacles have prevented field observation or tracking of their free-swimming, microscopic larvae. Our geochemical analyses of pre- and postmetamorphic parts of shells revealed that the plankton-feeding (planktotrophic) larvae of vent-endemic limpets migrate to the upper layers, in or near the euphotic zone (0 to 200 m). Oxygen isotopes indicated that the larvae experienced warm temperatures approximating conditions in the euphotic zone above the vent sites, whereas barium and manganese concentrations as proxies for hot vent fluids were much higher in postmetamorphic than in premetamorphic shells, dismissing retention under hydrothermal influence. Our results provide evidence for the influence of surface currents and temperature on the distributions of chemosynthetically nourished vent communities in the deep sea. These findings also contribute to modeling deep-sea ecosystem connectivity and planning protected areas.</w:t>
      </w:r>
    </w:p>
    <w:p>
      <w:pPr>
        <w:spacing w:before="120" w:after="120"/>
      </w:pPr>
      <w:r>
        <w:rPr>
          <w:sz w:val="18"/>
        </w:rPr>
        <w:t>——————————————————————————————————————————————————————————————————————</w:t>
      </w:r>
    </w:p>
    <w:p>
      <w:pPr>
        <w:spacing w:before="160" w:after="40" w:line="240" w:lineRule="auto"/>
      </w:pPr>
      <w:r>
        <w:rPr>
          <w:b/>
        </w:rPr>
        <w:t xml:space="preserve">[464] </w:t>
      </w:r>
      <w:hyperlink r:id="rId1198">
        <w:r>
          <w:rPr>
            <w:color w:val="1155CC"/>
            <w:u w:val="single"/>
          </w:rPr>
          <w:t>法氏囊不依赖 B 细胞建立 IgA 介导的肠道屏障，保护肠-肝稳态</w:t>
        </w:r>
      </w:hyperlink>
    </w:p>
    <w:p>
      <w:pPr>
        <w:spacing w:before="0" w:after="80"/>
      </w:pPr>
      <w:r>
        <w:rPr>
          <w:i/>
          <w:sz w:val="20"/>
        </w:rPr>
        <w:t>EN: Bursa of Fabricius–independent B cells establish an IgA-mediated intestinal barrier that safeguards gut–liver homeostasis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199">
        <w:r>
          <w:rPr>
            <w:color w:val="1155CC"/>
            <w:u w:val="single"/>
          </w:rPr>
          <w:t>10.1073/pnas.2605569123</w:t>
        </w:r>
      </w:hyperlink>
    </w:p>
    <w:p>
      <w:pPr>
        <w:spacing w:before="0" w:after="120"/>
      </w:pPr>
      <w:r>
        <w:rPr>
          <w:b/>
        </w:rPr>
        <w:t xml:space="preserve">Notes: </w:t>
      </w:r>
      <w:r>
        <w:t>abstract_source=crossref</w:t>
      </w:r>
    </w:p>
    <w:p>
      <w:pPr>
        <w:spacing w:before="0" w:after="80" w:lineRule="auto" w:line="276"/>
      </w:pPr>
      <w:r>
        <w:rPr>
          <w:b/>
        </w:rPr>
        <w:t xml:space="preserve">摘要（ZH）: </w:t>
      </w:r>
      <w:r>
        <w:t>法氏囊 (BF) 是鸟类的一种特殊淋巴结构，调节鸟类 B 细胞的发育。然而，BF 在孵化后开始退化，这表明尚未识别的结构在成熟过程中承担了这种功能。这项研究表明，涉及肠道盲肠扁桃体 (CT) 的 BF 独立 B 细胞发生优于 BF 依赖性孵化后途径。尽管源自骨髓 (BM) 的 B 细胞祖细胞通常会迁移到 BF，但我们发现了一个通过 CXCL12/CXCR4 介导的趋化性迁移到 CT 的群体。这些 BF 独立的 CXCR4</w:t>
      </w:r>
      <w:r>
        <w:t xml:space="preserve"> </w:t>
      </w:r>
      <w:r>
        <w:t>+</w:t>
      </w:r>
      <w:r>
        <w:t xml:space="preserve"> </w:t>
      </w:r>
      <w:r>
        <w:t>前 B 细胞在 CT 滤泡区 (FR) 内获得表面 IgM 表达，并分化为产生免疫球蛋白 A (IgA) 的浆细胞。 CXCR4 的抑制</w:t>
      </w:r>
      <w:r>
        <w:t xml:space="preserve"> </w:t>
      </w:r>
      <w:r>
        <w:t>+</w:t>
      </w:r>
      <w:r>
        <w:t xml:space="preserve"> </w:t>
      </w:r>
      <w:r>
        <w:t>来自 BM 的细胞流入会损害 FR 的形成，改变肠道 IgA 对共生细菌的反应，促进肠道菌群失调，导致病原菌易位（例如，</w:t>
      </w:r>
      <w:r>
        <w:t xml:space="preserve"> </w:t>
      </w:r>
      <w:r>
        <w:t>溶乳链球菌</w:t>
      </w:r>
      <w:r>
        <w:t xml:space="preserve"> </w:t>
      </w:r>
      <w:r>
        <w:t>）到肝脏，最终引起肝脏炎症和代谢功能障碍。通过使用来自健康鸡的富含 IgA 的粪便制剂，这些异常现象得以逆转。总的来说，这些结果揭示了在 CT 中发挥功能的不依赖 BF 的 B 细胞群的存在。这些细胞代表了维持和改善禽类肠道免疫和微生物环境的有希望的靶标。</w:t>
      </w:r>
    </w:p>
    <w:p>
      <w:pPr>
        <w:spacing w:before="0" w:after="200" w:lineRule="auto" w:line="276"/>
      </w:pPr>
      <w:r>
        <w:rPr>
          <w:b/>
        </w:rPr>
        <w:t xml:space="preserve">Abstract (EN): </w:t>
      </w:r>
      <w:r>
        <w:t>The bursa of Fabricius (BF), a specialized lymphoid structure in birds, regulates avian B-cell development. However, the BF starts to regress posthatching, suggesting that as-yet-unidentified structures assume this function during maturation. This study reveals that BF-independent B-cell genesis involving the gut cecal tonsils (CTs) predominates over the BF-dependent pathway posthatching. Although B-cell progenitors originating from the bone marrow (BM) typically migrate to the BF, we identified a population that instead migrates to the CTs through CXCL12/CXCR4-mediated chemotaxis. These BF-independent CXCR4</w:t>
      </w:r>
      <w:r>
        <w:t xml:space="preserve"> </w:t>
      </w:r>
      <w:r>
        <w:t>+</w:t>
      </w:r>
      <w:r>
        <w:t xml:space="preserve"> </w:t>
      </w:r>
      <w:r>
        <w:t>pre-B cells acquired surface IgM expression within the CT follicular region (FR) and differentiated into immunoglobulin A (IgA)-producing plasma cells. Inhibition of CXCR4</w:t>
      </w:r>
      <w:r>
        <w:t xml:space="preserve"> </w:t>
      </w:r>
      <w:r>
        <w:t>+</w:t>
      </w:r>
      <w:r>
        <w:t xml:space="preserve"> </w:t>
      </w:r>
      <w:r>
        <w:t>cell influx from the BM impaired formation of the FR, altered the responsiveness of intestinal IgA to commensal bacteria, promoted gut dysbiosis, allowed translocation of pathogenic bacteria (e.g.,</w:t>
      </w:r>
      <w:r>
        <w:t xml:space="preserve"> </w:t>
      </w:r>
      <w:r>
        <w:t>Streptococcus alactolyticus</w:t>
      </w:r>
      <w:r>
        <w:t xml:space="preserve"> </w:t>
      </w:r>
      <w:r>
        <w:t>) to the liver, and ultimately caused hepatic inflammation and metabolic dysfunction. These abnormalities were reversed by administering an IgA-enriched fecal preparation derived from healthy chickens. Collectively, these results reveal the existence of a population of BF-independent B cells that function in CTs. These cells represent a promising target for maintaining and improving the immunological and microbiological environment of the avian intestinal tract, which is closely linked to hepatic homeostasis.</w:t>
      </w:r>
    </w:p>
    <w:p>
      <w:pPr>
        <w:spacing w:before="120" w:after="120"/>
      </w:pPr>
      <w:r>
        <w:rPr>
          <w:sz w:val="18"/>
        </w:rPr>
        <w:t>——————————————————————————————————————————————————————————————————————</w:t>
      </w:r>
    </w:p>
    <w:p>
      <w:pPr>
        <w:spacing w:before="160" w:after="40" w:line="240" w:lineRule="auto"/>
      </w:pPr>
      <w:r>
        <w:rPr>
          <w:b/>
        </w:rPr>
        <w:t xml:space="preserve">[465] </w:t>
      </w:r>
      <w:hyperlink r:id="rId1200">
        <w:r>
          <w:rPr>
            <w:color w:val="1155CC"/>
            <w:u w:val="single"/>
          </w:rPr>
          <w:t>流体动力学分散驱动病毒-细胞接触以在多孔介质中传递基因</w:t>
        </w:r>
      </w:hyperlink>
    </w:p>
    <w:p>
      <w:pPr>
        <w:spacing w:before="0" w:after="80"/>
      </w:pPr>
      <w:r>
        <w:rPr>
          <w:i/>
          <w:sz w:val="20"/>
        </w:rPr>
        <w:t>EN: Hydrodynamic dispersion drives viral–cellular contact for gene delivery in porous media</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01">
        <w:r>
          <w:rPr>
            <w:color w:val="1155CC"/>
            <w:u w:val="single"/>
          </w:rPr>
          <w:t>10.1073/pnas.2603906123</w:t>
        </w:r>
      </w:hyperlink>
    </w:p>
    <w:p>
      <w:pPr>
        <w:spacing w:before="0" w:after="120"/>
      </w:pPr>
      <w:r>
        <w:rPr>
          <w:b/>
        </w:rPr>
        <w:t xml:space="preserve">Notes: </w:t>
      </w:r>
      <w:r>
        <w:t>abstract_source=crossref</w:t>
      </w:r>
    </w:p>
    <w:p>
      <w:pPr>
        <w:spacing w:before="0" w:after="80" w:lineRule="auto" w:line="276"/>
      </w:pPr>
      <w:r>
        <w:rPr>
          <w:b/>
        </w:rPr>
        <w:t xml:space="preserve">摘要（ZH）: </w:t>
      </w:r>
      <w:r>
        <w:t>反应性生物过程通常取决于颗粒之间罕见的碰撞，颗粒的运输受不同的平流、扩散和沉积机制控制。生物细胞与病毒的相遇为这个普遍问题提供了一个独特的可量化实例：粒子之间的碰撞，其运输由完全不同的物理机制控制，但其相互作用决定了系统级功能。在静止液体中，纳米级病毒载体仅通过缓慢的布朗扩散探索空间，而微米级细胞则迅速沉积，产生物种分离，抑制病毒与细胞界面的相互作用。在这里，我们表明，干燥的大孔海绵吸收液体可以通过将系统转变为平流分散状态来绕过这种沉降扩散限制，从而增强病毒与细胞的相互作用。通过将实验结果与多尺度模拟模型相结合，我们证明了曲折的海绵孔隙率将毛细管驱动的流动转化为对流混合，从而推动病毒-细胞碰撞率的数量级增加。将这些分散运输动力学与概率捕获模型耦合表明，流体动力学分散解释了在多孔海绵中观察到的病毒细胞转导效率的成倍增强。这些结果为复杂多孔介质中的紧急碰撞动力学提供了定量框架，并建立了一种可推广的策略来优化时空异质生物系统中的主动运输。</w:t>
      </w:r>
    </w:p>
    <w:p>
      <w:pPr>
        <w:spacing w:before="0" w:after="200" w:lineRule="auto" w:line="276"/>
      </w:pPr>
      <w:r>
        <w:rPr>
          <w:b/>
        </w:rPr>
        <w:t xml:space="preserve">Abstract (EN): </w:t>
      </w:r>
      <w:r>
        <w:t>Reactive biological processes often hinge on rare collisions between particles whose transport is governed by disparate advective, diffusive, and sedimentary mechanisms. Biological cell–virus encounters offer a uniquely quantifiable instance of this general problem: collisions between particles whose transport is governed by entirely different physical mechanisms, yet whose interactions determine system-level function. In stagnant liquids, nanoscale viral vectors explore space only via slow Brownian diffusion, whereas microscale cells rapidly sediment, producing species separation that suppresses virus-cell interfacial interactions. Here we show that liquid absorption into a dry, macroporous sponge enhances viral–cellular interactions by shifting the system into an advection-dispersion regime that circumvents this sedimentation-diffusion limit. By integrating experimental results with a multiscale simulation model, we demonstrate that the tortuous sponge porosity converts capillary-driven flow into convective mixing, driving orders-of-magnitude increases in viral–cellular collision rates. Coupling these dispersive transport dynamics with a probabilistic capture model reveals that hydrodynamic dispersion accounts for the multifold enhancement in viral–cellular transduction efficiency observed in porous sponges. These results provide a quantitative framework for emergent collision dynamics in complex porous media and establish a generalizable strategy to optimize active transport in spatiotemporally heterogeneous biological systems.</w:t>
      </w:r>
    </w:p>
    <w:p>
      <w:pPr>
        <w:spacing w:before="120" w:after="120"/>
      </w:pPr>
      <w:r>
        <w:rPr>
          <w:sz w:val="18"/>
        </w:rPr>
        <w:t>——————————————————————————————————————————————————————————————————————</w:t>
      </w:r>
    </w:p>
    <w:p>
      <w:pPr>
        <w:spacing w:before="160" w:after="40" w:line="240" w:lineRule="auto"/>
      </w:pPr>
      <w:r>
        <w:rPr>
          <w:b/>
        </w:rPr>
        <w:t xml:space="preserve">[466] </w:t>
      </w:r>
      <w:hyperlink r:id="rId1202">
        <w:r>
          <w:rPr>
            <w:color w:val="1155CC"/>
            <w:u w:val="single"/>
          </w:rPr>
          <w:t>UTe2 中交织对密度和电荷密度波阶的证据</w:t>
        </w:r>
      </w:hyperlink>
    </w:p>
    <w:p>
      <w:pPr>
        <w:spacing w:before="0" w:after="80"/>
      </w:pPr>
      <w:r>
        <w:rPr>
          <w:i/>
          <w:sz w:val="20"/>
        </w:rPr>
        <w:t>EN: Evidence of intertwined pair density and charge density wave orders in UTe2</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03">
        <w:r>
          <w:rPr>
            <w:color w:val="1155CC"/>
            <w:u w:val="single"/>
          </w:rPr>
          <w:t>10.1073/pnas.2602117123</w:t>
        </w:r>
      </w:hyperlink>
    </w:p>
    <w:p>
      <w:pPr>
        <w:spacing w:before="0" w:after="120"/>
      </w:pPr>
      <w:r>
        <w:rPr>
          <w:b/>
        </w:rPr>
        <w:t xml:space="preserve">Notes: </w:t>
      </w:r>
      <w:r>
        <w:t>abstract_source=crossref</w:t>
      </w:r>
    </w:p>
    <w:p>
      <w:pPr>
        <w:spacing w:before="0" w:after="80" w:lineRule="auto" w:line="276"/>
      </w:pPr>
      <w:r>
        <w:rPr>
          <w:b/>
        </w:rPr>
        <w:t xml:space="preserve">摘要（ZH）: </w:t>
      </w:r>
      <w:r>
        <w:t>强关联自旋三重态超导体 UTe</w:t>
      </w:r>
      <w:r>
        <w:rPr>
          <w:vertAlign w:val="subscript"/>
        </w:rPr>
        <w:t>2</w:t>
      </w:r>
      <w:r>
        <w:t>具有不寻常的磁场敏感电荷密度波（CDW）相位，使其成为研究交织电子秩序的引人注目的系统。一个核心挑战是确定观察到的电荷调制是否由三重态对密度波 (PDW) 阶次产生，如果是，则三重态超导的各向异性磁场响应如何在 CDW 响应中体现。在这里，我们使用配备矢量磁场的扫描隧道显微镜，系统地研究了不同 CDW 阶数的演化和相互关系。补充先前确定的不相称的 CDW 峰值（</w:t>
      </w:r>
      <w:r>
        <w:t xml:space="preserve"> </w:t>
      </w:r>
      <w:r>
        <w:t>q</w:t>
      </w:r>
      <w:r>
        <w:t xml:space="preserve"> </w:t>
      </w:r>
      <w:r>
        <w:t>我</w:t>
      </w:r>
      <w:r>
        <w:t xml:space="preserve"> </w:t>
      </w:r>
      <w:r>
        <w:t>=1,2,3</w:t>
      </w:r>
      <w:r>
        <w:t xml:space="preserve"> </w:t>
      </w:r>
      <w:r>
        <w:t>），我们解决了一组额外的非色散调制（</w:t>
      </w:r>
      <w:r>
        <w:t xml:space="preserve"> </w:t>
      </w:r>
      <w:r>
        <w:t>p</w:t>
      </w:r>
      <w:r>
        <w:t xml:space="preserve"> </w:t>
      </w:r>
      <w:r>
        <w:t>我</w:t>
      </w:r>
      <w:r>
        <w:t xml:space="preserve"> </w:t>
      </w:r>
      <w:r>
        <w:t>=1,2,3</w:t>
      </w:r>
      <w:r>
        <w:t xml:space="preserve"> </w:t>
      </w:r>
      <w:r>
        <w:t>和</w:t>
      </w:r>
      <w:r>
        <w:t xml:space="preserve"> </w:t>
      </w:r>
      <w:r>
        <w:t>小时</w:t>
      </w:r>
      <w:r>
        <w:t xml:space="preserve"> </w:t>
      </w:r>
      <w:r>
        <w:t>1,2</w:t>
      </w:r>
      <w:r>
        <w:t xml:space="preserve"> </w:t>
      </w:r>
      <w:r>
        <w:t>）具有明显的温度和磁场依赖性。的</w:t>
      </w:r>
      <w:r>
        <w:t xml:space="preserve"> </w:t>
      </w:r>
      <w:r>
        <w:t>p</w:t>
      </w:r>
      <w:r>
        <w:t xml:space="preserve"> </w:t>
      </w:r>
      <w:r>
        <w:t>我</w:t>
      </w:r>
      <w:r>
        <w:t xml:space="preserve"> </w:t>
      </w:r>
      <w:r>
        <w:t>CDW 峰值消失在附近</w:t>
      </w:r>
      <w:r>
        <w:t xml:space="preserve"> </w:t>
      </w:r>
      <w:r>
        <w:t>时间</w:t>
      </w:r>
      <w:r>
        <w:t xml:space="preserve"> </w:t>
      </w:r>
      <w:r>
        <w:t>c</w:t>
      </w:r>
      <w:r>
        <w:t xml:space="preserve"> </w:t>
      </w:r>
      <w:r>
        <w:t>，而</w:t>
      </w:r>
      <w:r>
        <w:t xml:space="preserve"> </w:t>
      </w:r>
      <w:r>
        <w:t>q</w:t>
      </w:r>
      <w:r>
        <w:t xml:space="preserve"> </w:t>
      </w:r>
      <w:r>
        <w:t>我</w:t>
      </w:r>
      <w:r>
        <w:t xml:space="preserve"> </w:t>
      </w:r>
      <w:r>
        <w:t>山峰远高于</w:t>
      </w:r>
      <w:r>
        <w:t xml:space="preserve"> </w:t>
      </w:r>
      <w:r>
        <w:t>时间</w:t>
      </w:r>
      <w:r>
        <w:t xml:space="preserve"> </w:t>
      </w:r>
      <w:r>
        <w:t>c</w:t>
      </w:r>
    </w:p>
    <w:p>
      <w:pPr>
        <w:spacing w:before="0" w:after="200" w:lineRule="auto" w:line="276"/>
      </w:pPr>
      <w:r>
        <w:rPr>
          <w:b/>
        </w:rPr>
        <w:t xml:space="preserve">Abstract (EN): </w:t>
      </w:r>
      <w:r>
        <w:t>The strongly correlated spin-triplet superconductor UTe</w:t>
      </w:r>
      <w:r>
        <w:rPr>
          <w:vertAlign w:val="subscript"/>
        </w:rPr>
        <w:t>2</w:t>
      </w:r>
      <w:r>
        <w:t>hosts an unusual magnetic-field-sensitive charge density wave (CDW) phase, positioning it as a compelling system for studying intertwined electronic orders. A central challenge is determining whether the observed charge modulations arise from a triplet pair density wave (PDW) order and, if so, how the anisotropic magnetic field response of triplet superconductivity is manifested in the CDW response. Here, using a scanning tunneling microscope equipped with a vector magnetic field, we systematically investigate the evolution and interrelation of distinct CDW orders. Complementing the previously identified incommensurate CDW peaks (</w:t>
      </w:r>
      <w:r>
        <w:t xml:space="preserve"> </w:t>
      </w:r>
      <w:r>
        <w:t>q</w:t>
      </w:r>
      <w:r>
        <w:t xml:space="preserve"> </w:t>
      </w:r>
      <w:r>
        <w:t>i</w:t>
      </w:r>
      <w:r>
        <w:t xml:space="preserve"> </w:t>
      </w:r>
      <w:r>
        <w:t>=1,2,3</w:t>
      </w:r>
      <w:r>
        <w:t xml:space="preserve"> </w:t>
      </w:r>
      <w:r>
        <w:t>), we resolve an additional set of nondispersive modulations (</w:t>
      </w:r>
      <w:r>
        <w:t xml:space="preserve"> </w:t>
      </w:r>
      <w:r>
        <w:t>p</w:t>
      </w:r>
      <w:r>
        <w:t xml:space="preserve"> </w:t>
      </w:r>
      <w:r>
        <w:t>i</w:t>
      </w:r>
      <w:r>
        <w:t xml:space="preserve"> </w:t>
      </w:r>
      <w:r>
        <w:t>=1,2,3</w:t>
      </w:r>
      <w:r>
        <w:t xml:space="preserve"> </w:t>
      </w:r>
      <w:r>
        <w:t>and</w:t>
      </w:r>
      <w:r>
        <w:t xml:space="preserve"> </w:t>
      </w:r>
      <w:r>
        <w:t>h</w:t>
      </w:r>
      <w:r>
        <w:t xml:space="preserve"> </w:t>
      </w:r>
      <w:r>
        <w:t>1,2</w:t>
      </w:r>
      <w:r>
        <w:t xml:space="preserve"> </w:t>
      </w:r>
      <w:r>
        <w:t>) with distinct temperature and magnetic field dependencies. The</w:t>
      </w:r>
      <w:r>
        <w:t xml:space="preserve"> </w:t>
      </w:r>
      <w:r>
        <w:t>p</w:t>
      </w:r>
      <w:r>
        <w:t xml:space="preserve"> </w:t>
      </w:r>
      <w:r>
        <w:t>i</w:t>
      </w:r>
      <w:r>
        <w:t xml:space="preserve"> </w:t>
      </w:r>
      <w:r>
        <w:t>CDW peaks vanish near</w:t>
      </w:r>
      <w:r>
        <w:t xml:space="preserve"> </w:t>
      </w:r>
      <w:r>
        <w:t>T</w:t>
      </w:r>
      <w:r>
        <w:t xml:space="preserve"> </w:t>
      </w:r>
      <w:r>
        <w:t>c</w:t>
      </w:r>
      <w:r>
        <w:t xml:space="preserve"> </w:t>
      </w:r>
      <w:r>
        <w:t>, while the</w:t>
      </w:r>
      <w:r>
        <w:t xml:space="preserve"> </w:t>
      </w:r>
      <w:r>
        <w:t>q</w:t>
      </w:r>
      <w:r>
        <w:t xml:space="preserve"> </w:t>
      </w:r>
      <w:r>
        <w:t>i</w:t>
      </w:r>
      <w:r>
        <w:t xml:space="preserve"> </w:t>
      </w:r>
      <w:r>
        <w:t>peaks survive well above</w:t>
      </w:r>
      <w:r>
        <w:t xml:space="preserve"> </w:t>
      </w:r>
      <w:r>
        <w:t>T</w:t>
      </w:r>
      <w:r>
        <w:t xml:space="preserve"> </w:t>
      </w:r>
      <w:r>
        <w:t>c</w:t>
      </w:r>
      <w:r>
        <w:t xml:space="preserve"> </w:t>
      </w:r>
      <w:r>
        <w:t>but are progressively suppressed by magnetic field in an anisotropic manner. The critical fields of the</w:t>
      </w:r>
      <w:r>
        <w:t xml:space="preserve"> </w:t>
      </w:r>
      <w:r>
        <w:t>q</w:t>
      </w:r>
      <w:r>
        <w:t xml:space="preserve"> </w:t>
      </w:r>
      <w:r>
        <w:t>i</w:t>
      </w:r>
      <w:r>
        <w:t xml:space="preserve"> </w:t>
      </w:r>
      <w:r>
        <w:t>peaks mirror the directional hierarchy of</w:t>
      </w:r>
      <w:r>
        <w:t xml:space="preserve"> </w:t>
      </w:r>
      <w:r>
        <w:t>H</w:t>
      </w:r>
      <w:r>
        <w:t xml:space="preserve"> </w:t>
      </w:r>
      <w:r>
        <w:t>c2</w:t>
      </w:r>
      <w:r>
        <w:t xml:space="preserve"> </w:t>
      </w:r>
      <w:r>
        <w:t>, which suggests a PDW is present above the bulk</w:t>
      </w:r>
      <w:r>
        <w:t xml:space="preserve"> </w:t>
      </w:r>
      <w:r>
        <w:t>T</w:t>
      </w:r>
      <w:r>
        <w:t xml:space="preserve"> </w:t>
      </w:r>
      <w:r>
        <w:t>c</w:t>
      </w:r>
      <w:r>
        <w:t xml:space="preserve"> </w:t>
      </w:r>
      <w:r>
        <w:t>. This is consistent with a Landau free-energy picture where PDWs with wavevectors</w:t>
      </w:r>
      <w:r>
        <w:t xml:space="preserve"> </w:t>
      </w:r>
      <w:r>
        <w:t>p</w:t>
      </w:r>
      <w:r>
        <w:t xml:space="preserve"> </w:t>
      </w:r>
      <w:r>
        <w:t>i</w:t>
      </w:r>
      <w:r>
        <w:t xml:space="preserve"> </w:t>
      </w:r>
      <w:r>
        <w:t>form above the bulk</w:t>
      </w:r>
      <w:r>
        <w:t xml:space="preserve"> </w:t>
      </w:r>
      <w:r>
        <w:t>T</w:t>
      </w:r>
      <w:r>
        <w:t xml:space="preserve"> </w:t>
      </w:r>
      <w:r>
        <w:t>c</w:t>
      </w:r>
      <w:r>
        <w:t xml:space="preserve"> </w:t>
      </w:r>
      <w:r>
        <w:t>, leading to composite CDW orders with wavevector</w:t>
      </w:r>
      <w:r>
        <w:t xml:space="preserve"> </w:t>
      </w:r>
      <w:r>
        <w:t>q</w:t>
      </w:r>
      <w:r>
        <w:t xml:space="preserve"> </w:t>
      </w:r>
      <w:r>
        <w:t>i</w:t>
      </w:r>
      <w:r>
        <w:t xml:space="preserve"> </w:t>
      </w:r>
      <w:r>
        <w:t>. Below</w:t>
      </w:r>
      <w:r>
        <w:t xml:space="preserve"> </w:t>
      </w:r>
      <w:r>
        <w:t>T</w:t>
      </w:r>
      <w:r>
        <w:t xml:space="preserve"> </w:t>
      </w:r>
      <w:r>
        <w:t>c</w:t>
      </w:r>
      <w:r>
        <w:t xml:space="preserve"> </w:t>
      </w:r>
      <w:r>
        <w:t>, the coupling of PDWs and uniform superconductivity leads to the</w:t>
      </w:r>
      <w:r>
        <w:t xml:space="preserve"> </w:t>
      </w:r>
      <w:r>
        <w:t>p</w:t>
      </w:r>
      <w:r>
        <w:t xml:space="preserve"> </w:t>
      </w:r>
      <w:r>
        <w:t>i</w:t>
      </w:r>
      <w:r>
        <w:t xml:space="preserve"> </w:t>
      </w:r>
      <w:r>
        <w:t>CDWs. Together, these findings establish UTe</w:t>
      </w:r>
      <w:r>
        <w:rPr>
          <w:vertAlign w:val="subscript"/>
        </w:rPr>
        <w:t>2</w:t>
      </w:r>
      <w:r>
        <w:t>as a rare platform where both the parent PDW and descendant orders are directly resolved, enabling access to both the fundamental and emergent manifestations of PDW physics.</w:t>
      </w:r>
    </w:p>
    <w:p>
      <w:pPr>
        <w:spacing w:before="120" w:after="120"/>
      </w:pPr>
      <w:r>
        <w:rPr>
          <w:sz w:val="18"/>
        </w:rPr>
        <w:t>——————————————————————————————————————————————————————————————————————</w:t>
      </w:r>
    </w:p>
    <w:p>
      <w:pPr>
        <w:spacing w:before="160" w:after="40" w:line="240" w:lineRule="auto"/>
      </w:pPr>
      <w:r>
        <w:rPr>
          <w:b/>
        </w:rPr>
        <w:t xml:space="preserve">[467] </w:t>
      </w:r>
      <w:hyperlink r:id="rId1204">
        <w:r>
          <w:rPr>
            <w:color w:val="1155CC"/>
            <w:u w:val="single"/>
          </w:rPr>
          <w:t>利用光和热在软晶格卤化物钙钛矿中进行相反和可逆的光学开关</w:t>
        </w:r>
      </w:hyperlink>
    </w:p>
    <w:p>
      <w:pPr>
        <w:spacing w:before="0" w:after="80"/>
      </w:pPr>
      <w:r>
        <w:rPr>
          <w:i/>
          <w:sz w:val="20"/>
        </w:rPr>
        <w:t>EN: Opposite and reversible optical switching in soft-lattice halide perovskites using light and heat</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205">
        <w:r>
          <w:rPr>
            <w:color w:val="1155CC"/>
            <w:u w:val="single"/>
          </w:rPr>
          <w:t>10.1126/sciadv.aeb1442</w:t>
        </w:r>
      </w:hyperlink>
    </w:p>
    <w:p>
      <w:pPr>
        <w:spacing w:before="0" w:after="120"/>
      </w:pPr>
      <w:r>
        <w:rPr>
          <w:b/>
        </w:rPr>
        <w:t xml:space="preserve">Notes: </w:t>
      </w:r>
      <w:r>
        <w:t>abstract_source=crossref</w:t>
      </w:r>
    </w:p>
    <w:p>
      <w:pPr>
        <w:spacing w:before="0" w:after="80" w:lineRule="auto" w:line="276"/>
      </w:pPr>
      <w:r>
        <w:rPr>
          <w:b/>
        </w:rPr>
        <w:t xml:space="preserve">摘要（ZH）: </w:t>
      </w:r>
      <w:r>
        <w:t>卤化物钙钛矿具有软晶格，电子自由度和结构自由度之间具有很强的相互作用，使其有望用于下一代光电子学。最近的研究揭示了它们独特的光致和热致光学行为，但动态光学开关的潜力仍未得到充分探索。在这里，我们展示了单晶溴化铯铅（CsPbBr</w:t>
      </w:r>
      <w:r>
        <w:rPr>
          <w:vertAlign w:val="subscript"/>
        </w:rPr>
        <w:t>3</w:t>
      </w:r>
      <w:r>
        <w:t>），由带隙以上照明或热激发独立驱动。我们测量了从 3 微米到 20 微米的中红外传输的可调变化，在 20 微米处超过 10%，在光和热下极性相反，调制时间 &lt;1 毫秒。这种对立的行为是由照明下类似极化子的晶格畸变（降低透射率）以及加热引起的晶格膨胀与材料的负热光系数（增加透明度）引起的。我们的研究结果确立了无机卤化物钙钛矿作为可重构光子学的可行材料平台，其中传输可以通过其软晶格固有的不同机制独立控制。</w:t>
      </w:r>
    </w:p>
    <w:p>
      <w:pPr>
        <w:spacing w:before="0" w:after="200" w:lineRule="auto" w:line="276"/>
      </w:pPr>
      <w:r>
        <w:rPr>
          <w:b/>
        </w:rPr>
        <w:t xml:space="preserve">Abstract (EN): </w:t>
      </w:r>
      <w:r>
        <w:t>Halide perovskites have soft lattices with strong interactions between electronic and structural degrees of freedom, making them promising for next-generation optoelectronics. Recent studies have uncovered their unique photo- and thermally induced optical behavior, yet the potential for dynamic, optical switching remains underexplored. Here, we demonstrate reversible and diametrically opposite optical switching in single-crystal cesium lead bromide (CsPbBr</w:t>
      </w:r>
      <w:r>
        <w:rPr>
          <w:vertAlign w:val="subscript"/>
        </w:rPr>
        <w:t>3</w:t>
      </w:r>
      <w:r>
        <w:t>), driven independently by either above-bandgap illumination or thermal excitation. We measure tunable changes in mid-infrared transmission from 3 to 20 micrometers, exceeding 10% at 20 micrometers, with opposite polarity under light and heat, and modulation times &amp;lt;1 millisecond. This antithetical behavior arises from a polaron-like lattice distortion under illumination (reducing transmission), and from lattice expansion from heating partnered with the material’s negative thermo-optic coefficient (increasing transparency). Our findings establish inorganic halide perovskites as a viable material platform for reconfigurable photonics where transmission can be controlled independently through distinct mechanisms intrinsic to their soft lattices.</w:t>
      </w:r>
    </w:p>
    <w:p>
      <w:pPr>
        <w:spacing w:before="120" w:after="120"/>
      </w:pPr>
      <w:r>
        <w:rPr>
          <w:sz w:val="18"/>
        </w:rPr>
        <w:t>——————————————————————————————————————————————————————————————————————</w:t>
      </w:r>
    </w:p>
    <w:p>
      <w:pPr>
        <w:spacing w:before="160" w:after="40" w:line="240" w:lineRule="auto"/>
      </w:pPr>
      <w:r>
        <w:rPr>
          <w:b/>
        </w:rPr>
        <w:t xml:space="preserve">[468] </w:t>
      </w:r>
      <w:hyperlink r:id="rId1206">
        <w:r>
          <w:rPr>
            <w:color w:val="1155CC"/>
            <w:u w:val="single"/>
          </w:rPr>
          <w:t>腹侧纹状体 D1 神经元中的 Mitofusin-2 通过性别特异性线粒体突触重编程调节基于努力的动机</w:t>
        </w:r>
      </w:hyperlink>
    </w:p>
    <w:p>
      <w:pPr>
        <w:spacing w:before="0" w:after="80"/>
      </w:pPr>
      <w:r>
        <w:rPr>
          <w:i/>
          <w:sz w:val="20"/>
        </w:rPr>
        <w:t>EN: Mitofusin-2 in ventral striatal D1 neurons regulates effort-based motivation through sex-specific mitochondrial–synaptic reprogramming</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07">
        <w:r>
          <w:rPr>
            <w:color w:val="1155CC"/>
            <w:u w:val="single"/>
          </w:rPr>
          <w:t>10.1073/pnas.2601657123</w:t>
        </w:r>
      </w:hyperlink>
    </w:p>
    <w:p>
      <w:pPr>
        <w:spacing w:before="0" w:after="120"/>
      </w:pPr>
      <w:r>
        <w:rPr>
          <w:b/>
        </w:rPr>
        <w:t xml:space="preserve">Notes: </w:t>
      </w:r>
      <w:r>
        <w:t>abstract_source=crossref</w:t>
      </w:r>
    </w:p>
    <w:p>
      <w:pPr>
        <w:spacing w:before="0" w:after="80" w:lineRule="auto" w:line="276"/>
      </w:pPr>
      <w:r>
        <w:rPr>
          <w:b/>
        </w:rPr>
        <w:t xml:space="preserve">摘要（ZH）: </w:t>
      </w:r>
      <w:r>
        <w:t>基于努力的动机因人而异，并影响幸福感，但设定动机能力的分子和神经机制仍不完全清楚。线粒体功能正在成为行为的关键调节因子，而线粒体融合蛋白-2 (MFN2) 是线粒体融合和内质网-线粒体耦合的关键介质。在这里，我们询问如何下调</w:t>
      </w:r>
      <w:r>
        <w:t xml:space="preserve"> </w:t>
      </w:r>
      <w:r>
        <w:t>MFn2</w:t>
      </w:r>
      <w:r>
        <w:t xml:space="preserve"> </w:t>
      </w:r>
      <w:r>
        <w:t>通过整合电生理学、神经元和突触形态、免疫组织化学、线粒体读数、RNA 原位杂交、RiboTag 和行为分析，表达 1 型多巴胺受体的中型多棘神经元 (D1-MSN) 有助于雄性和雌性小鼠基于努力的动机和压力应对。 MFN2 缺陷导致腹侧纹状体 D1-MSN 中树突状线粒体碎片和突触输入重塑，但对背内侧纹状体 D1-MSN 没有细胞影响。尽管 MFN2 缺陷会引起性别依赖性突触和结构改变，但两种性别在动机行为过程中都表现出累积 D1-MSN 的募集减少，以及基于努力的动机和压力应对能力受损。翻译组分析揭示了两性线粒体途径的共同耗竭，而男性的氧化磷酸化和 TCA 循环程序受到更明显的抑制。引人注目的是，只有雄性也表现出核糖体程序的协调下调以及突触通路的富集，其中调节谷氨酸受体循环和 PSD 重塑的基因具有很高的代表性，前提是</w:t>
      </w:r>
    </w:p>
    <w:p>
      <w:pPr>
        <w:spacing w:before="0" w:after="200" w:lineRule="auto" w:line="276"/>
      </w:pPr>
      <w:r>
        <w:rPr>
          <w:b/>
        </w:rPr>
        <w:t xml:space="preserve">Abstract (EN): </w:t>
      </w:r>
      <w:r>
        <w:t>Effort-based motivation varies widely across individuals and affects well-being, yet the molecular and neuronal mechanisms that set motivational capacity remain incompletely understood. Mitochondrial function is emerging as a critical regulator of behavior, and mitofusin-2 (MFN2) is a key mediator of mitochondrial fusion and endoplasmic reticulum–mitochondria coupling. Here, we asked how downregulation of</w:t>
      </w:r>
      <w:r>
        <w:t xml:space="preserve"> </w:t>
      </w:r>
      <w:r>
        <w:t>Mfn2</w:t>
      </w:r>
      <w:r>
        <w:t xml:space="preserve"> </w:t>
      </w:r>
      <w:r>
        <w:t>in dopamine receptor type-1-expressing medium spiny neurons (D1-MSNs) contributes to effort-based motivation and stress coping in male and female mice by integrating electrophysiology, neuronal and synaptic morphology, immunohistochemistry, mitochondrial readouts, RNA in situ hybridization, RiboTag, and behavioral analyses. MFN2 deficiency resulted in fragmented dendritic mitochondria and remodeled synaptic inputs in ventral striatal D1-MSNs, with no cellular impact in dorsomedial striatal D1-MSNs. Although MFN2 deficiency elicited sex-dependent synaptic and structural alterations, both sexes showed reduced recruitment of accumbal D1-MSNs during motivated behavior and impaired effort-based motivation and stress coping. Translatome profiling revealed shared depletion of mitochondrial pathways in both sexes, with more pronounced suppression of oxidative phosphorylation and TCA cycle programs in males. Strikingly, only males also exhibited coordinated downregulation of ribosomal programs together with enrichment of synaptic pathways, with high representation of genes regulating glutamate receptor cycling and PSD remodeling, providing a mechanistic framework for the observed synaptic alterations. Pathway-level network inference further supported coupling among mitochondrial, translational, and synaptic programs in males. These findings identify MFN2-dependent mitochondrial integrity in ventral striatal D1-MSNs as a critical determinant of motivational capacity and reveal sex-specific molecular and cellular responses through which mitochondrial dysfunction converges on similar motivational deficits.</w:t>
      </w:r>
    </w:p>
    <w:p>
      <w:pPr>
        <w:spacing w:before="120" w:after="120"/>
      </w:pPr>
      <w:r>
        <w:rPr>
          <w:sz w:val="18"/>
        </w:rPr>
        <w:t>——————————————————————————————————————————————————————————————————————</w:t>
      </w:r>
    </w:p>
    <w:p>
      <w:pPr>
        <w:spacing w:before="160" w:after="40" w:line="240" w:lineRule="auto"/>
      </w:pPr>
      <w:r>
        <w:rPr>
          <w:b/>
        </w:rPr>
        <w:t xml:space="preserve">[469] </w:t>
      </w:r>
      <w:hyperlink r:id="rId1208">
        <w:r>
          <w:rPr>
            <w:color w:val="1155CC"/>
            <w:u w:val="single"/>
          </w:rPr>
          <w:t>对曹等人的修正，新生代地理气候变化驱动了青藏高原植物区系特有的进化动态</w:t>
        </w:r>
      </w:hyperlink>
    </w:p>
    <w:p>
      <w:pPr>
        <w:spacing w:before="0" w:after="80"/>
      </w:pPr>
      <w:r>
        <w:rPr>
          <w:i/>
          <w:sz w:val="20"/>
        </w:rPr>
        <w:t>EN: Correction for Cao et al., Cenozoic geoclimatic changes drove the evolutionary dynamics of floristic endemism on the Qinghai–Tibet Plateau</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09">
        <w:r>
          <w:rPr>
            <w:color w:val="1155CC"/>
            <w:u w:val="single"/>
          </w:rPr>
          <w:t>10.1073/pnas.2622614123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1210">
        <w:r>
          <w:rPr>
            <w:color w:val="1155CC"/>
            <w:u w:val="single"/>
          </w:rPr>
          <w:t>左听觉皮层的阿尔法节律设定了言语理解的速度限制</w:t>
        </w:r>
      </w:hyperlink>
    </w:p>
    <w:p>
      <w:pPr>
        <w:spacing w:before="0" w:after="80"/>
      </w:pPr>
      <w:r>
        <w:rPr>
          <w:i/>
          <w:sz w:val="20"/>
        </w:rPr>
        <w:t>EN: Alpha rhythms in the left auditory cortex set the speed limit for speech comprehension</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11">
        <w:r>
          <w:rPr>
            <w:color w:val="1155CC"/>
            <w:u w:val="single"/>
          </w:rPr>
          <w:t>10.1073/pnas.2601610123</w:t>
        </w:r>
      </w:hyperlink>
    </w:p>
    <w:p>
      <w:pPr>
        <w:spacing w:before="0" w:after="120"/>
      </w:pPr>
      <w:r>
        <w:rPr>
          <w:b/>
        </w:rPr>
        <w:t xml:space="preserve">Notes: </w:t>
      </w:r>
      <w:r>
        <w:t>abstract_source=crossref</w:t>
      </w:r>
    </w:p>
    <w:p>
      <w:pPr>
        <w:spacing w:before="0" w:after="80" w:lineRule="auto" w:line="276"/>
      </w:pPr>
      <w:r>
        <w:rPr>
          <w:b/>
        </w:rPr>
        <w:t xml:space="preserve">摘要（ZH）: </w:t>
      </w:r>
      <w:r>
        <w:t>人类认知在不同的时间窗口内运行，从非常短到非常长。每个认知功能都有自己的处理速度范围，超过这个范围，性能就会下降，甚至变得不可能。言语理解作为文明社会中最重要的认知功能之一，就体现了这种限制：当语速超过每秒 10 个音节时，表现会显着下降。然而，这种速度限制背后的神经机制仍不清楚。在这里，通过结合心理物理学、头皮脑电图、经颅交流电刺激（tACS）、重复感觉刺激和立体脑电图（sEEG），我们发现内在的α带活动决定了言语理解的最大速率。在健康参与者中，个体阿尔法频率（IAF）精确预测了语音识别率阈值。至关重要的是，通过高清 tACS 和节律性听觉刺激因果性地加速内源性 α 节律改变了这一阈值，从而增强了对超快语音的理解。此外，人类听觉皮层的 sEEG 记录显示，这种限速机制是局部决定的：左听觉皮层中更快的 α 带活动有利于更强的神经夹带到语音包络。这些发现将阿尔法带活动确定为语言处理的一个基本的、可延展的时间瓶颈，这表明大脑的内在采样率设定了人类交流的生理极限。</w:t>
      </w:r>
    </w:p>
    <w:p>
      <w:pPr>
        <w:spacing w:before="0" w:after="200" w:lineRule="auto" w:line="276"/>
      </w:pPr>
      <w:r>
        <w:rPr>
          <w:b/>
        </w:rPr>
        <w:t xml:space="preserve">Abstract (EN): </w:t>
      </w:r>
      <w:r>
        <w:t>Human cognition operates within distinct temporal windows spanning from very short to extremely long. Each cognitive function has its own processing speed range, beyond which performance deteriorates or even becomes impossible. Speech comprehension, as one of the most important cognitive functions in civilized societies, exemplifies this constraint: Performance declines markedly when speech rates exceed about 10 syllables per second. However, the neural mechanisms underlying this speed limit remain unclear. Here, by combining psychophysics, scalp-electroencephalography, transcranial alternating current stimulation (tACS), repetitive sensory stimulation, and stereo-electroencephalography (sEEG), we showed that the intrinsic alpha band activity determined the maximum rate of speech comprehension. In healthy participants, individual alpha frequency (IAF) precisely predicted the speech recognition rate threshold. Crucially, causally accelerating endogenous alpha rhythms via high-definition tACS and rhythmic auditory stimulation shifted this threshold, enhancing comprehension of ultrafast speech. Furthermore, sEEG recordings from the human auditory cortex revealed that this speed-limiting mechanism was locally determined: Faster alpha band activity in the left auditory cortex facilitated stronger neural entrainment to the speech envelope. These findings identify alpha band activity as a fundamental, malleable temporal bottleneck for linguistic processing, suggesting that the brain’s intrinsic sampling rate sets the physiological limit on human communication.</w:t>
      </w:r>
    </w:p>
    <w:p>
      <w:pPr>
        <w:spacing w:before="120" w:after="120"/>
      </w:pPr>
      <w:r>
        <w:rPr>
          <w:sz w:val="18"/>
        </w:rPr>
        <w:t>——————————————————————————————————————————————————————————————————————</w:t>
      </w:r>
    </w:p>
    <w:p>
      <w:pPr>
        <w:spacing w:before="160" w:after="40" w:line="240" w:lineRule="auto"/>
      </w:pPr>
      <w:r>
        <w:rPr>
          <w:b/>
        </w:rPr>
        <w:t xml:space="preserve">[471] </w:t>
      </w:r>
      <w:hyperlink r:id="rId1212">
        <w:r>
          <w:rPr>
            <w:color w:val="1155CC"/>
            <w:u w:val="single"/>
          </w:rPr>
          <w:t>补偿和殖民化抵消了草原生物多样性随时间丧失的影响</w:t>
        </w:r>
      </w:hyperlink>
    </w:p>
    <w:p>
      <w:pPr>
        <w:spacing w:before="0" w:after="80"/>
      </w:pPr>
      <w:r>
        <w:rPr>
          <w:i/>
          <w:sz w:val="20"/>
        </w:rPr>
        <w:t>EN: Compensation and colonization offset the impacts of biodiversity loss over time in grasslands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13">
        <w:r>
          <w:rPr>
            <w:color w:val="1155CC"/>
            <w:u w:val="single"/>
          </w:rPr>
          <w:t>10.1073/pnas.2537872123</w:t>
        </w:r>
      </w:hyperlink>
    </w:p>
    <w:p>
      <w:pPr>
        <w:spacing w:before="0" w:after="120"/>
      </w:pPr>
      <w:r>
        <w:rPr>
          <w:b/>
        </w:rPr>
        <w:t xml:space="preserve">Notes: </w:t>
      </w:r>
      <w:r>
        <w:t>abstract_source=crossref</w:t>
      </w:r>
    </w:p>
    <w:p>
      <w:pPr>
        <w:spacing w:before="0" w:after="80" w:lineRule="auto" w:line="276"/>
      </w:pPr>
      <w:r>
        <w:rPr>
          <w:b/>
        </w:rPr>
        <w:t xml:space="preserve">摘要（ZH）: </w:t>
      </w:r>
      <w:r>
        <w:t>生物多样性与生产力关系（BPR）对于理解生物多样性丧失的后果至关重要；然而，这种关系在自然生态系统中如何随着时间的推移而演变仍不清楚。一些针对人工组装群落的长期生物多样性实验表明，BPR 随着时间的推移而升级，然而，这种模式是否适用于自然生态系统尚未得到探讨。在这里，我们展示了在内蒙古草原进行的 15 年清除实验的结果，其中通过 2006 年至 2009 年的定向清除，随后从 2010 年起进行自然再殖民，创建了植物功能群 (PFG) 丰富度和物种丰富度的梯度。我们发现，基于PFG丰富度和基于物种丰富度的BPR在清除期间（第2-4年）逐渐减少，并在停止清除后12年中的9年（第5-16年）脱钩，这表明生物多样性丧失的负面影响不一定会随着时间的推移而加剧；相反，它们可能会减少。我们发现，BPR 的时间变化首先是由剩余物种的补偿性增长造成的，随后是由外部种群的新殖民造成的。这些结果强调，自然生态系统中生物多样性丧失的影响受到补偿和殖民化等组装过程的强烈影响。因此，预测生物多样性丧失对生态系统后果的模型应考虑这些机制。忽视它们可能会导致高估生物多样性丧失对自然群落的长期影响，特别是在</w:t>
      </w:r>
    </w:p>
    <w:p>
      <w:pPr>
        <w:spacing w:before="0" w:after="200" w:lineRule="auto" w:line="276"/>
      </w:pPr>
      <w:r>
        <w:rPr>
          <w:b/>
        </w:rPr>
        <w:t xml:space="preserve">Abstract (EN): </w:t>
      </w:r>
      <w:r>
        <w:t>The biodiversity–productivity relationship (BPR) is crucial for understanding the consequences of biodiversity loss; yet, how this relationship evolves over time in natural ecosystems remains unclear. Several long-term biodiversity experiments with artificially assembled communities suggest that the BPR escalates over time, however, whether this pattern applies to natural ecosystems has not been explored. Here, we present the results of a 15-y removal experiment in the Inner Mongolia grassland, where gradients of plant functional group (PFG) richness and species richness were created through targeted removals from 2006–2009, followed by natural recolonization from 2010 onward. We found that both the PFG richness-based and species richness-based BPRs diminished gradually during the removal period (years 2–4) and decoupled in 9 out of 12 y after the cessation of removal (years 5–16), suggesting that the negative impacts of biodiversity loss do not necessarily escalate over time; rather, they may decrease. We identified that the temporal shift in BPRs resulted first from compensatory growth of remaining species and subsequently from new colonization by external populations. These results highlight that the impacts of biodiversity loss in natural ecosystems are strongly modified by assembly processes such as compensation and colonization. Therefore, models predicting the ecosystem consequences of biodiversity loss should consider these mechanisms. Ignoring them may lead to an overestimation of the long-term impacts of biodiversity loss in natural communities, particularly where surrounding landscapes harbor species pools capable of recolonization.</w:t>
      </w:r>
    </w:p>
    <w:p>
      <w:pPr>
        <w:spacing w:before="120" w:after="120"/>
      </w:pPr>
      <w:r>
        <w:rPr>
          <w:sz w:val="18"/>
        </w:rPr>
        <w:t>——————————————————————————————————————————————————————————————————————</w:t>
      </w:r>
    </w:p>
    <w:p>
      <w:pPr>
        <w:spacing w:before="160" w:after="40" w:line="240" w:lineRule="auto"/>
      </w:pPr>
      <w:r>
        <w:rPr>
          <w:b/>
        </w:rPr>
        <w:t xml:space="preserve">[472] </w:t>
      </w:r>
      <w:hyperlink r:id="rId1214">
        <w:r>
          <w:rPr>
            <w:color w:val="1155CC"/>
            <w:u w:val="single"/>
          </w:rPr>
          <w:t>格陵兰岛空气团簇同位素测量反映的对大气甲烷的人为扰动</w:t>
        </w:r>
      </w:hyperlink>
    </w:p>
    <w:p>
      <w:pPr>
        <w:spacing w:before="0" w:after="80"/>
      </w:pPr>
      <w:r>
        <w:rPr>
          <w:i/>
          <w:sz w:val="20"/>
        </w:rPr>
        <w:t>EN: Anthropogenic perturbations to atmospheric methane reflected in Greenland firn air clumped isotope measurements</w:t>
      </w:r>
    </w:p>
    <w:p>
      <w:pPr>
        <w:spacing w:before="0" w:after="120"/>
      </w:pPr>
      <w:r>
        <w:rPr>
          <w:b/>
        </w:rPr>
        <w:t xml:space="preserve">Source: </w:t>
      </w:r>
      <w:r>
        <w:t>AAAS: Science Advances: Table of Contents</w:t>
      </w:r>
      <w:r>
        <w:t xml:space="preserve">    </w:t>
      </w:r>
      <w:r>
        <w:rPr>
          <w:b/>
        </w:rPr>
        <w:t xml:space="preserve">Pub date: </w:t>
      </w:r>
      <w:r>
        <w:t>2026-07-15 07:00:00+00:00</w:t>
      </w:r>
      <w:r>
        <w:t xml:space="preserve">    </w:t>
      </w:r>
      <w:r>
        <w:rPr>
          <w:b/>
        </w:rPr>
        <w:t xml:space="preserve">DOI: </w:t>
      </w:r>
      <w:hyperlink r:id="rId1215">
        <w:r>
          <w:rPr>
            <w:color w:val="1155CC"/>
            <w:u w:val="single"/>
          </w:rPr>
          <w:t>10.1126/sciadv.aeb2203</w:t>
        </w:r>
      </w:hyperlink>
    </w:p>
    <w:p>
      <w:pPr>
        <w:spacing w:before="0" w:after="120"/>
      </w:pPr>
      <w:r>
        <w:rPr>
          <w:b/>
        </w:rPr>
        <w:t xml:space="preserve">Notes: </w:t>
      </w:r>
      <w:r>
        <w:t>abstract_source=crossref</w:t>
      </w:r>
    </w:p>
    <w:p>
      <w:pPr>
        <w:spacing w:before="0" w:after="80" w:lineRule="auto" w:line="276"/>
      </w:pPr>
      <w:r>
        <w:rPr>
          <w:b/>
        </w:rPr>
        <w:t xml:space="preserve">摘要（ZH）: </w:t>
      </w:r>
      <w:r>
        <w:t>关于大气中甲烷含量上升的根源的持续争论凸显了我们对其全球预算理解上的差距。据我们所知，我们基于格陵兰冰盖的大量冰空气样本，首次重建了 20 世纪 90 年代初大气甲烷的团块同位素组成。我们的测量表明大气 Δ</w:t>
      </w:r>
      <w:r>
        <w:rPr>
          <w:vertAlign w:val="subscript"/>
        </w:rPr>
        <w:t>12</w:t>
      </w:r>
      <w:r>
        <w:t>CH</w:t>
      </w:r>
      <w:r>
        <w:rPr>
          <w:vertAlign w:val="subscript"/>
        </w:rPr>
        <w:t>2</w:t>
      </w:r>
      <w:r>
        <w:t>D</w:t>
      </w:r>
      <w:r>
        <w:rPr>
          <w:vertAlign w:val="subscript"/>
        </w:rPr>
        <w:t>2</w:t>
      </w:r>
      <w:r>
        <w:t>1993 年左右，这一数字比 2020 年代中期低了 10 ± 2 每百万，这可能是上个千年以来的最低水平。我们将这种转变归因于工业时期全球甲烷排放量前所未有的人为扰动。大气同位素特征的时间滞后反映了大气寿命较长所引起的不平衡效应</w:t>
      </w:r>
      <w:r>
        <w:rPr>
          <w:vertAlign w:val="subscript"/>
        </w:rPr>
        <w:t>12</w:t>
      </w:r>
      <w:r>
        <w:t>CH</w:t>
      </w:r>
      <w:r>
        <w:rPr>
          <w:vertAlign w:val="subscript"/>
        </w:rPr>
        <w:t>2</w:t>
      </w:r>
      <w:r>
        <w:t>D</w:t>
      </w:r>
      <w:r>
        <w:rPr>
          <w:vertAlign w:val="subscript"/>
        </w:rPr>
        <w:t>2</w:t>
      </w:r>
      <w:r>
        <w:t>相对于甲烷 (CH</w:t>
      </w:r>
      <w:r>
        <w:rPr>
          <w:vertAlign w:val="subscript"/>
        </w:rPr>
        <w:t>4</w:t>
      </w:r>
      <w:r>
        <w:t>）。此外，我们的结果表明，动力学同位素效应在去除</w:t>
      </w:r>
      <w:r>
        <w:rPr>
          <w:vertAlign w:val="subscript"/>
        </w:rPr>
        <w:t>12</w:t>
      </w:r>
      <w:r>
        <w:t>CH</w:t>
      </w:r>
      <w:r>
        <w:rPr>
          <w:vertAlign w:val="subscript"/>
        </w:rPr>
        <w:t>2</w:t>
      </w:r>
      <w:r>
        <w:t>D</w:t>
      </w:r>
      <w:r>
        <w:rPr>
          <w:vertAlign w:val="subscript"/>
        </w:rPr>
        <w:t>2</w:t>
      </w:r>
      <w:r>
        <w:t>羟基自由基产生的能量需要比之前估计的小得多。大气 Δ 的未来变化</w:t>
      </w:r>
      <w:r>
        <w:rPr>
          <w:vertAlign w:val="subscript"/>
        </w:rPr>
        <w:t>12</w:t>
      </w:r>
      <w:r>
        <w:t>CH</w:t>
      </w:r>
      <w:r>
        <w:rPr>
          <w:vertAlign w:val="subscript"/>
        </w:rPr>
        <w:t>2</w:t>
      </w:r>
      <w:r>
        <w:t>D</w:t>
      </w:r>
      <w:r>
        <w:rPr>
          <w:vertAlign w:val="subscript"/>
        </w:rPr>
        <w:t>2</w:t>
      </w:r>
      <w:r>
        <w:t>将继续反映不断发展的 CH</w:t>
      </w:r>
    </w:p>
    <w:p>
      <w:pPr>
        <w:spacing w:before="0" w:after="200" w:lineRule="auto" w:line="276"/>
      </w:pPr>
      <w:r>
        <w:rPr>
          <w:b/>
        </w:rPr>
        <w:t xml:space="preserve">Abstract (EN): </w:t>
      </w:r>
      <w:r>
        <w:t>The ongoing debate over the origin of rising atmospheric methane levels highlights gaps in our understanding of its global budget. To our knowledge, we present the first reconstructed clumped isotopic composition of atmospheric methane dating back to the early 1990s, based on large-volume firn air samples from the Greenland ice cap. Our measurements indicate that atmospheric ∆</w:t>
      </w:r>
      <w:r>
        <w:rPr>
          <w:vertAlign w:val="subscript"/>
        </w:rPr>
        <w:t>12</w:t>
      </w:r>
      <w:r>
        <w:t>CH</w:t>
      </w:r>
      <w:r>
        <w:rPr>
          <w:vertAlign w:val="subscript"/>
        </w:rPr>
        <w:t>2</w:t>
      </w:r>
      <w:r>
        <w:t>D</w:t>
      </w:r>
      <w:r>
        <w:rPr>
          <w:vertAlign w:val="subscript"/>
        </w:rPr>
        <w:t>2</w:t>
      </w:r>
      <w:r>
        <w:t>around 1993 was 10 ± 2 per mil lower than in the mid-2020s, likely marking the lowest level over the last millennium. We attribute this shift to the unprecedented anthropogenic perturbation of global methane emissions during the industrial period. The temporal lag in the atmospheric isotopic signature reflects the disequilibrium effect caused by the longer atmospheric lifetime of</w:t>
      </w:r>
      <w:r>
        <w:rPr>
          <w:vertAlign w:val="subscript"/>
        </w:rPr>
        <w:t>12</w:t>
      </w:r>
      <w:r>
        <w:t>CH</w:t>
      </w:r>
      <w:r>
        <w:rPr>
          <w:vertAlign w:val="subscript"/>
        </w:rPr>
        <w:t>2</w:t>
      </w:r>
      <w:r>
        <w:t>D</w:t>
      </w:r>
      <w:r>
        <w:rPr>
          <w:vertAlign w:val="subscript"/>
        </w:rPr>
        <w:t>2</w:t>
      </w:r>
      <w:r>
        <w:t>relative to methane (CH</w:t>
      </w:r>
      <w:r>
        <w:rPr>
          <w:vertAlign w:val="subscript"/>
        </w:rPr>
        <w:t>4</w:t>
      </w:r>
      <w:r>
        <w:t>). Moreover, our results suggest that the kinetic isotope effect in the removal of</w:t>
      </w:r>
      <w:r>
        <w:rPr>
          <w:vertAlign w:val="subscript"/>
        </w:rPr>
        <w:t>12</w:t>
      </w:r>
      <w:r>
        <w:t>CH</w:t>
      </w:r>
      <w:r>
        <w:rPr>
          <w:vertAlign w:val="subscript"/>
        </w:rPr>
        <w:t>2</w:t>
      </w:r>
      <w:r>
        <w:t>D</w:t>
      </w:r>
      <w:r>
        <w:rPr>
          <w:vertAlign w:val="subscript"/>
        </w:rPr>
        <w:t>2</w:t>
      </w:r>
      <w:r>
        <w:t>by the hydroxyl radical needs to be much smaller than previously estimated. Future changes in atmospheric ∆</w:t>
      </w:r>
      <w:r>
        <w:rPr>
          <w:vertAlign w:val="subscript"/>
        </w:rPr>
        <w:t>12</w:t>
      </w:r>
      <w:r>
        <w:t>CH</w:t>
      </w:r>
      <w:r>
        <w:rPr>
          <w:vertAlign w:val="subscript"/>
        </w:rPr>
        <w:t>2</w:t>
      </w:r>
      <w:r>
        <w:t>D</w:t>
      </w:r>
      <w:r>
        <w:rPr>
          <w:vertAlign w:val="subscript"/>
        </w:rPr>
        <w:t>2</w:t>
      </w:r>
      <w:r>
        <w:t>will continue to reflect evolving CH</w:t>
      </w:r>
      <w:r>
        <w:rPr>
          <w:vertAlign w:val="subscript"/>
        </w:rPr>
        <w:t>4</w:t>
      </w:r>
      <w:r>
        <w:t>emission and removal pathways.</w:t>
      </w:r>
    </w:p>
    <w:p>
      <w:pPr>
        <w:spacing w:before="120" w:after="120"/>
      </w:pPr>
      <w:r>
        <w:rPr>
          <w:sz w:val="18"/>
        </w:rPr>
        <w:t>——————————————————————————————————————————————————————————————————————</w:t>
      </w:r>
    </w:p>
    <w:p>
      <w:pPr>
        <w:spacing w:before="160" w:after="40" w:line="240" w:lineRule="auto"/>
      </w:pPr>
      <w:r>
        <w:rPr>
          <w:b/>
        </w:rPr>
        <w:t xml:space="preserve">[473] </w:t>
      </w:r>
      <w:hyperlink r:id="rId1216">
        <w:r>
          <w:rPr>
            <w:color w:val="1155CC"/>
            <w:u w:val="single"/>
          </w:rPr>
          <w:t>在宽松选择下维持剂量补偿和减数分裂性染色体失活</w:t>
        </w:r>
      </w:hyperlink>
    </w:p>
    <w:p>
      <w:pPr>
        <w:spacing w:before="0" w:after="80"/>
      </w:pPr>
      <w:r>
        <w:rPr>
          <w:i/>
          <w:sz w:val="20"/>
        </w:rPr>
        <w:t>EN: Dosage compensation and meiotic sex chromosome inactivation are maintained under relaxed selection</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17">
        <w:r>
          <w:rPr>
            <w:color w:val="1155CC"/>
            <w:u w:val="single"/>
          </w:rPr>
          <w:t>10.1073/pnas.2531501123</w:t>
        </w:r>
      </w:hyperlink>
    </w:p>
    <w:p>
      <w:pPr>
        <w:spacing w:before="0" w:after="120"/>
      </w:pPr>
      <w:r>
        <w:rPr>
          <w:b/>
        </w:rPr>
        <w:t xml:space="preserve">Notes: </w:t>
      </w:r>
      <w:r>
        <w:t>abstract_source=crossref</w:t>
      </w:r>
    </w:p>
    <w:p>
      <w:pPr>
        <w:spacing w:before="0" w:after="80" w:lineRule="auto" w:line="276"/>
      </w:pPr>
      <w:r>
        <w:rPr>
          <w:b/>
        </w:rPr>
        <w:t xml:space="preserve">摘要（ZH）: </w:t>
      </w:r>
      <w:r>
        <w:t>剂量补偿和减数分裂性染色体失活（MSCI）是调节雄性异配物种中 X 染色体基因表达的关键机制。虽然这些机制的趋同进化有据可查，但它们在宽松选择下的进化命运仍然知之甚少。在这里，我们测试了竹节虫在三次独立的单性生殖转变后剂量补偿和 MSCI 是否持续存在，其中对雄性表型的选择是放松的。利用孤雌生殖雌性偶尔产生的稀有雄性、染色体水平基因组组装、来自多个组织的RNA-seq和免疫细胞化学，我们发现剂量补偿在所有七个研究的体细胞组织中完全保守。即使在最古老的、大约 1.5 My 老的全女性谱系和组织特异性基因中也是如此，预计剂量变化不会对其产生非常有害的影响。种系中减数分裂 X 失活也是保守的。然而，令人惊讶的是，表达数据和细胞学标记表明，MSCI 特征在孤雌生殖雄性中甚至更强，这种模式可能是由减数分裂期间延长的常染色体转录驱动的。这些结果表明，X 靶向剂量补偿和 MSCI 在进化过程中高度稳定，并且可能通过进化限制、多效性或非常弱的选择的组合在全雌性谱系中得以维持，而减数分裂期间的常染色体表达在宽松的选择下迅速变化。</w:t>
      </w:r>
    </w:p>
    <w:p>
      <w:pPr>
        <w:spacing w:before="0" w:after="200" w:lineRule="auto" w:line="276"/>
      </w:pPr>
      <w:r>
        <w:rPr>
          <w:b/>
        </w:rPr>
        <w:t xml:space="preserve">Abstract (EN): </w:t>
      </w:r>
      <w:r>
        <w:t>Dosage compensation and meiotic sex chromosome inactivation (MSCI) are key mechanisms regulating gene expression from the X chromosome in male-heterogametic species. While the convergent evolution of these mechanisms is well documented, their evolutionary fate under relaxed selection remains poorly understood. Here, we test whether dosage compensation and MSCI persist following three independent transitions to parthenogenesis in stick insects, where selection on male phenotypes is relaxed. Using rare males occasionally produced by parthenogenetic females, chromosome-level genome assemblies, RNA-seq from multiple tissues, and immunocytochemistry, we find that dosage compensation is fully conserved across all seven studied somatic tissues. This is even the case in the oldest, approximately 1.5 My old all-female lineage and for tissue-specific genes for which dosage variation is not expected to be very deleterious. Meiotic X inactivation in the germline is also conserved. Surprisingly, however, expression data and cytological markers indicate that MSCI signatures are even stronger in parthenogenetic males, a pattern likely driven by prolonged autosomal transcription during meiosis. These results indicate that X-targeting dosage compensation and MSCI are highly stable over evolutionary time and may be maintained in all-female lineages by a combination of evolutionary constraint, pleiotropy, or very weak selection, whereas autosomal expression during meiosis shifts rapidly under relaxed selection.</w:t>
      </w:r>
    </w:p>
    <w:p>
      <w:pPr>
        <w:spacing w:before="120" w:after="120"/>
      </w:pPr>
      <w:r>
        <w:rPr>
          <w:sz w:val="18"/>
        </w:rPr>
        <w:t>——————————————————————————————————————————————————————————————————————</w:t>
      </w:r>
    </w:p>
    <w:p>
      <w:pPr>
        <w:spacing w:before="160" w:after="40" w:line="240" w:lineRule="auto"/>
      </w:pPr>
      <w:r>
        <w:rPr>
          <w:b/>
        </w:rPr>
        <w:t xml:space="preserve">[474] </w:t>
      </w:r>
      <w:hyperlink r:id="rId1218">
        <w:r>
          <w:rPr>
            <w:color w:val="1155CC"/>
            <w:u w:val="single"/>
          </w:rPr>
          <w:t>植物是全球潮汐沼泽甲烷通量的有力代表</w:t>
        </w:r>
      </w:hyperlink>
    </w:p>
    <w:p>
      <w:pPr>
        <w:spacing w:before="0" w:after="80"/>
      </w:pPr>
      <w:r>
        <w:rPr>
          <w:i/>
          <w:sz w:val="20"/>
        </w:rPr>
        <w:t>EN: Plants are a powerful proxy for global tidal marsh methane fluxes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19">
        <w:r>
          <w:rPr>
            <w:color w:val="1155CC"/>
            <w:u w:val="single"/>
          </w:rPr>
          <w:t>10.1073/pnas.2530848123</w:t>
        </w:r>
      </w:hyperlink>
    </w:p>
    <w:p>
      <w:pPr>
        <w:spacing w:before="0" w:after="120"/>
      </w:pPr>
      <w:r>
        <w:rPr>
          <w:b/>
        </w:rPr>
        <w:t xml:space="preserve">Notes: </w:t>
      </w:r>
      <w:r>
        <w:t>abstract_source=crossref</w:t>
      </w:r>
    </w:p>
    <w:p>
      <w:pPr>
        <w:spacing w:before="0" w:after="80" w:lineRule="auto" w:line="276"/>
      </w:pPr>
      <w:r>
        <w:rPr>
          <w:b/>
        </w:rPr>
        <w:t xml:space="preserve">摘要（ZH）: </w:t>
      </w:r>
      <w:r>
        <w:t>甲烷（CH</w:t>
      </w:r>
      <w:r>
        <w:rPr>
          <w:vertAlign w:val="subscript"/>
        </w:rPr>
        <w:t>4</w:t>
      </w:r>
      <w:r>
        <w:t>）排放会减少潮汐沼泽的气候效益。然而潮汐沼泽的驱动者 CH</w:t>
      </w:r>
      <w:r>
        <w:rPr>
          <w:vertAlign w:val="subscript"/>
        </w:rPr>
        <w:t>4</w:t>
      </w:r>
      <w:r>
        <w:t>排放量的量化仍然很差，而盐度是潮汐沼泽 CH 最完善的替代指标</w:t>
      </w:r>
      <w:r>
        <w:rPr>
          <w:vertAlign w:val="subscript"/>
        </w:rPr>
        <w:t>4</w:t>
      </w:r>
      <w:r>
        <w:t>通量，预测性能较低。在这里，我们证明植物物种比盐度更能作为全球潮汐沼泽 CH 的单一预测因子</w:t>
      </w:r>
      <w:r>
        <w:rPr>
          <w:vertAlign w:val="subscript"/>
        </w:rPr>
        <w:t>4</w:t>
      </w:r>
      <w:r>
        <w:t>通量，本身提供了一个强大而简单的预测器。将植物物种与其他预测因子（即纬度、盐度、季节）相结合的多代理方法进一步改进了全球 CH 的预测</w:t>
      </w:r>
      <w:r>
        <w:rPr>
          <w:vertAlign w:val="subscript"/>
        </w:rPr>
        <w:t>4</w:t>
      </w:r>
      <w:r>
        <w:t>通量。为了进行分析，我们编制了 87 项研究，其中包含 2,094 项 CH 平均测量值</w:t>
      </w:r>
      <w:r>
        <w:rPr>
          <w:vertAlign w:val="subscript"/>
        </w:rPr>
        <w:t>4</w:t>
      </w:r>
      <w:r>
        <w:t>通量并使用随机森林和广义加性模型来研究 CH 之间的关系</w:t>
      </w:r>
      <w:r>
        <w:rPr>
          <w:vertAlign w:val="subscript"/>
        </w:rPr>
        <w:t>4</w:t>
      </w:r>
      <w:r>
        <w:t>通量、盐度和植物。我们发现植物种类是 CH 最重要的预测因子</w:t>
      </w:r>
      <w:r>
        <w:rPr>
          <w:vertAlign w:val="subscript"/>
        </w:rPr>
        <w:t>4</w:t>
      </w:r>
      <w:r>
        <w:t>全球通量。我们的植物物种模型单独解释了 CH 的 62% 变异</w:t>
      </w:r>
      <w:r>
        <w:rPr>
          <w:vertAlign w:val="subscript"/>
        </w:rPr>
        <w:t>4</w:t>
      </w:r>
      <w:r>
        <w:t>通量以及当包括纬度、季节和土壤盐分时，解释了 71%。我们还开发了一个植物功能类型模型，用于当植物物种通量数据不可用时。我们发现植物功能类型单独解释了 CH 变异的 54%</w:t>
      </w:r>
    </w:p>
    <w:p>
      <w:pPr>
        <w:spacing w:before="0" w:after="200" w:lineRule="auto" w:line="276"/>
      </w:pPr>
      <w:r>
        <w:rPr>
          <w:b/>
        </w:rPr>
        <w:t xml:space="preserve">Abstract (EN): </w:t>
      </w:r>
      <w:r>
        <w:t>Methane (CH</w:t>
      </w:r>
      <w:r>
        <w:rPr>
          <w:vertAlign w:val="subscript"/>
        </w:rPr>
        <w:t>4</w:t>
      </w:r>
      <w:r>
        <w:t>) emissions can reduce the climate benefits of tidal marshes. Yet the drivers of tidal marsh CH</w:t>
      </w:r>
      <w:r>
        <w:rPr>
          <w:vertAlign w:val="subscript"/>
        </w:rPr>
        <w:t>4</w:t>
      </w:r>
      <w:r>
        <w:t>emissions remain poorly quantified, and salinity, the most well-established proxy for tidal marsh CH</w:t>
      </w:r>
      <w:r>
        <w:rPr>
          <w:vertAlign w:val="subscript"/>
        </w:rPr>
        <w:t>4</w:t>
      </w:r>
      <w:r>
        <w:t>fluxes, has low predictive performance. Here, we demonstrate that plant species out performs salinity as a single predictor of global tidal marsh CH</w:t>
      </w:r>
      <w:r>
        <w:rPr>
          <w:vertAlign w:val="subscript"/>
        </w:rPr>
        <w:t>4</w:t>
      </w:r>
      <w:r>
        <w:t>fluxes, providing a powerful and simple predictor on its own. A multiproxy approach combining plant species with other predictors (i.e., latitude, salinity, season) further improves predictions of global CH</w:t>
      </w:r>
      <w:r>
        <w:rPr>
          <w:vertAlign w:val="subscript"/>
        </w:rPr>
        <w:t>4</w:t>
      </w:r>
      <w:r>
        <w:t>fluxes. For our analysis, we compiled 87 studies with 2,094 mean measurements of CH</w:t>
      </w:r>
      <w:r>
        <w:rPr>
          <w:vertAlign w:val="subscript"/>
        </w:rPr>
        <w:t>4</w:t>
      </w:r>
      <w:r>
        <w:t>fluxes and used random forest and generalized additive modeling to investigate the relationship among CH</w:t>
      </w:r>
      <w:r>
        <w:rPr>
          <w:vertAlign w:val="subscript"/>
        </w:rPr>
        <w:t>4</w:t>
      </w:r>
      <w:r>
        <w:t>fluxes, salinity, and plants. We found that plant species was the most important predictor of CH</w:t>
      </w:r>
      <w:r>
        <w:rPr>
          <w:vertAlign w:val="subscript"/>
        </w:rPr>
        <w:t>4</w:t>
      </w:r>
      <w:r>
        <w:t>fluxes globally. Our model of plant species alone explained 62% of the variability in CH</w:t>
      </w:r>
      <w:r>
        <w:rPr>
          <w:vertAlign w:val="subscript"/>
        </w:rPr>
        <w:t>4</w:t>
      </w:r>
      <w:r>
        <w:t>fluxes and when including latitude, season, and soil salinity, explained 71%. We also developed a model with plant functional type for when plant species flux data are not available. We found that plant functional type alone explained 54% of the variability in CH</w:t>
      </w:r>
      <w:r>
        <w:rPr>
          <w:vertAlign w:val="subscript"/>
        </w:rPr>
        <w:t>4</w:t>
      </w:r>
      <w:r>
        <w:t>fluxes, underscoring the influential role of plants. Previously, polyhaline marshes were thought to have low CH</w:t>
      </w:r>
      <w:r>
        <w:rPr>
          <w:vertAlign w:val="subscript"/>
        </w:rPr>
        <w:t>4</w:t>
      </w:r>
      <w:r>
        <w:t>emissions. Here we show that CH</w:t>
      </w:r>
      <w:r>
        <w:rPr>
          <w:vertAlign w:val="subscript"/>
        </w:rPr>
        <w:t>4</w:t>
      </w:r>
      <w:r>
        <w:t>fluxes from these marshes offset between 1% and 39% of carbon sequestration, depending on the plant species present and selected global warming potential value. This plant species-based approach significantly improves global CH</w:t>
      </w:r>
      <w:r>
        <w:rPr>
          <w:vertAlign w:val="subscript"/>
        </w:rPr>
        <w:t>4</w:t>
      </w:r>
      <w:r>
        <w:t>flux estimates in tidal marshes and facilitates global carbon accounting.</w:t>
      </w:r>
    </w:p>
    <w:p>
      <w:pPr>
        <w:spacing w:before="120" w:after="120"/>
      </w:pPr>
      <w:r>
        <w:rPr>
          <w:sz w:val="18"/>
        </w:rPr>
        <w:t>——————————————————————————————————————————————————————————————————————</w:t>
      </w:r>
    </w:p>
    <w:p>
      <w:pPr>
        <w:spacing w:before="160" w:after="40" w:line="240" w:lineRule="auto"/>
      </w:pPr>
      <w:r>
        <w:rPr>
          <w:b/>
        </w:rPr>
        <w:t xml:space="preserve">[475] </w:t>
      </w:r>
      <w:hyperlink r:id="rId1220">
        <w:r>
          <w:rPr>
            <w:color w:val="1155CC"/>
            <w:u w:val="single"/>
          </w:rPr>
          <w:t>内体 TPC1 介导的 Ca2+ 纳米结构域调节转铁蛋白受体运输和铁稳态</w:t>
        </w:r>
      </w:hyperlink>
    </w:p>
    <w:p>
      <w:pPr>
        <w:spacing w:before="0" w:after="80"/>
      </w:pPr>
      <w:r>
        <w:rPr>
          <w:i/>
          <w:sz w:val="20"/>
        </w:rPr>
        <w:t>EN: Endosomal TPC1–mediated Ca2+ nanodomains regulate transferrin receptor trafficking and iron homeostasis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21">
        <w:r>
          <w:rPr>
            <w:color w:val="1155CC"/>
            <w:u w:val="single"/>
          </w:rPr>
          <w:t>10.1073/pnas.2530835123</w:t>
        </w:r>
      </w:hyperlink>
    </w:p>
    <w:p>
      <w:pPr>
        <w:spacing w:before="0" w:after="120"/>
      </w:pPr>
      <w:r>
        <w:rPr>
          <w:b/>
        </w:rPr>
        <w:t xml:space="preserve">Notes: </w:t>
      </w:r>
      <w:r>
        <w:t>abstract_source=crossref</w:t>
      </w:r>
    </w:p>
    <w:p>
      <w:pPr>
        <w:spacing w:before="0" w:after="80" w:lineRule="auto" w:line="276"/>
      </w:pPr>
      <w:r>
        <w:rPr>
          <w:b/>
        </w:rPr>
        <w:t xml:space="preserve">摘要（ZH）: </w:t>
      </w:r>
      <w:r>
        <w:t>双孔通道 1 (TPC1) 是一种内体 Na</w:t>
      </w:r>
      <w:r>
        <w:t xml:space="preserve"> </w:t>
      </w:r>
      <w:r>
        <w:t>+</w:t>
      </w:r>
      <w:r>
        <w:t xml:space="preserve"> </w:t>
      </w:r>
      <w:r>
        <w:t>/钙</w:t>
      </w:r>
      <w:r>
        <w:t xml:space="preserve"> </w:t>
      </w:r>
      <w:r>
        <w:t>2+</w:t>
      </w:r>
      <w:r>
        <w:t xml:space="preserve"> </w:t>
      </w:r>
      <w:r>
        <w:t>-选择性通道涉及膜运输、内体管状和兴奋性，但 TPC1 如何调节膜运输尚不清楚。使用 TPC1 缺失的人类细胞，我们证明 TPC1 通过 Ca 驱动转铁蛋白受体 (TfR) 运输和回收</w:t>
      </w:r>
      <w:r>
        <w:t xml:space="preserve"> </w:t>
      </w:r>
      <w:r>
        <w:t>2+</w:t>
      </w:r>
      <w:r>
        <w:t xml:space="preserve"> </w:t>
      </w:r>
      <w:r>
        <w:t>，而不是Na</w:t>
      </w:r>
      <w:r>
        <w:t xml:space="preserve"> </w:t>
      </w:r>
      <w:r>
        <w:t>+</w:t>
      </w:r>
      <w:r>
        <w:t xml:space="preserve"> </w:t>
      </w:r>
      <w:r>
        <w:t>通量或内体 pH 值变化，因为通道靶向 Ca</w:t>
      </w:r>
      <w:r>
        <w:t xml:space="preserve"> </w:t>
      </w:r>
      <w:r>
        <w:t>2+</w:t>
      </w:r>
      <w:r>
        <w:t xml:space="preserve"> </w:t>
      </w:r>
      <w:r>
        <w:t>-缓冲液抑制贩运，而Na</w:t>
      </w:r>
      <w:r>
        <w:t xml:space="preserve"> </w:t>
      </w:r>
      <w:r>
        <w:t>+</w:t>
      </w:r>
      <w:r>
        <w:t xml:space="preserve"> </w:t>
      </w:r>
      <w:r>
        <w:t>- 缺钙</w:t>
      </w:r>
      <w:r>
        <w:t xml:space="preserve"> </w:t>
      </w:r>
      <w:r>
        <w:t>2+</w:t>
      </w:r>
      <w:r>
        <w:t xml:space="preserve"> </w:t>
      </w:r>
      <w:r>
        <w:t>-可渗透的TPC1突变体完全支持贩运。 TPC1 与其他 Ca 相比是独一无二的</w:t>
      </w:r>
      <w:r>
        <w:t xml:space="preserve"> </w:t>
      </w:r>
      <w:r>
        <w:t>2+</w:t>
      </w:r>
      <w:r>
        <w:t xml:space="preserve"> </w:t>
      </w:r>
      <w:r>
        <w:t>消息来源不支持 TfR 贩运。 TPC1 活性取决于脂质 PI(3,5)P</w:t>
      </w:r>
      <w:r>
        <w:rPr>
          <w:vertAlign w:val="subscript"/>
        </w:rPr>
        <w:t>2</w:t>
      </w:r>
      <w:r>
        <w:t>，因为运输受到脂质不敏感的 TPC1 或脂质合成抑制剂的损害。最后，TfR 运输减少的必然结果是 TPC1 缺陷的 HeLa 细胞和小鼠出现缺铁和储存表型。我们的研究结果强调内体是独特的 Ca</w:t>
      </w:r>
      <w:r>
        <w:t xml:space="preserve"> </w:t>
      </w:r>
      <w:r>
        <w:t>2+</w:t>
      </w:r>
      <w:r>
        <w:t xml:space="preserve"> </w:t>
      </w:r>
      <w:r>
        <w:t>由磷酸肌醇诱导的 TPC1 通道动员的储存，产生局部 Ca</w:t>
      </w:r>
      <w:r>
        <w:t xml:space="preserve"> </w:t>
      </w:r>
      <w:r>
        <w:t>2+</w:t>
      </w:r>
      <w:r>
        <w:t xml:space="preserve"> </w:t>
      </w:r>
      <w:r>
        <w:t>纳米结构域对于维持 TfR 运输和随后的铁稳态至关重要。</w:t>
      </w:r>
    </w:p>
    <w:p>
      <w:pPr>
        <w:spacing w:before="0" w:after="200" w:lineRule="auto" w:line="276"/>
      </w:pPr>
      <w:r>
        <w:rPr>
          <w:b/>
        </w:rPr>
        <w:t xml:space="preserve">Abstract (EN): </w:t>
      </w:r>
      <w:r>
        <w:t>Two-pore channel 1 (TPC1) is an endosomal Na</w:t>
      </w:r>
      <w:r>
        <w:t xml:space="preserve"> </w:t>
      </w:r>
      <w:r>
        <w:t>+</w:t>
      </w:r>
      <w:r>
        <w:t xml:space="preserve"> </w:t>
      </w:r>
      <w:r>
        <w:t>/Ca</w:t>
      </w:r>
      <w:r>
        <w:t xml:space="preserve"> </w:t>
      </w:r>
      <w:r>
        <w:t>2+</w:t>
      </w:r>
      <w:r>
        <w:t xml:space="preserve"> </w:t>
      </w:r>
      <w:r>
        <w:t>-selective channel implicated in membrane trafficking, endosome tubulation, and excitability, but how TPC1 regulates membrane trafficking is unknown. Using TPC1-null human cells, we demonstrate that TPC1 drives transferrin receptor (TfR) trafficking and recycling via Ca</w:t>
      </w:r>
      <w:r>
        <w:t xml:space="preserve"> </w:t>
      </w:r>
      <w:r>
        <w:t>2+</w:t>
      </w:r>
      <w:r>
        <w:t xml:space="preserve"> </w:t>
      </w:r>
      <w:r>
        <w:t>, and not Na</w:t>
      </w:r>
      <w:r>
        <w:t xml:space="preserve"> </w:t>
      </w:r>
      <w:r>
        <w:t>+</w:t>
      </w:r>
      <w:r>
        <w:t xml:space="preserve"> </w:t>
      </w:r>
      <w:r>
        <w:t>fluxes or endosomal pH changes, since channel-targeted Ca</w:t>
      </w:r>
      <w:r>
        <w:t xml:space="preserve"> </w:t>
      </w:r>
      <w:r>
        <w:t>2+</w:t>
      </w:r>
      <w:r>
        <w:t xml:space="preserve"> </w:t>
      </w:r>
      <w:r>
        <w:t>-buffers inhibited trafficking, whereas a Na</w:t>
      </w:r>
      <w:r>
        <w:t xml:space="preserve"> </w:t>
      </w:r>
      <w:r>
        <w:t>+</w:t>
      </w:r>
      <w:r>
        <w:t xml:space="preserve"> </w:t>
      </w:r>
      <w:r>
        <w:t>-deficient Ca</w:t>
      </w:r>
      <w:r>
        <w:t xml:space="preserve"> </w:t>
      </w:r>
      <w:r>
        <w:t>2+</w:t>
      </w:r>
      <w:r>
        <w:t xml:space="preserve"> </w:t>
      </w:r>
      <w:r>
        <w:t>-permeable TPC1 mutant fully supported trafficking. TPC1 was unique since other Ca</w:t>
      </w:r>
      <w:r>
        <w:t xml:space="preserve"> </w:t>
      </w:r>
      <w:r>
        <w:t>2+</w:t>
      </w:r>
      <w:r>
        <w:t xml:space="preserve"> </w:t>
      </w:r>
      <w:r>
        <w:t>sources did not support TfR trafficking. TPC1 activity depended on the lipid PI(3,5)P</w:t>
      </w:r>
      <w:r>
        <w:rPr>
          <w:vertAlign w:val="subscript"/>
        </w:rPr>
        <w:t>2</w:t>
      </w:r>
      <w:r>
        <w:t>, since trafficking was impaired by a lipid-insensitive TPC1 or inhibitors of lipid synthesis. Finally, a corollary of this reduced TfR trafficking is an iron-deficiency and storage phenotype in TPC1-deficient HeLa cells and mice. Our findings highlight endosomes as unique Ca</w:t>
      </w:r>
      <w:r>
        <w:t xml:space="preserve"> </w:t>
      </w:r>
      <w:r>
        <w:t>2+</w:t>
      </w:r>
      <w:r>
        <w:t xml:space="preserve"> </w:t>
      </w:r>
      <w:r>
        <w:t>stores mobilized by a phosphoinositide-induced TPC1 channel that generates local Ca</w:t>
      </w:r>
      <w:r>
        <w:t xml:space="preserve"> </w:t>
      </w:r>
      <w:r>
        <w:t>2+</w:t>
      </w:r>
      <w:r>
        <w:t xml:space="preserve"> </w:t>
      </w:r>
      <w:r>
        <w:t>nanodomains crucial for maintaining TfR trafficking and consequent iron homeostasis.</w:t>
      </w:r>
    </w:p>
    <w:p>
      <w:pPr>
        <w:spacing w:before="120" w:after="120"/>
      </w:pPr>
      <w:r>
        <w:rPr>
          <w:sz w:val="18"/>
        </w:rPr>
        <w:t>——————————————————————————————————————————————————————————————————————</w:t>
      </w:r>
    </w:p>
    <w:p>
      <w:pPr>
        <w:spacing w:before="160" w:after="40" w:line="240" w:lineRule="auto"/>
      </w:pPr>
      <w:r>
        <w:rPr>
          <w:b/>
        </w:rPr>
        <w:t xml:space="preserve">[476] </w:t>
      </w:r>
      <w:hyperlink r:id="rId1222">
        <w:r>
          <w:rPr>
            <w:color w:val="1155CC"/>
            <w:u w:val="single"/>
          </w:rPr>
          <w:t>YBa2Cu3O6+x 中的参数放大约瑟夫森等离子体波：高达赝能隙温度 T* 的局部超导涨落的证据</w:t>
        </w:r>
      </w:hyperlink>
    </w:p>
    <w:p>
      <w:pPr>
        <w:spacing w:before="0" w:after="80"/>
      </w:pPr>
      <w:r>
        <w:rPr>
          <w:i/>
          <w:sz w:val="20"/>
        </w:rPr>
        <w:t>EN: Parametrically amplified Josephson plasma waves in YBa2Cu3O6+x: Evidence for local superconducting fluctuations up to the pseudogap temperature T∗</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23">
        <w:r>
          <w:rPr>
            <w:color w:val="1155CC"/>
            <w:u w:val="single"/>
          </w:rPr>
          <w:t>10.1073/pnas.2606129123</w:t>
        </w:r>
      </w:hyperlink>
    </w:p>
    <w:p>
      <w:pPr>
        <w:spacing w:before="0" w:after="120"/>
      </w:pPr>
      <w:r>
        <w:rPr>
          <w:b/>
        </w:rPr>
        <w:t xml:space="preserve">Notes: </w:t>
      </w:r>
      <w:r>
        <w:t>abstract_source=crossref</w:t>
      </w:r>
    </w:p>
    <w:p>
      <w:pPr>
        <w:spacing w:before="0" w:after="80" w:lineRule="auto" w:line="276"/>
      </w:pPr>
      <w:r>
        <w:rPr>
          <w:b/>
        </w:rPr>
        <w:t xml:space="preserve">摘要（ZH）: </w:t>
      </w:r>
      <w:r>
        <w:t>未掺杂 YBa 的实验</w:t>
      </w:r>
      <w:r>
        <w:rPr>
          <w:vertAlign w:val="subscript"/>
        </w:rPr>
        <w:t>2</w:t>
      </w:r>
      <w:r>
        <w:t>铜</w:t>
      </w:r>
      <w:r>
        <w:rPr>
          <w:vertAlign w:val="subscript"/>
        </w:rPr>
        <w:t>3</w:t>
      </w:r>
      <w:r>
        <w:t>氧</w:t>
      </w:r>
      <w:r>
        <w:t xml:space="preserve"> </w:t>
      </w:r>
      <w:r>
        <w:t>6+</w:t>
      </w:r>
      <w:r>
        <w:t xml:space="preserve"> </w:t>
      </w:r>
      <w:r>
        <w:t>x</w:t>
      </w:r>
      <w:r>
        <w:t xml:space="preserve"> </w:t>
      </w:r>
      <w:r>
        <w:t>(YBCO) 到转变温度之间的强烈太赫兹脉冲</w:t>
      </w:r>
      <w:r>
        <w:t xml:space="preserve"> </w:t>
      </w:r>
      <w:r>
        <w:t>时间</w:t>
      </w:r>
      <w:r>
        <w:t xml:space="preserve"> </w:t>
      </w:r>
      <w:r>
        <w:t>c</w:t>
      </w:r>
      <w:r>
        <w:t xml:space="preserve"> </w:t>
      </w:r>
      <w:r>
        <w:t>和赝能隙尺度</w:t>
      </w:r>
      <w:r>
        <w:t xml:space="preserve"> </w:t>
      </w:r>
      <w:r>
        <w:t>时间</w:t>
      </w:r>
      <w:r>
        <w:t xml:space="preserve"> </w:t>
      </w:r>
      <w:r>
        <w:t>*</w:t>
      </w:r>
      <w:r>
        <w:t xml:space="preserve"> </w:t>
      </w:r>
      <w:r>
        <w:t>揭示了类似于超导状态的反射率边缘，以及以相似频率调制的探测脉冲的二次谐波生成。这些已被解释为下约瑟夫森等离子体模式的参数放大。由于这种模式通常与 YBCO 结构中双层之间的相干振荡相关，因此这些实验表明强泵浦已经创建（或揭示）面内对相干性高达</w:t>
      </w:r>
      <w:r>
        <w:t xml:space="preserve"> </w:t>
      </w:r>
      <w:r>
        <w:t>时间</w:t>
      </w:r>
      <w:r>
        <w:t xml:space="preserve"> </w:t>
      </w:r>
      <w:r>
        <w:t>*</w:t>
      </w:r>
      <w:r>
        <w:t xml:space="preserve"> </w:t>
      </w:r>
      <w:r>
        <w:t>≈</w:t>
      </w:r>
      <w:r>
        <w:rPr>
          <w:vertAlign w:val="subscript"/>
        </w:rPr>
        <w:t>400</w:t>
      </w:r>
      <w:r>
        <w:t xml:space="preserve"> </w:t>
      </w:r>
      <w:r>
        <w:t>K. 在本文中，我们通过假设本地 pa 的存在提出了另一种解释</w:t>
      </w:r>
    </w:p>
    <w:p>
      <w:pPr>
        <w:spacing w:before="0" w:after="200" w:lineRule="auto" w:line="276"/>
      </w:pPr>
      <w:r>
        <w:rPr>
          <w:b/>
        </w:rPr>
        <w:t xml:space="preserve">Abstract (EN): </w:t>
      </w:r>
      <w:r>
        <w:t>Experiments that subject underdoped YBa</w:t>
      </w:r>
      <w:r>
        <w:rPr>
          <w:vertAlign w:val="subscript"/>
        </w:rPr>
        <w:t>2</w:t>
      </w:r>
      <w:r>
        <w:t>Cu</w:t>
      </w:r>
      <w:r>
        <w:rPr>
          <w:vertAlign w:val="subscript"/>
        </w:rPr>
        <w:t>3</w:t>
      </w:r>
      <w:r>
        <w:t>O</w:t>
      </w:r>
      <w:r>
        <w:t xml:space="preserve"> </w:t>
      </w:r>
      <w:r>
        <w:t>6+</w:t>
      </w:r>
      <w:r>
        <w:t xml:space="preserve"> </w:t>
      </w:r>
      <w:r>
        <w:t>x</w:t>
      </w:r>
      <w:r>
        <w:t xml:space="preserve"> </w:t>
      </w:r>
      <w:r>
        <w:t>(YBCO) to intense terahertz pulses at temperatures between the transition temperature</w:t>
      </w:r>
      <w:r>
        <w:t xml:space="preserve"> </w:t>
      </w:r>
      <w:r>
        <w:t>T</w:t>
      </w:r>
      <w:r>
        <w:t xml:space="preserve"> </w:t>
      </w:r>
      <w:r>
        <w:t>c</w:t>
      </w:r>
      <w:r>
        <w:t xml:space="preserve"> </w:t>
      </w:r>
      <w:r>
        <w:t>and the pseudogap scale</w:t>
      </w:r>
      <w:r>
        <w:t xml:space="preserve"> </w:t>
      </w:r>
      <w:r>
        <w:t>T</w:t>
      </w:r>
      <w:r>
        <w:t xml:space="preserve"> </w:t>
      </w:r>
      <w:r>
        <w:t>∗</w:t>
      </w:r>
      <w:r>
        <w:t xml:space="preserve"> </w:t>
      </w:r>
      <w:r>
        <w:t>have revealed a reflectivity edge that resembles that of the superconducting state, together with second harmonic generation of a probe pulse modulated at a similar frequency. These have been interpreted in terms of parametric amplification of the lower Josephson plasmon mode. Since this mode is often associated with coherent oscillations between bilayers in the YBCO structure, these experiments have led to the suggestion that the intense pump has created (or revealed) in-plane pair coherence up to</w:t>
      </w:r>
      <w:r>
        <w:t xml:space="preserve"> </w:t>
      </w:r>
      <w:r>
        <w:t>T</w:t>
      </w:r>
      <w:r>
        <w:t xml:space="preserve"> </w:t>
      </w:r>
      <w:r>
        <w:t>∗</w:t>
      </w:r>
      <w:r>
        <w:t xml:space="preserve"> </w:t>
      </w:r>
      <w:r>
        <w:t>≈</w:t>
      </w:r>
      <w:r>
        <w:rPr>
          <w:vertAlign w:val="subscript"/>
        </w:rPr>
        <w:t>400</w:t>
      </w:r>
      <w:r>
        <w:t xml:space="preserve"> </w:t>
      </w:r>
      <w:r>
        <w:t>K. In this paper we propose an alternative explanation by assuming the existence of local pair amplitude and phase at equilibrium for</w:t>
      </w:r>
      <w:r>
        <w:t xml:space="preserve"> </w:t>
      </w:r>
      <w:r>
        <w:t>T</w:t>
      </w:r>
      <w:r>
        <w:t xml:space="preserve"> </w:t>
      </w:r>
      <w:r>
        <w:t>c</w:t>
      </w:r>
      <w:r>
        <w:t xml:space="preserve"> </w:t>
      </w:r>
      <w:r>
        <w:t>&amp;lt;</w:t>
      </w:r>
      <w:r>
        <w:t xml:space="preserve"> </w:t>
      </w:r>
      <w:r>
        <w:t>T</w:t>
      </w:r>
      <w:r>
        <w:t xml:space="preserve"> </w:t>
      </w:r>
      <w:r>
        <w:t>&amp;lt;</w:t>
      </w:r>
      <w:r>
        <w:t xml:space="preserve"> </w:t>
      </w:r>
      <w:r>
        <w:t>T</w:t>
      </w:r>
      <w:r>
        <w:t xml:space="preserve"> </w:t>
      </w:r>
      <w:r>
        <w:t>∗</w:t>
      </w:r>
      <w:r>
        <w:t xml:space="preserve"> </w:t>
      </w:r>
      <w:r>
        <w:t>. The phase correlation spans only a few lattice constants and we do not assume any pump-induced enhancement of this correlation, either in-plane or between bilayers. Instead, the coherent drive, via a parametric amplification process, induces coherence in the Josephson currents between members of bilayers. When combined with a Floquet framework, the reflectivity data can be explained. The key point is that in the lower Josephson plasmon, the coupling between bilayers is mainly capacitive; the Josephson current between bilayers can be set to zero without strongly affecting the parametric amplification process. Importantly, while superconducting coherence may not be created by the pump, the pseudogap phase must possess a local pairing amplitude at equilibrium. Consequently, these experiments have strong implications for the understanding of the pseudogap phase.</w:t>
      </w:r>
    </w:p>
    <w:p>
      <w:pPr>
        <w:spacing w:before="120" w:after="120"/>
      </w:pPr>
      <w:r>
        <w:rPr>
          <w:sz w:val="18"/>
        </w:rPr>
        <w:t>——————————————————————————————————————————————————————————————————————</w:t>
      </w:r>
    </w:p>
    <w:p>
      <w:pPr>
        <w:spacing w:before="160" w:after="40" w:line="240" w:lineRule="auto"/>
      </w:pPr>
      <w:r>
        <w:rPr>
          <w:b/>
        </w:rPr>
        <w:t xml:space="preserve">[477] </w:t>
      </w:r>
      <w:hyperlink r:id="rId1224">
        <w:r>
          <w:rPr>
            <w:color w:val="1155CC"/>
            <w:u w:val="single"/>
          </w:rPr>
          <w:t>艺术愿景塑造并响应火星任务</w:t>
        </w:r>
      </w:hyperlink>
    </w:p>
    <w:p>
      <w:pPr>
        <w:spacing w:before="0" w:after="80"/>
      </w:pPr>
      <w:r>
        <w:rPr>
          <w:i/>
          <w:sz w:val="20"/>
        </w:rPr>
        <w:t>EN: Artistic visions shape and respond to Mars missions</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25">
        <w:r>
          <w:rPr>
            <w:color w:val="1155CC"/>
            <w:u w:val="single"/>
          </w:rPr>
          <w:t>10.1073/pnas.2622471123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[478] </w:t>
      </w:r>
      <w:hyperlink r:id="rId1226">
        <w:r>
          <w:rPr>
            <w:color w:val="1155CC"/>
            <w:u w:val="single"/>
          </w:rPr>
          <w:t>Homer 凝聚物协调 Crumbs 极性复合体下游的 YAP-Wnt 信号串扰</w:t>
        </w:r>
      </w:hyperlink>
    </w:p>
    <w:p>
      <w:pPr>
        <w:spacing w:before="0" w:after="80"/>
      </w:pPr>
      <w:r>
        <w:rPr>
          <w:i/>
          <w:sz w:val="20"/>
        </w:rPr>
        <w:t>EN: Homer condensates orchestrate YAP–Wnt signaling crosstalk downstream of the Crumbs polarity complex</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27">
        <w:r>
          <w:rPr>
            <w:color w:val="1155CC"/>
            <w:u w:val="single"/>
          </w:rPr>
          <w:t>10.1073/pnas.2523230123</w:t>
        </w:r>
      </w:hyperlink>
    </w:p>
    <w:p>
      <w:pPr>
        <w:spacing w:before="0" w:after="120"/>
      </w:pPr>
      <w:r>
        <w:rPr>
          <w:b/>
        </w:rPr>
        <w:t xml:space="preserve">Notes: </w:t>
      </w:r>
      <w:r>
        <w:t>abstract_source=crossref</w:t>
      </w:r>
    </w:p>
    <w:p>
      <w:pPr>
        <w:spacing w:before="0" w:after="80" w:lineRule="auto" w:line="276"/>
      </w:pPr>
      <w:r>
        <w:rPr>
          <w:b/>
        </w:rPr>
        <w:t xml:space="preserve">摘要（ZH）: </w:t>
      </w:r>
      <w:r>
        <w:t>Hippo 通路控制细胞生长、增殖和分化，并且在癌症中经常失调。 Yes 相关蛋白 (YAP) 是 Hippo 通路的中心转录共激活因子，与 β-catenin 相互作用以协调 YAP-Wnt 信号串扰。这两条途径均受到不同上游信号的调节，包括机械信号、细胞密度和细胞极性，但这些信号如何整合仍知之甚少。在这里，我们证明 Homer 支架蛋白协调 Crumbs 极性复合物下游的 YAP 和 Wnt 信号传导。 Homers 通过其 EVH1 结构域与 Crumbs 成分 PATJ 和 NDR 激酶支架 Furry-like (FRYL) 直接相互作用。 Homers 拮抗 FRYL 以促进 YAP 激活，同时与 FRYL 合作增强 Wnt/β-catenin 信号传导，揭示通路选择性调节。相比之下，PATJ 将 Homers 招募到皮质并抑制 YAP 活动。我们进一步表明，Homers 在非极化上皮细胞和结直肠癌细胞中形成生物分子凝聚物，其组装和信号传导特性受到 PATJ 和 FRYL 的差异调节。 FRYL 促进细胞质液滴的形成，而 PATJ 则驱动质膜处或附近相分离区室的组装。总的来说，我们的研究结果将荷马驱动的相分离确立为一种可调节的信号机制，可将极性线索转化为转录输出。</w:t>
      </w:r>
    </w:p>
    <w:p>
      <w:pPr>
        <w:spacing w:before="0" w:after="200" w:lineRule="auto" w:line="276"/>
      </w:pPr>
      <w:r>
        <w:rPr>
          <w:b/>
        </w:rPr>
        <w:t xml:space="preserve">Abstract (EN): </w:t>
      </w:r>
      <w:r>
        <w:t>The Hippo pathway governs cell growth, proliferation, and differentiation and is frequently deregulated in cancer. Yes-associated protein (YAP) is the central transcriptional coactivator of the Hippo pathway and interacts with β-catenin to coordinate YAP–Wnt signaling crosstalk. Both pathways are modulated by diverse upstream signals including mechanical cues, cell density, and cell polarity, yet how such signals are integrated remains poorly understood. Here, we demonstrate that Homer scaffolding proteins coordinate YAP and Wnt signaling downstream of the Crumbs polarity complex. Homers interact directly via their EVH1 domains with the Crumbs component PATJ and the NDR kinase scaffold Furry-like (FRYL). Homers antagonize FRYL to promote YAP activation while cooperating with FRYL to enhance Wnt/β-catenin signaling, revealing pathway-selective regulation. PATJ, in contrast, recruits Homers to the cortex and restrains YAP activity. We further show that Homers form biomolecular condensates in nonpolarized epithelial and colorectal cancer cells, whose assembly and signaling properties are differentially modulated by PATJ and FRYL. Whereas FRYL promotes the formation of cytoplasmic droplets, PATJ drives the assembly of phase-separated compartments at or near the plasma membrane. Collectively, our findings establish Homer-driven phase separation as a tunable signaling mechanism to translate polarity cues into transcriptional output.</w:t>
      </w:r>
    </w:p>
    <w:p>
      <w:pPr>
        <w:spacing w:before="120" w:after="120"/>
      </w:pPr>
      <w:r>
        <w:rPr>
          <w:sz w:val="18"/>
        </w:rPr>
        <w:t>——————————————————————————————————————————————————————————————————————</w:t>
      </w:r>
    </w:p>
    <w:p>
      <w:pPr>
        <w:spacing w:before="160" w:after="40" w:line="240" w:lineRule="auto"/>
      </w:pPr>
      <w:r>
        <w:rPr>
          <w:b/>
        </w:rPr>
        <w:t xml:space="preserve">[479] </w:t>
      </w:r>
      <w:hyperlink r:id="rId1228">
        <w:r>
          <w:rPr>
            <w:color w:val="1155CC"/>
            <w:u w:val="single"/>
          </w:rPr>
          <w:t>细胞内和细胞外抗生素降解对集体[数学]-内酰胺存活的贡献</w:t>
        </w:r>
      </w:hyperlink>
    </w:p>
    <w:p>
      <w:pPr>
        <w:spacing w:before="0" w:after="80"/>
      </w:pPr>
      <w:r>
        <w:rPr>
          <w:i/>
          <w:sz w:val="20"/>
        </w:rPr>
        <w:t>EN: Contributions of intra- and extracellular antibiotic degradation to collective [math]-lactam survival</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29">
        <w:r>
          <w:rPr>
            <w:color w:val="1155CC"/>
            <w:u w:val="single"/>
          </w:rPr>
          <w:t>10.1073/pnas.2526410123</w:t>
        </w:r>
      </w:hyperlink>
    </w:p>
    <w:p>
      <w:pPr>
        <w:spacing w:before="0" w:after="120"/>
      </w:pPr>
      <w:r>
        <w:rPr>
          <w:b/>
        </w:rPr>
        <w:t xml:space="preserve">Notes: </w:t>
      </w:r>
      <w:r>
        <w:t>abstract_source=crossref</w:t>
      </w:r>
    </w:p>
    <w:p>
      <w:pPr>
        <w:spacing w:before="0" w:after="80" w:lineRule="auto" w:line="276"/>
      </w:pPr>
      <w:r>
        <w:rPr>
          <w:b/>
        </w:rPr>
        <w:t xml:space="preserve">摘要（ZH）: </w:t>
      </w:r>
      <w:r>
        <w:t>当细菌群体在对单个细菌致命的抗生素治疗中存活下来时，就会出现集体抗生素耐药性，从而影响药物治疗的功效。集体抵制广泛使用的重要机制</w:t>
      </w:r>
      <w:r>
        <w:t xml:space="preserve"> </w:t>
      </w:r>
      <w:r>
        <w:t>β</w:t>
      </w:r>
      <w:r>
        <w:t xml:space="preserve"> </w:t>
      </w:r>
      <w:r>
        <w:t>-内酰胺是药物降解的产物</w:t>
      </w:r>
      <w:r>
        <w:t xml:space="preserve"> </w:t>
      </w:r>
      <w:r>
        <w:t>β</w:t>
      </w:r>
      <w:r>
        <w:t xml:space="preserve"> </w:t>
      </w:r>
      <w:r>
        <w:t>-内酰胺酶。在这里，我们将实验与数学模型结合起来，以了解集体生存</w:t>
      </w:r>
      <w:r>
        <w:t xml:space="preserve"> </w:t>
      </w:r>
      <w:r>
        <w:t>大肠杆菌</w:t>
      </w:r>
      <w:r>
        <w:t xml:space="preserve"> </w:t>
      </w:r>
      <w:r>
        <w:t>用头孢噻肟（CTX）进行挑战。在接近致死的 CTX 浓度下，我们观察到复杂的动态，包括由于丝状化而导致的初始生物量生长，随后死亡，以及随后的生长恢复。我们证明了 AmpC（一种染色体）的产生</w:t>
      </w:r>
      <w:r>
        <w:t xml:space="preserve"> </w:t>
      </w:r>
      <w:r>
        <w:t>β</w:t>
      </w:r>
      <w:r>
        <w:t xml:space="preserve"> </w:t>
      </w:r>
      <w:r>
        <w:t>-内酰胺酶负责 CTX 降解，使存活的细丝恢复细胞分裂。环境的解毒是通过完整细胞周质中的 AmpC 水解 CTX 以及细胞裂解后的细胞外进行的。我们的模型根据分子参数预测恢复时间，并量化两种菌株的周质和细胞外降解的相对作用</w:t>
      </w:r>
      <w:r>
        <w:t xml:space="preserve"> </w:t>
      </w:r>
      <w:r>
        <w:t>大肠杆菌</w:t>
      </w:r>
    </w:p>
    <w:p>
      <w:pPr>
        <w:spacing w:before="0" w:after="200" w:lineRule="auto" w:line="276"/>
      </w:pPr>
      <w:r>
        <w:rPr>
          <w:b/>
        </w:rPr>
        <w:t xml:space="preserve">Abstract (EN): </w:t>
      </w:r>
      <w:r>
        <w:t>Collective antibiotic resistance occurs when populations of bacteria survive antibiotic treatments that are lethal to individual bacteria, which affects the efficacy of drug therapies. An important mechanism of collective resistance against widely used</w:t>
      </w:r>
      <w:r>
        <w:t xml:space="preserve"> </w:t>
      </w:r>
      <w:r>
        <w:t>β</w:t>
      </w:r>
      <w:r>
        <w:t xml:space="preserve"> </w:t>
      </w:r>
      <w:r>
        <w:t>-lactams is the production of drug-degrading</w:t>
      </w:r>
      <w:r>
        <w:t xml:space="preserve"> </w:t>
      </w:r>
      <w:r>
        <w:t>β</w:t>
      </w:r>
      <w:r>
        <w:t xml:space="preserve"> </w:t>
      </w:r>
      <w:r>
        <w:t>-lactamases. Here, we integrate experiments with mathematical modeling to understand the collective survival of</w:t>
      </w:r>
      <w:r>
        <w:t xml:space="preserve"> </w:t>
      </w:r>
      <w:r>
        <w:t>Escherichia coli</w:t>
      </w:r>
      <w:r>
        <w:t xml:space="preserve"> </w:t>
      </w:r>
      <w:r>
        <w:t>challenged with cefotaxime (CTX). At near-lethal CTX concentrations, we observe complex dynamics, involving initial biomass growth due to filamentation, followed by death, and subsequently growth recovery. We show that production of AmpC, a chromosomal</w:t>
      </w:r>
      <w:r>
        <w:t xml:space="preserve"> </w:t>
      </w:r>
      <w:r>
        <w:t>β</w:t>
      </w:r>
      <w:r>
        <w:t xml:space="preserve"> </w:t>
      </w:r>
      <w:r>
        <w:t>-lactamase, is responsible for CTX degradation, allowing the resumption of cell division in surviving filaments. The detoxification of the environment proceeds through CTX hydrolysis by AmpC in the periplasm of intact cells, as well as extracellularly after cell lysis. Our model predicts the recovery time from molecular parameters, and quantifies the relative roles of periplasmic and extracellular degradation for two strains of</w:t>
      </w:r>
      <w:r>
        <w:t xml:space="preserve"> </w:t>
      </w:r>
      <w:r>
        <w:t>E. coli</w:t>
      </w:r>
      <w:r>
        <w:t xml:space="preserve"> </w:t>
      </w:r>
      <w:r>
        <w:t>that differ in the degree of privatization of AmpC hydrolysis. Our findings suggest that</w:t>
      </w:r>
      <w:r>
        <w:t xml:space="preserve"> </w:t>
      </w:r>
      <w:r>
        <w:t>β</w:t>
      </w:r>
      <w:r>
        <w:t xml:space="preserve"> </w:t>
      </w:r>
      <w:r>
        <w:t>-lactam survival of bacterial infections depends on a combination of intra- and extracellular</w:t>
      </w:r>
      <w:r>
        <w:t xml:space="preserve"> </w:t>
      </w:r>
      <w:r>
        <w:t>β</w:t>
      </w:r>
      <w:r>
        <w:t xml:space="preserve"> </w:t>
      </w:r>
      <w:r>
        <w:t>-lactamase activity, which will likely vary among isolates.</w:t>
      </w:r>
    </w:p>
    <w:p>
      <w:pPr>
        <w:spacing w:before="120" w:after="120"/>
      </w:pPr>
      <w:r>
        <w:rPr>
          <w:sz w:val="18"/>
        </w:rPr>
        <w:t>——————————————————————————————————————————————————————————————————————</w:t>
      </w:r>
    </w:p>
    <w:p>
      <w:pPr>
        <w:spacing w:before="160" w:after="40" w:line="240" w:lineRule="auto"/>
      </w:pPr>
      <w:r>
        <w:rPr>
          <w:b/>
        </w:rPr>
        <w:t xml:space="preserve">[480] </w:t>
      </w:r>
      <w:hyperlink r:id="rId1230">
        <w:r>
          <w:rPr>
            <w:color w:val="1155CC"/>
            <w:u w:val="single"/>
          </w:rPr>
          <w:t>果蝇中肿瘤源性细胞因子通过 Upd3/Spz5/Toll-6 轴远程控制苦味神经元，增强苦味感觉</w:t>
        </w:r>
      </w:hyperlink>
    </w:p>
    <w:p>
      <w:pPr>
        <w:spacing w:before="0" w:after="80"/>
      </w:pPr>
      <w:r>
        <w:rPr>
          <w:i/>
          <w:sz w:val="20"/>
        </w:rPr>
        <w:t>EN: Tumor-derived cytokine enhances bitter sensing through remote control of bitter taste neurons via the Upd3/Spz5/Toll-6 axis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2026-07-15 07:00:00+00:00</w:t>
      </w:r>
      <w:r>
        <w:t xml:space="preserve">    </w:t>
      </w:r>
      <w:r>
        <w:rPr>
          <w:b/>
        </w:rPr>
        <w:t xml:space="preserve">DOI: </w:t>
      </w:r>
      <w:hyperlink r:id="rId1231">
        <w:r>
          <w:rPr>
            <w:color w:val="1155CC"/>
            <w:u w:val="single"/>
          </w:rPr>
          <w:t>10.1073/pnas.2535541123</w:t>
        </w:r>
      </w:hyperlink>
    </w:p>
    <w:p>
      <w:pPr>
        <w:spacing w:before="0" w:after="120"/>
      </w:pPr>
      <w:r>
        <w:rPr>
          <w:b/>
        </w:rPr>
        <w:t xml:space="preserve">Notes: </w:t>
      </w:r>
      <w:r>
        <w:t>abstract_source=crossref</w:t>
      </w:r>
    </w:p>
    <w:p>
      <w:pPr>
        <w:spacing w:before="0" w:after="80" w:lineRule="auto" w:line="276"/>
      </w:pPr>
      <w:r>
        <w:rPr>
          <w:b/>
        </w:rPr>
        <w:t xml:space="preserve">摘要（ZH）: </w:t>
      </w:r>
      <w:r>
        <w:t>味觉至关重要，因为它控制着食欲和进食过程。然而，宿主体内的肿瘤是否以及如何与外周味觉通讯尚不清楚。使用成熟的 yki</w:t>
      </w:r>
      <w:r>
        <w:t xml:space="preserve"> </w:t>
      </w:r>
      <w:r>
        <w:t>S168A</w:t>
      </w:r>
      <w:r>
        <w:t xml:space="preserve"> </w:t>
      </w:r>
      <w:r>
        <w:t>肿瘤模型在</w:t>
      </w:r>
      <w:r>
        <w:t xml:space="preserve"> </w:t>
      </w:r>
      <w:r>
        <w:t>黑腹果蝇</w:t>
      </w:r>
      <w:r>
        <w:t xml:space="preserve"> </w:t>
      </w:r>
      <w:r>
        <w:t>研究人员发现，携带脑部或肠道肿瘤的果蝇表现出对咖啡因等苦味化合物的回避能力增强，但对蔗糖的回避能力没有增强，而且回避程度与肿瘤表型的严重程度相关。通过RNAi筛选恶性肿瘤分泌的上调细胞因子，我们确定Upd3是该过程中的关键因素。肿瘤来源的 Upd3 促进 Spz5（一种果蝇神经营养蛋白）表达的系统性增加，进而激活外周苦味感受神经元中的 Toll-6 受体，导致苦味感受受体 Gr66a 的上调。体内钙</w:t>
      </w:r>
      <w:r>
        <w:t xml:space="preserve"> </w:t>
      </w:r>
      <w:r>
        <w:t>2+</w:t>
      </w:r>
      <w:r>
        <w:t xml:space="preserve"> </w:t>
      </w:r>
      <w:r>
        <w:t>成像显示 Gr66a 对咖啡因的反应增强</w:t>
      </w:r>
      <w:r>
        <w:t xml:space="preserve"> </w:t>
      </w:r>
      <w:r>
        <w:t>+</w:t>
      </w:r>
      <w:r>
        <w:t xml:space="preserve"> </w:t>
      </w:r>
      <w:r>
        <w:t>荷瘤果蝇的神经元。有趣的是，在小鼠肿瘤模型中也观察到了类似的现象，其中肿瘤也会引起对促苦味剂的行为过敏。我们的研究结果揭示了肿瘤如何影响动物的进食行为及其潜在机制。我们的研究结果还表明，这种肿瘤引起的行为改变可能在不同物种之间是保守的。</w:t>
      </w:r>
    </w:p>
    <w:p>
      <w:pPr>
        <w:spacing w:before="0" w:after="200" w:lineRule="auto" w:line="276"/>
      </w:pPr>
      <w:r>
        <w:rPr>
          <w:b/>
        </w:rPr>
        <w:t xml:space="preserve">Abstract (EN): </w:t>
      </w:r>
      <w:r>
        <w:t>The sense of taste is essential as it governs appetite and the feeding process. However, it is largely unknown whether and how tumors in a host communicate with peripheral taste sensing. Using the well-established yki</w:t>
      </w:r>
      <w:r>
        <w:t xml:space="preserve"> </w:t>
      </w:r>
      <w:r>
        <w:t>S168A</w:t>
      </w:r>
      <w:r>
        <w:t xml:space="preserve"> </w:t>
      </w:r>
      <w:r>
        <w:t>tumor models in</w:t>
      </w:r>
      <w:r>
        <w:t xml:space="preserve"> </w:t>
      </w:r>
      <w:r>
        <w:t>Drosophila melanogaster</w:t>
      </w:r>
      <w:r>
        <w:t xml:space="preserve"> </w:t>
      </w:r>
      <w:r>
        <w:t>, we found that flies carrying brain or gut tumors exhibit enhanced avoidance of bitter compounds such as caffeine but showed no avoidance of sucrose, and the degree of the avoidance was correlated with severity of the tumor phenotype. Through RNAi screening of upregulated cytokines secreted by malignant tumors, we identified Upd3 as a key factor in this process. Tumor-derived Upd3 promotes systematic increase of Spz5 expression, a fly neurotrophin, which in turn activates the Toll-6 receptor in peripheral bitter sensing neurons, leading to upregulation of the bitter-sensing receptor Gr66a. In vivo Ca</w:t>
      </w:r>
      <w:r>
        <w:t xml:space="preserve"> </w:t>
      </w:r>
      <w:r>
        <w:t>2+</w:t>
      </w:r>
      <w:r>
        <w:t xml:space="preserve"> </w:t>
      </w:r>
      <w:r>
        <w:t>imaging demonstrated heightened responses to caffeine by Gr66a</w:t>
      </w:r>
      <w:r>
        <w:t xml:space="preserve"> </w:t>
      </w:r>
      <w:r>
        <w:t>+</w:t>
      </w:r>
      <w:r>
        <w:t xml:space="preserve"> </w:t>
      </w:r>
      <w:r>
        <w:t>neurons in tumor-bearing flies. Interestingly, a similar phenomenon was observed in murine tumor models, where tumors also caused behavioral hypersensitivity to bitter tastants. Our findings reveal how tumors affect animals’ feeding behavior as well as the underlying mechanism. Our findings also suggest that such tumor-induced behavioral alterations are likely conserved across species.</w:t>
      </w:r>
    </w:p>
    <w:p>
      <w:pPr>
        <w:spacing w:before="120" w:after="120"/>
      </w:pPr>
      <w:r>
        <w:rPr>
          <w:sz w:val="18"/>
        </w:rPr>
        <w:t>——————————————————————————————————————————————————————————————————————</w:t>
      </w:r>
    </w:p>
    <w:p>
      <w:pPr>
        <w:spacing w:before="160" w:after="40" w:line="240" w:lineRule="auto"/>
      </w:pPr>
      <w:r>
        <w:rPr>
          <w:b/>
        </w:rPr>
        <w:t xml:space="preserve">[481] </w:t>
      </w:r>
      <w:hyperlink r:id="rId1232">
        <w:r>
          <w:rPr>
            <w:color w:val="1155CC"/>
            <w:u w:val="single"/>
          </w:rPr>
          <w:t>通过用于多模态成像和光热治疗的 FAP 靶向纳米探针重新编程三阴性乳腺癌的免疫抑制微环境</w:t>
        </w:r>
      </w:hyperlink>
    </w:p>
    <w:p>
      <w:pPr>
        <w:spacing w:before="0" w:after="80"/>
      </w:pPr>
      <w:r>
        <w:rPr>
          <w:i/>
          <w:sz w:val="20"/>
        </w:rPr>
        <w:t>EN: Reprogramming the Immunosuppressive Microenvironment in Triple‐Negative Breast Cancer via FAP‐Targeted Nanoprobes for Multimodal Imaging and Photothermal Therapy</w:t>
      </w:r>
    </w:p>
    <w:p>
      <w:pPr>
        <w:spacing w:before="0" w:after="120"/>
      </w:pPr>
      <w:r>
        <w:rPr>
          <w:b/>
        </w:rPr>
        <w:t xml:space="preserve">Source: </w:t>
      </w:r>
      <w:r>
        <w:t>Wiley: Advanced Materials: Table of Contents</w:t>
      </w:r>
      <w:r>
        <w:t xml:space="preserve">    </w:t>
      </w:r>
      <w:r>
        <w:rPr>
          <w:b/>
        </w:rPr>
        <w:t xml:space="preserve">Pub date: </w:t>
      </w:r>
      <w:r>
        <w:t>2026-07-15 07:03:53+00:00</w:t>
      </w:r>
      <w:r>
        <w:t xml:space="preserve">    </w:t>
      </w:r>
      <w:r>
        <w:rPr>
          <w:b/>
        </w:rPr>
        <w:t xml:space="preserve">DOI: </w:t>
      </w:r>
      <w:hyperlink r:id="rId1233">
        <w:r>
          <w:rPr>
            <w:color w:val="1155CC"/>
            <w:u w:val="single"/>
          </w:rPr>
          <w:t>10.1002/adma.74089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阴性乳腺癌（TNBC）因其侵袭行为、转移可能性高以及缺乏特定的治疗靶点而构成重大临床挑战。免疫抑制肿瘤微环境在很大程度上受到癌症相关成纤维细胞（CAF）通过成纤维细胞激活蛋白（FAP）介导的细胞外基质（ECM）重塑和细胞因子分泌的影响，导致TNBC对免疫治疗产生抵抗。为了应对这一挑战，我们开发了 FAP 靶向纳米探针 (FAP-IR1061)，它结合了第二近红外 (NIR-II) 荧光/磁共振 (MR)/光声 (PA) 成像功能以及高效的 NIR-II 光热转换，用于精密治疗诊断。该平台促进了三方治疗方法：（1）选择性消融CAF并拆除ECM以克服物理障碍； （2）通过释放损伤相关分子模式来时空诱导免疫原性细胞死亡； (3)肿瘤相关中性粒细胞向抗肿瘤N1表型的功能复极化。当与抗程序性细胞死亡蛋白 1 (αPD-1) 疗法联合使用时，该策略通过增强细胞毒性 T 淋巴细胞的浸润，对原发肿瘤和远处肿瘤的抑制率达到 80% 以上。总的来说，这些作用促进了长期抗肿瘤免疫记忆的建立，从而促进肿瘤根除并防止肿瘤复发。</w:t>
      </w:r>
    </w:p>
    <w:p>
      <w:pPr>
        <w:spacing w:before="0" w:after="200" w:lineRule="auto" w:line="276"/>
      </w:pPr>
      <w:r>
        <w:rPr>
          <w:b/>
        </w:rPr>
        <w:t xml:space="preserve">Abstract (EN): </w:t>
      </w:r>
      <w:r>
        <w:t>Triple‐negative breast cancer (TNBC) poses a major clinical challenge because of its aggressive behavior, high likelihood of metastasis, and absence of specific therapeutic targets. The immunosuppressive tumor microenvironment, largely influenced by cancer‐associated fibroblasts (CAFs) through fibroblast activation protein (FAP)‐mediated extracellular matrix (ECM) remodeling and cytokine secretion, contributes to TNBC's resistance to immunotherapy. In response to this challenge, we have developed FAP‐targeted nanoprobes (FAP‐IR1061) that incorporate second near‐infrared (NIR‐II) fluorescence/magnetic resonance (MR)/photoacoustic (PA) imaging capabilities alongside highly efficient NIR‐II photothermal conversion for precision theranostics. This platform facilitates a tripartite therapeutic approach: (1) selective ablation of CAFs and dismantling of the ECM to overcome physical barriers; (2) spatiotemporal induction of immunogenic cell death through the release of damage‐associated molecular patterns; (3) functional repolarization of tumor‐associated neutrophils toward antitumor N1 phenotypes. When used in conjunction with anti‐programmed cell death protein 1 (αPD‐1) therapy, this strategy achieves over 80% suppression of both primary and distant tumors by enhancing the infiltration of cytotoxic T lymphocytes. Collectively, these effects promote the establishment of long‐term antitumor immune memory, which facilitates tumor eradication and prevents tumor recurrence.</w:t>
      </w:r>
    </w:p>
    <w:p>
      <w:pPr>
        <w:spacing w:before="120" w:after="120"/>
      </w:pPr>
      <w:r>
        <w:rPr>
          <w:sz w:val="18"/>
        </w:rPr>
        <w:t>——————————————————————————————————————————————————————————————————————</w:t>
      </w:r>
    </w:p>
    <w:p>
      <w:pPr>
        <w:spacing w:before="160" w:after="40" w:line="240" w:lineRule="auto"/>
      </w:pPr>
      <w:r>
        <w:rPr>
          <w:b/>
        </w:rPr>
        <w:t xml:space="preserve">[482] </w:t>
      </w:r>
      <w:hyperlink r:id="rId1234">
        <w:r>
          <w:rPr>
            <w:color w:val="1155CC"/>
            <w:u w:val="single"/>
          </w:rPr>
          <w:t>通过双光子光刻实现无约束 3D 微加工的快速水溶性牺牲支架</w:t>
        </w:r>
      </w:hyperlink>
    </w:p>
    <w:p>
      <w:pPr>
        <w:spacing w:before="0" w:after="80"/>
      </w:pPr>
      <w:r>
        <w:rPr>
          <w:i/>
          <w:sz w:val="20"/>
        </w:rPr>
        <w:t>EN: Rapid Water‐Soluble Sacrificial Scaffolds for Unconstrained 3D Microfabrication via Two‐Photon Lithography</w:t>
      </w:r>
    </w:p>
    <w:p>
      <w:pPr>
        <w:spacing w:before="0" w:after="120"/>
      </w:pPr>
      <w:r>
        <w:rPr>
          <w:b/>
        </w:rPr>
        <w:t xml:space="preserve">Source: </w:t>
      </w:r>
      <w:r>
        <w:t>Wiley: Advanced Materials: Table of Contents</w:t>
      </w:r>
      <w:r>
        <w:t xml:space="preserve">    </w:t>
      </w:r>
      <w:r>
        <w:rPr>
          <w:b/>
        </w:rPr>
        <w:t xml:space="preserve">Pub date: </w:t>
      </w:r>
      <w:r>
        <w:t>2026-07-15 08:37:05+00:00</w:t>
      </w:r>
      <w:r>
        <w:t xml:space="preserve">    </w:t>
      </w:r>
      <w:r>
        <w:rPr>
          <w:b/>
        </w:rPr>
        <w:t xml:space="preserve">DOI: </w:t>
      </w:r>
      <w:hyperlink r:id="rId1235">
        <w:r>
          <w:rPr>
            <w:color w:val="1155CC"/>
            <w:u w:val="single"/>
          </w:rPr>
          <w:t>10.1002/adma.74112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光子光刻（TPL）能够实现复杂微结构的高分辨率制造，但由于缺乏有效的微尺度支撑去除策略，在实现真正任意的三维几何形状方面仍然受到根本限制。在这里，我们报告了一种由新开发的水溶性（W-S）光刻胶实现的通用牺牲支撑辅助 TPL 方法。 W-S 光刻胶集高打印分辨率和快速溶解于一体，允许牺牲支架在温和的水介质中 10 分钟内完全去除。据我们所知，这代表了已报道的 TPL 可溶解光刻胶中在如此温和的条件下实现的最快溶解性能之一。干燥条件下的结构稳定性和快速水可去除性的结合使制造保真度与后处理限制脱钩，从而实现不受约束的 3D 微加工。作为代表性演示，长单夹悬臂和微双凸透镜被制造成具有高几何保真度和表面光滑度。选择性去除可溶性支撑物后，微结构保留了精确的形态并表现出优异的光学性能。总的来说，这项工作引入了一种快速溶解的光刻胶，并建立了一种多功能材料支持的制造策略，用于构建以前无法实现的 3D 微结构，为微光学、光子学和生物集成系统开辟了新的机遇。</w:t>
      </w:r>
    </w:p>
    <w:p>
      <w:pPr>
        <w:spacing w:before="0" w:after="200" w:lineRule="auto" w:line="276"/>
      </w:pPr>
      <w:r>
        <w:rPr>
          <w:b/>
        </w:rPr>
        <w:t xml:space="preserve">Abstract (EN): </w:t>
      </w:r>
      <w:r>
        <w:t>Two‐photon lithography (TPL) enables high‐resolution fabrication of complex microarchitectures but remains fundamentally constrained in realizing truly arbitrary three‐dimensional geometries due to the lack of effective microscale support‐removal strategies. Here, we report a universal sacrificial‐support‐assisted TPL approach enabled by a newly developed water‐soluble (W‐S) photoresist. The W‐S photoresist integrates high printing resolution with rapid dissolution, allowing sacrificial scaffolds to be completely removed in mild aqueous media within 10 min. To the best of our knowledge, this represents one of the fastest dissolution performances achieved under such gentle conditions among reported dissolvable photoresists for TPL. This combination of structural stability under dry conditions and rapid aqueous removability decouples fabrication fidelity from post‐processing constraints, thereby enabling unconstrained 3D microfabrication. As representative demonstrations, long single‐clamped cantilevers and micro‐biconvex lenses were fabricated with high geometric fidelity and surface smoothness. After selective removal of the soluble supports, the microstructures retained precise morphology and exhibited excellent optical performance. Overall, this work introduces a rapidly dissolvable photoresist and establishes a versatile materials‐enabled fabrication strategy for constructing previously inaccessible 3D microarchitectures, opening new opportunities in micro‐optics, photonics, and bio‐integrated systems.</w:t>
      </w:r>
    </w:p>
    <w:p>
      <w:pPr>
        <w:spacing w:before="120" w:after="120"/>
      </w:pPr>
      <w:r>
        <w:rPr>
          <w:sz w:val="18"/>
        </w:rPr>
        <w:t>——————————————————————————————————————————————————————————————————————</w:t>
      </w:r>
    </w:p>
    <w:p>
      <w:pPr>
        <w:spacing w:before="160" w:after="40" w:line="240" w:lineRule="auto"/>
      </w:pPr>
      <w:r>
        <w:rPr>
          <w:b/>
        </w:rPr>
        <w:t xml:space="preserve">[483] </w:t>
      </w:r>
      <w:hyperlink r:id="rId1236">
        <w:r>
          <w:rPr>
            <w:color w:val="1155CC"/>
            <w:u w:val="single"/>
          </w:rPr>
          <w:t>完全非共轭的磷酸盐取代的壳聚糖有助于钙钛矿发光二极管的高效空穴注入</w:t>
        </w:r>
      </w:hyperlink>
    </w:p>
    <w:p>
      <w:pPr>
        <w:spacing w:before="0" w:after="80"/>
      </w:pPr>
      <w:r>
        <w:rPr>
          <w:i/>
          <w:sz w:val="20"/>
        </w:rPr>
        <w:t>EN: Phosphonate‐Substituted Chitosan With Complete Non‐Conjugation Facilitates Efficient Hole Injection in Perovskite Light‐Emitting Diodes</w:t>
      </w:r>
    </w:p>
    <w:p>
      <w:pPr>
        <w:spacing w:before="0" w:after="120"/>
      </w:pPr>
      <w:r>
        <w:rPr>
          <w:b/>
        </w:rPr>
        <w:t xml:space="preserve">Source: </w:t>
      </w:r>
      <w:r>
        <w:t>Wiley: Advanced Materials: Table of Contents</w:t>
      </w:r>
      <w:r>
        <w:t xml:space="preserve">    </w:t>
      </w:r>
      <w:r>
        <w:rPr>
          <w:b/>
        </w:rPr>
        <w:t xml:space="preserve">Pub date: </w:t>
      </w:r>
      <w:r>
        <w:t>2026-07-15 08:40:53+00:00</w:t>
      </w:r>
      <w:r>
        <w:t xml:space="preserve">    </w:t>
      </w:r>
      <w:r>
        <w:rPr>
          <w:b/>
        </w:rPr>
        <w:t xml:space="preserve">DOI: </w:t>
      </w:r>
      <w:hyperlink r:id="rId1237">
        <w:r>
          <w:rPr>
            <w:color w:val="1155CC"/>
            <w:u w:val="single"/>
          </w:rPr>
          <w:t>10.1002/adma.74173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钙钛矿发光二极管 (PeLED) 有望提供高效、纯色的下一代显示器，但由于氧化铟锡 (ITO)/钙钛矿界面处的能垒而导致电荷注入不平衡。为了解决这个问题，我们首次引入非共轭磷酸化壳聚糖（NCPC）作为有效的空穴注入层（HIL）。 NCPC增强了与ITO和空穴传输层（HTL）的界面相互作用，有效降低了它们的能垒并实现了有利的能级排列。这显着降低了电荷注入势垒和界面非辐射复合。结合 NCPC 显着提高了设备​​性能。红色、绿色和蓝色 PeLED 显示出最大的外部量子效率 (EQE</w:t>
      </w:r>
      <w:r>
        <w:t xml:space="preserve"> </w:t>
      </w:r>
      <w:r>
        <w:t>最大</w:t>
      </w:r>
      <w:r>
        <w:t xml:space="preserve"> </w:t>
      </w:r>
      <w:r>
        <w:t>）与使用 PEDOT:PSS HIL 的控制设备相比，分别提高了 25.35% (670 nm)、25.45% (512 nm) 和 14.22% (489 nm)。值得注意的是，红色 PeLED EQE</w:t>
      </w:r>
      <w:r>
        <w:t xml:space="preserve"> </w:t>
      </w:r>
      <w:r>
        <w:t>最大</w:t>
      </w:r>
      <w:r>
        <w:t xml:space="preserve"> </w:t>
      </w:r>
      <w:r>
        <w:t>670 nm 的波长位居报告值前两位。促进的空穴注入还降低了开启电压。这项工作推进了 PeLED 的高效 HIL 设计，并展示了环保天然材料在高性能显示器中的潜力。</w:t>
      </w:r>
    </w:p>
    <w:p>
      <w:pPr>
        <w:spacing w:before="0" w:after="200" w:lineRule="auto" w:line="276"/>
      </w:pPr>
      <w:r>
        <w:rPr>
          <w:b/>
        </w:rPr>
        <w:t xml:space="preserve">Abstract (EN): </w:t>
      </w:r>
      <w:r>
        <w:t>Perovskite light‐emitting diodes (PeLEDs) promise efficient, pure‐color next‐generation displays but suffer from charge injection imbalance due to energy barriers at the indium tin oxide (ITO)/perovskite interface. To address this, we introduce non‐conjugated phosphorylated chitosan (NCPC) as an efficient hole injection layer (HIL) for the first time. NCPC enhances interfacial interactions with ITO and the hole‐transport layer (HTL), effectively reducing their energy barrier and achieving favorable energy level alignment. This significantly lowers both charge injection barriers and interfacial nonradiative recombination. Incorporating NCPC markedly improves device performance. Red, green, and blue PeLEDs show maximum external quantum efficiency (EQE</w:t>
      </w:r>
      <w:r>
        <w:t xml:space="preserve"> </w:t>
      </w:r>
      <w:r>
        <w:t>max</w:t>
      </w:r>
      <w:r>
        <w:t xml:space="preserve"> </w:t>
      </w:r>
      <w:r>
        <w:t>) enhancements of 25.35% (670 nm), 25.45% (512 nm), and 14.22% (489 nm), respectively, compared to control devices using PEDOT:PSS HIL. Notably, the red PeLED EQE</w:t>
      </w:r>
      <w:r>
        <w:t xml:space="preserve"> </w:t>
      </w:r>
      <w:r>
        <w:t>max</w:t>
      </w:r>
      <w:r>
        <w:t xml:space="preserve"> </w:t>
      </w:r>
      <w:r>
        <w:t>at 670 nm ranks among the top two reported values. The facilitated hole injection also reduces turn‐on voltages. This work advances the design of efficient HILs for PeLEDs and demonstrates the potential of environmentally friendly natural materials for high‐performance displays.</w:t>
      </w:r>
    </w:p>
    <w:p>
      <w:pPr>
        <w:spacing w:before="120" w:after="120"/>
      </w:pPr>
      <w:r>
        <w:rPr>
          <w:sz w:val="18"/>
        </w:rPr>
        <w:t>——————————————————————————————————————————————————————————————————————</w:t>
      </w:r>
    </w:p>
    <w:p>
      <w:pPr>
        <w:spacing w:before="160" w:after="40" w:line="240" w:lineRule="auto"/>
      </w:pPr>
      <w:r>
        <w:rPr>
          <w:b/>
        </w:rPr>
        <w:t xml:space="preserve">[484] </w:t>
      </w:r>
      <w:hyperlink r:id="rId1238">
        <w:r>
          <w:rPr>
            <w:color w:val="1155CC"/>
            <w:u w:val="single"/>
          </w:rPr>
          <w:t>纳米材料驱动体内 CAR 免疫细胞工程</w:t>
        </w:r>
      </w:hyperlink>
    </w:p>
    <w:p>
      <w:pPr>
        <w:spacing w:before="0" w:after="80"/>
      </w:pPr>
      <w:r>
        <w:rPr>
          <w:i/>
          <w:sz w:val="20"/>
        </w:rPr>
        <w:t>EN: Nanomaterials Drive In Vivo CAR Immune Cells Engineering</w:t>
      </w:r>
    </w:p>
    <w:p>
      <w:pPr>
        <w:spacing w:before="0" w:after="120"/>
      </w:pPr>
      <w:r>
        <w:rPr>
          <w:b/>
        </w:rPr>
        <w:t xml:space="preserve">Source: </w:t>
      </w:r>
      <w:r>
        <w:t>Wiley: Advanced Materials: Table of Contents</w:t>
      </w:r>
      <w:r>
        <w:t xml:space="preserve">    </w:t>
      </w:r>
      <w:r>
        <w:rPr>
          <w:b/>
        </w:rPr>
        <w:t xml:space="preserve">Pub date: </w:t>
      </w:r>
      <w:r>
        <w:t>2026-07-15 08:45:56+00:00</w:t>
      </w:r>
      <w:r>
        <w:t xml:space="preserve">    </w:t>
      </w:r>
      <w:r>
        <w:rPr>
          <w:b/>
        </w:rPr>
        <w:t xml:space="preserve">DOI: </w:t>
      </w:r>
      <w:hyperlink r:id="rId1239">
        <w:r>
          <w:rPr>
            <w:color w:val="1155CC"/>
            <w:u w:val="single"/>
          </w:rPr>
          <w:t>10.1002/adma.74058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嵌合抗原受体（CAR）免疫细胞疗法已成为现代细胞医学的基石，显示出针对一系列恶性肿瘤和自身免疫性疾病的有效临床疗效。然而，传统的体外 CAR 免疫细胞制造受到复杂性、高成本和显着的个体差异的阻碍，这限制了其广泛的临床应用。这些瓶颈促使体内 CAR 工程发生范式转变，其中纳米载体直接将遗传物质传递到循环或组织驻留的免疫细胞，从而大大简化了生产过程。这篇综述首先概述了 CAR 免疫细胞疗法的演变和离体方法的主要局限性，然后研究了体内方法的主要递送平台。对递送效率、细胞向性和表达动力学进行了比较分析，特别强调描绘瞬时表达策略和持久表达策略之间的机制区别和应用界限。我们进一步剖析了关键挑战，包括受体介导的非特异性免疫激活、限制重复给药的纳米载体相关免疫原性以及实体瘤微环境造成的递送障碍。最后，讨论了不同递送平台的治疗耐久性和生物安全性之间的内在权衡，以及它们的临床转化取决于递送精度、免疫系统优化的必要性。</w:t>
      </w:r>
    </w:p>
    <w:p>
      <w:pPr>
        <w:spacing w:before="0" w:after="200" w:lineRule="auto" w:line="276"/>
      </w:pPr>
      <w:r>
        <w:rPr>
          <w:b/>
        </w:rPr>
        <w:t xml:space="preserve">Abstract (EN): </w:t>
      </w:r>
      <w:r>
        <w:t>Chimeric antigen receptor (CAR) immune cell therapy has emerged as a cornerstone of modern cell‐based medicine, demonstrating potent clinical efficacy against a range of malignant tumors and autoimmune diseases. Nevertheless, conventional ex vivo CAR immune cell manufacturing is hindered by complexity, high costs, and significant inter‐individual variability, which have limited its broad clinical application. These bottlenecks have prompted a paradigm shift toward in vivo CAR engineering, wherein nanocarriers directly deliver genetic material to circulating or tissue‐resident immune cells, substantially simplifying the production process. This review first outlines the evolution of CAR immune cell therapy and key limitations of ex vivo approaches and then examines major delivery platforms for in vivo approaches. Comparative analyses are presented across delivery efficiency, cellular tropism, and expression kinetics, with particular emphasis on delineating the mechanistic distinctions and application boundaries between transient and durable expression strategies. We further dissect the critical challenges, including receptor‐mediated non‐specific immune activation, nanocarrier‐associated immunogenicity constraining repeated administration, and delivery barriers imposed by the solid tumor microenvironment. Finally, the intrinsic trade‐off between therapeutic durability and biosafety across distinct delivery platforms is discussed, along with the necessity that their clinical translation hinges on systematic optimization of delivery precision, immune compatibility, and expression controllability.</w:t>
      </w:r>
    </w:p>
    <w:p>
      <w:pPr>
        <w:spacing w:before="120" w:after="120"/>
      </w:pPr>
      <w:r>
        <w:rPr>
          <w:sz w:val="18"/>
        </w:rPr>
        <w:t>——————————————————————————————————————————————————————————————————————</w:t>
      </w:r>
    </w:p>
    <w:p>
      <w:pPr>
        <w:spacing w:before="160" w:after="40" w:line="240" w:lineRule="auto"/>
      </w:pPr>
      <w:r>
        <w:rPr>
          <w:b/>
        </w:rPr>
        <w:t xml:space="preserve">[485] </w:t>
      </w:r>
      <w:hyperlink r:id="rId1240">
        <w:r>
          <w:rPr>
            <w:color w:val="1155CC"/>
            <w:u w:val="single"/>
          </w:rPr>
          <w:t>Pb/Sr 混合钙钛矿的成分均质化和介电调制，用于高效、明亮的深蓝色发光二极管</w:t>
        </w:r>
      </w:hyperlink>
    </w:p>
    <w:p>
      <w:pPr>
        <w:spacing w:before="0" w:after="80"/>
      </w:pPr>
      <w:r>
        <w:rPr>
          <w:i/>
          <w:sz w:val="20"/>
        </w:rPr>
        <w:t>EN: Compositional Homogenization and Dielectric Modulation of Pb/Sr Mixed Perovskites for Efficient and Bright Deep‐Blue Light‐Emitting Diodes</w:t>
      </w:r>
    </w:p>
    <w:p>
      <w:pPr>
        <w:spacing w:before="0" w:after="120"/>
      </w:pPr>
      <w:r>
        <w:rPr>
          <w:b/>
        </w:rPr>
        <w:t xml:space="preserve">Source: </w:t>
      </w:r>
      <w:r>
        <w:t>Wiley: Advanced Materials: Table of Contents</w:t>
      </w:r>
      <w:r>
        <w:t xml:space="preserve">    </w:t>
      </w:r>
      <w:r>
        <w:rPr>
          <w:b/>
        </w:rPr>
        <w:t xml:space="preserve">Pub date: </w:t>
      </w:r>
      <w:r>
        <w:t>2026-07-15 08:47:18+00:00</w:t>
      </w:r>
      <w:r>
        <w:t xml:space="preserve">    </w:t>
      </w:r>
      <w:r>
        <w:rPr>
          <w:b/>
        </w:rPr>
        <w:t xml:space="preserve">DOI: </w:t>
      </w:r>
      <w:hyperlink r:id="rId1241">
        <w:r>
          <w:rPr>
            <w:color w:val="1155CC"/>
            <w:u w:val="single"/>
          </w:rPr>
          <w:t>10.1002/adma.74152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卤化物钙钛矿由于其带隙可调、色纯度高和溶液可加工性，已成为下一代显示器和照明的有希望的候选者。然而，深蓝色钙钛矿发光二极管（PeLED）的性能远远落后于红色和绿色发光二极管。使用低维或混合卤化物钙钛矿的传统策略会遭受严重的俄歇复合、相分离和氯空位引起的非辐射损失。尽管Pb/Sr混合B位成分工程提供了优异的光谱稳定性，但结晶过程中发生的成分偏析和异质性导致薄膜质量差、发光效率低和器件性能有限。在此，我们介绍三氟甲磺酸钡（Ba(OTf)</w:t>
      </w:r>
      <w:r>
        <w:rPr>
          <w:vertAlign w:val="subscript"/>
        </w:rPr>
        <w:t>2</w:t>
      </w:r>
      <w:r>
        <w:t>）作为双功能添加剂来调节 Pb/Sr 混合钙钛矿的结晶。它通过形成三元络合物来同步 Pb 和 Sr 的结晶动力学，抑制成分偏析，并钝化溴空位，产生具有低缺陷密度的高度均匀的薄膜。此外，Ba掺杂通过局域介电调制增强了激子结合能。因此，我们实现了峰值外量子效率为 13.1%、最大亮度为 4821 cd m 的深蓝色 PeLED</w:t>
      </w:r>
      <w:r>
        <w:t xml:space="preserve"> </w:t>
      </w:r>
      <w:r>
        <w:t>−2</w:t>
      </w:r>
      <w:r>
        <w:t xml:space="preserve"> </w:t>
      </w:r>
      <w:r>
        <w:t>467 nm，以及 450 至 470 nm 的可调发射。这项工作提供了一条通往高性能的可行途径</w:t>
      </w:r>
    </w:p>
    <w:p>
      <w:pPr>
        <w:spacing w:before="0" w:after="200" w:lineRule="auto" w:line="276"/>
      </w:pPr>
      <w:r>
        <w:rPr>
          <w:b/>
        </w:rPr>
        <w:t xml:space="preserve">Abstract (EN): </w:t>
      </w:r>
      <w:r>
        <w:t>Metal halide perovskites have emerged as promising candidates for next‐generation displays and lighting due to their tunable bandgap, high color purity, and solution processability. However, the performance of deep‐blue perovskite light‐emitting diodes (PeLEDs) lags far behind their red and green counterparts. Conventional strategies using low‐dimensional or mixed‐halide perovskites suffer from severe Auger recombination, phase separation, and chlorine‐vacancy‐induced nonradiative losses. Although Pb/Sr mixed B‐site compositional engineering provides excellent spectral stability, the compositional segregation and heterogeneity occurring during crystallization lead to poor film quality, low luminescence efficiency, and limited device performance. Herein, we introduce barium trifluoromethanesulfonate (Ba(OTf)</w:t>
      </w:r>
      <w:r>
        <w:rPr>
          <w:vertAlign w:val="subscript"/>
        </w:rPr>
        <w:t>2</w:t>
      </w:r>
      <w:r>
        <w:t>) as a bifunctional additive to regulate the crystallization of Pb/Sr mixed perovskites. It synchronizes the crystallization kinetics of Pb and Sr via the formation of a ternary complex, suppresses compositional segregation, and passivates bromine vacancies, yielding highly homogeneous films with low defect densities. Moreover, Ba doping enhances the exciton binding energy through local dielectric modulation. Consequently, we achieve deep‐blue PeLEDs with a peak external quantum efficiency of 13.1% and a maximum luminance of 4821 cd m</w:t>
      </w:r>
      <w:r>
        <w:t xml:space="preserve"> </w:t>
      </w:r>
      <w:r>
        <w:t>−2</w:t>
      </w:r>
      <w:r>
        <w:t xml:space="preserve"> </w:t>
      </w:r>
      <w:r>
        <w:t>at 467 nm, along with tunable emission from 450 to 470 nm. This work offers a viable route toward high‐performance alloyed perovskites for optoelectronic devices.</w:t>
      </w:r>
    </w:p>
    <w:p>
      <w:pPr>
        <w:spacing w:before="120" w:after="120"/>
      </w:pPr>
      <w:r>
        <w:rPr>
          <w:sz w:val="18"/>
        </w:rPr>
        <w:t>——————————————————————————————————————————————————————————————————————</w:t>
      </w:r>
    </w:p>
    <w:p>
      <w:pPr>
        <w:spacing w:before="160" w:after="40" w:line="240" w:lineRule="auto"/>
      </w:pPr>
      <w:r>
        <w:rPr>
          <w:b/>
        </w:rPr>
        <w:t xml:space="preserve">[486] </w:t>
      </w:r>
      <w:hyperlink r:id="rId1242">
        <w:r>
          <w:rPr>
            <w:color w:val="1155CC"/>
            <w:u w:val="single"/>
          </w:rPr>
          <w:t>ABA 三层石墨烯第零朗道能级的偶分母分数量子霍尔态</w:t>
        </w:r>
      </w:hyperlink>
    </w:p>
    <w:p>
      <w:pPr>
        <w:spacing w:before="0" w:after="80"/>
      </w:pPr>
      <w:r>
        <w:rPr>
          <w:i/>
          <w:sz w:val="20"/>
        </w:rPr>
        <w:t>EN: Even Denominator Fractional Quantum Hall States in the Zeroth Landau Level of ABA Trilayer Graphene</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43">
        <w:r>
          <w:rPr>
            <w:color w:val="1155CC"/>
            <w:u w:val="single"/>
          </w:rPr>
          <w:t>10.1103/tsnc-4jjl</w:t>
        </w:r>
      </w:hyperlink>
    </w:p>
    <w:p>
      <w:pPr>
        <w:spacing w:before="0" w:after="120"/>
      </w:pPr>
      <w:r>
        <w:rPr>
          <w:b/>
        </w:rPr>
        <w:t xml:space="preserve">Notes: </w:t>
      </w:r>
      <w:r>
        <w:t>abstract_source=rss_description</w:t>
      </w:r>
    </w:p>
    <w:p>
      <w:pPr>
        <w:spacing w:before="0" w:after="80" w:lineRule="auto" w:line="276"/>
      </w:pPr>
      <w:r>
        <w:rPr>
          <w:b/>
        </w:rPr>
        <w:t xml:space="preserve">摘要（ZH）: </w:t>
      </w:r>
      <w:r>
        <w:t>作者：Tanima Chanda、Simrandeep Kaur、Harsimran Singh、Kenji Watanabe、Takashi Taniguchi、Manish Jain、Udit Khanna、Ajit C. Balram 和 Aveek BidEven 半填充时的分母分数量子霍尔态特别令人感兴趣，因为它们可以容纳非阿贝尔准粒子。在这里，我们报告了 ABA 三层石墨烯 (TLG) 的第零朗道能级 ($N=0$) 中出现了此类状态，挑战了传统的预期……[Phys.莱特牧师。 137, 036601] 2026 年 7 月 15 日星期三发布</w:t>
      </w:r>
    </w:p>
    <w:p>
      <w:pPr>
        <w:spacing w:before="0" w:after="200" w:lineRule="auto" w:line="276"/>
      </w:pPr>
      <w:r>
        <w:rPr>
          <w:b/>
        </w:rPr>
        <w:t xml:space="preserve">Abstract (EN): </w:t>
      </w:r>
      <w:r>
        <w:t>Author(s): Tanima Chanda, Simrandeep Kaur, Harsimran Singh, Kenji Watanabe, Takashi Taniguchi, Manish Jain, Udit Khanna, Ajit C. Balram, and Aveek BidEven-denominator fractional quantum Hall states at half-filling are of particular interest because they can host non-Abelian quasiparticles. Here, we report the emergence of such states in the zeroth Landau level ($N=0$) of ABA trilayer graphene (TLG), challenging the conventional expectation that t…[Phys. Rev. Lett. 137, 036601] Published Wed Jul 15, 2026</w:t>
      </w:r>
    </w:p>
    <w:p>
      <w:pPr>
        <w:spacing w:before="120" w:after="120"/>
      </w:pPr>
      <w:r>
        <w:rPr>
          <w:sz w:val="18"/>
        </w:rPr>
        <w:t>——————————————————————————————————————————————————————————————————————</w:t>
      </w:r>
    </w:p>
    <w:p>
      <w:pPr>
        <w:spacing w:before="160" w:after="40" w:line="240" w:lineRule="auto"/>
      </w:pPr>
      <w:r>
        <w:rPr>
          <w:b/>
        </w:rPr>
        <w:t xml:space="preserve">[487] </w:t>
      </w:r>
      <w:hyperlink r:id="rId1244">
        <w:r>
          <w:rPr>
            <w:color w:val="1155CC"/>
            <w:u w:val="single"/>
          </w:rPr>
          <w:t>$^{54}\mathrm{Ca}$ 激发中子构型的光谱</w:t>
        </w:r>
      </w:hyperlink>
    </w:p>
    <w:p>
      <w:pPr>
        <w:spacing w:before="0" w:after="80"/>
      </w:pPr>
      <w:r>
        <w:rPr>
          <w:i/>
          <w:sz w:val="20"/>
        </w:rPr>
        <w:t>EN: Spectroscopy of excited neutron configurations of $^{54}\mathrm{Ca}$</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45">
        <w:r>
          <w:rPr>
            <w:color w:val="1155CC"/>
            <w:u w:val="single"/>
          </w:rPr>
          <w:t>10.1103/s6dz-2tbn</w:t>
        </w:r>
      </w:hyperlink>
    </w:p>
    <w:p>
      <w:pPr>
        <w:spacing w:before="0" w:after="120"/>
      </w:pPr>
      <w:r>
        <w:rPr>
          <w:b/>
        </w:rPr>
        <w:t xml:space="preserve">Notes: </w:t>
      </w:r>
      <w:r>
        <w:t>abstract_source=rss_description</w:t>
      </w:r>
    </w:p>
    <w:p>
      <w:pPr>
        <w:spacing w:before="0" w:after="80" w:lineRule="auto" w:line="276"/>
      </w:pPr>
      <w:r>
        <w:rPr>
          <w:b/>
        </w:rPr>
        <w:t xml:space="preserve">摘要（ZH）: </w:t>
      </w:r>
      <w:r>
        <w:t>作者：F. Browne 等人。尽管 $^{54}\mathrm{Ca}$ 的核子数与传统的核幻数不相符，但它的结构显示出双闭壳核的特征。本文详细介绍了超过两个中子发射阈值的中子激发态结构……[物理。 Rev. C 114, 014316] 2026 年 7 月 15 日星期三发布</w:t>
      </w:r>
    </w:p>
    <w:p>
      <w:pPr>
        <w:spacing w:before="0" w:after="200" w:lineRule="auto" w:line="276"/>
      </w:pPr>
      <w:r>
        <w:rPr>
          <w:b/>
        </w:rPr>
        <w:t xml:space="preserve">Abstract (EN): </w:t>
      </w:r>
      <w:r>
        <w:t>Author(s): F. Browne et al.Despite its nucleon numbers not coinciding with the traditional nuclear magic numbers, the structure of $^{54}\mathrm{Ca}$ shows signatures of a doubly closed shell nucleus. This article details the structures of neutron-excited states up to beyond the two-neutron emission threshold populated by the…[Phys. Rev. C 114, 014316] Published Wed Jul 15, 2026</w:t>
      </w:r>
    </w:p>
    <w:p>
      <w:pPr>
        <w:spacing w:before="120" w:after="120"/>
      </w:pPr>
      <w:r>
        <w:rPr>
          <w:sz w:val="18"/>
        </w:rPr>
        <w:t>——————————————————————————————————————————————————————————————————————</w:t>
      </w:r>
    </w:p>
    <w:p>
      <w:pPr>
        <w:spacing w:before="160" w:after="40" w:line="240" w:lineRule="auto"/>
      </w:pPr>
      <w:r>
        <w:rPr>
          <w:b/>
        </w:rPr>
        <w:t xml:space="preserve">[488] </w:t>
      </w:r>
      <w:hyperlink r:id="rId1246">
        <w:r>
          <w:rPr>
            <w:color w:val="1155CC"/>
            <w:u w:val="single"/>
          </w:rPr>
          <w:t>非线性奇粘弹性效应</w:t>
        </w:r>
      </w:hyperlink>
    </w:p>
    <w:p>
      <w:pPr>
        <w:spacing w:before="0" w:after="80"/>
      </w:pPr>
      <w:r>
        <w:rPr>
          <w:i/>
          <w:sz w:val="20"/>
        </w:rPr>
        <w:t>EN: Nonlinear Odd Viscoelastic Effect</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47">
        <w:r>
          <w:rPr>
            <w:color w:val="1155CC"/>
            <w:u w:val="single"/>
          </w:rPr>
          <w:t>10.1103/jg6l-gzfr</w:t>
        </w:r>
      </w:hyperlink>
    </w:p>
    <w:p>
      <w:pPr>
        <w:spacing w:before="0" w:after="120"/>
      </w:pPr>
      <w:r>
        <w:rPr>
          <w:b/>
        </w:rPr>
        <w:t xml:space="preserve">Notes: </w:t>
      </w:r>
      <w:r>
        <w:t>abstract_source=rss_description</w:t>
      </w:r>
    </w:p>
    <w:p>
      <w:pPr>
        <w:spacing w:before="0" w:after="80" w:lineRule="auto" w:line="276"/>
      </w:pPr>
      <w:r>
        <w:rPr>
          <w:b/>
        </w:rPr>
        <w:t xml:space="preserve">摘要（ZH）: </w:t>
      </w:r>
      <w:r>
        <w:t>作者：Ashwat Jain、Wojciech J. Jankowski、M. Mehraeen 和 Robert-Jan Slager 非线性奇粘弹性效应由磁性三维拓扑相中的高阶量子几何张量响应于畸变场而产生。莱特牧师。 137, 036302] 2026 年 7 月 15 日星期三发布</w:t>
      </w:r>
    </w:p>
    <w:p>
      <w:pPr>
        <w:spacing w:before="0" w:after="200" w:lineRule="auto" w:line="276"/>
      </w:pPr>
      <w:r>
        <w:rPr>
          <w:b/>
        </w:rPr>
        <w:t xml:space="preserve">Abstract (EN): </w:t>
      </w:r>
      <w:r>
        <w:t>Author(s): Ashwat Jain, Wojciech J. Jankowski, M. Mehraeen, and Robert-Jan SlagerNonlinear odd viscoelastic effects arise from higher-order quantum geometric tensors in magnetic three-dimensional topological phases in response to distortion fields.[Phys. Rev. Lett. 137, 036302] Published Wed Jul 15, 2026</w:t>
      </w:r>
    </w:p>
    <w:p>
      <w:pPr>
        <w:spacing w:before="120" w:after="120"/>
      </w:pPr>
      <w:r>
        <w:rPr>
          <w:sz w:val="18"/>
        </w:rPr>
        <w:t>——————————————————————————————————————————————————————————————————————</w:t>
      </w:r>
    </w:p>
    <w:p>
      <w:pPr>
        <w:spacing w:before="160" w:after="40" w:line="240" w:lineRule="auto"/>
      </w:pPr>
      <w:r>
        <w:rPr>
          <w:b/>
        </w:rPr>
        <w:t xml:space="preserve">[489] </w:t>
      </w:r>
      <w:hyperlink r:id="rId1248">
        <w:r>
          <w:rPr>
            <w:color w:val="1155CC"/>
            <w:u w:val="single"/>
          </w:rPr>
          <w:t>观察 ${B}^{0}→J/ψρ(770{)}^{0}$ 衰变中的 $CP$ 违规</w:t>
        </w:r>
      </w:hyperlink>
    </w:p>
    <w:p>
      <w:pPr>
        <w:spacing w:before="0" w:after="80"/>
      </w:pPr>
      <w:r>
        <w:rPr>
          <w:i/>
          <w:sz w:val="20"/>
        </w:rPr>
        <w:t>EN: Observation of $CP$ Violation in ${B}^{0}→J/ψρ(770{)}^{0}$ Decays</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49">
        <w:r>
          <w:rPr>
            <w:color w:val="1155CC"/>
            <w:u w:val="single"/>
          </w:rPr>
          <w:t>10.1103/6f6r-51br</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合作）LHCb 合作在新的强子 B 介子衰变中观察到了时间依赖性 CP 破坏。莱特牧师。 137, 031803] 2026 年 7 月 15 日星期三发布</w:t>
      </w:r>
    </w:p>
    <w:p>
      <w:pPr>
        <w:spacing w:before="0" w:after="200" w:lineRule="auto" w:line="276"/>
      </w:pPr>
      <w:r>
        <w:rPr>
          <w:b/>
        </w:rPr>
        <w:t xml:space="preserve">Abstract (EN): </w:t>
      </w:r>
      <w:r>
        <w:t>Author(s): R. Aaij et al. (LHCb Collaboration)The LHCb collaboration has observed time-dependent CP violation in a new hadronic B meson decay.[Phys. Rev. Lett. 137, 031803] Published Wed Jul 15, 2026</w:t>
      </w:r>
    </w:p>
    <w:p>
      <w:pPr>
        <w:spacing w:before="120" w:after="120"/>
      </w:pPr>
      <w:r>
        <w:rPr>
          <w:sz w:val="18"/>
        </w:rPr>
        <w:t>——————————————————————————————————————————————————————————————————————</w:t>
      </w:r>
    </w:p>
    <w:p>
      <w:pPr>
        <w:spacing w:before="160" w:after="40" w:line="240" w:lineRule="auto"/>
      </w:pPr>
      <w:r>
        <w:rPr>
          <w:b/>
        </w:rPr>
        <w:t xml:space="preserve">[490] </w:t>
      </w:r>
      <w:hyperlink r:id="rId1250">
        <w:r>
          <w:rPr>
            <w:color w:val="1155CC"/>
            <w:u w:val="single"/>
          </w:rPr>
          <w:t>非互惠反应中的近藤效应</w:t>
        </w:r>
      </w:hyperlink>
    </w:p>
    <w:p>
      <w:pPr>
        <w:spacing w:before="0" w:after="80"/>
      </w:pPr>
      <w:r>
        <w:rPr>
          <w:i/>
          <w:sz w:val="20"/>
        </w:rPr>
        <w:t>EN: Kondo Effect in Nonreciprocal Response</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51">
        <w:r>
          <w:rPr>
            <w:color w:val="1155CC"/>
            <w:u w:val="single"/>
          </w:rPr>
          <w:t>10.1103/y243-ygbf</w:t>
        </w:r>
      </w:hyperlink>
    </w:p>
    <w:p>
      <w:pPr>
        <w:spacing w:before="0" w:after="120"/>
      </w:pPr>
      <w:r>
        <w:rPr>
          <w:b/>
        </w:rPr>
        <w:t xml:space="preserve">Notes: </w:t>
      </w:r>
      <w:r>
        <w:t>abstract_source=rss_description</w:t>
      </w:r>
    </w:p>
    <w:p>
      <w:pPr>
        <w:spacing w:before="0" w:after="80" w:lineRule="auto" w:line="276"/>
      </w:pPr>
      <w:r>
        <w:rPr>
          <w:b/>
        </w:rPr>
        <w:t xml:space="preserve">摘要（ZH）: </w:t>
      </w:r>
      <w:r>
        <w:t>作者：Hajime Murata 和 Hiroaki Ishizuka 手性磁态会产生丰富的现象，从反常霍尔效应和非线性电流到多铁性和磁手性二色性。迄今为止，大多数关于电传输的研究都集中在磁矩按类别很好地近似的情况......[物理。莱特牧师。 137, 036301] 2026 年 7 月 15 日星期三发布</w:t>
      </w:r>
    </w:p>
    <w:p>
      <w:pPr>
        <w:spacing w:before="0" w:after="200" w:lineRule="auto" w:line="276"/>
      </w:pPr>
      <w:r>
        <w:rPr>
          <w:b/>
        </w:rPr>
        <w:t xml:space="preserve">Abstract (EN): </w:t>
      </w:r>
      <w:r>
        <w:t>Author(s): Hajime Murata and Hiroaki IshizukaChiral magnetic states give rise to rich phenomena, from the anomalous Hall effect and the nonlinear electrical current to multiferroics and magnetochiral dichroism. Most of the studies on electrical transport so far have focused on the cases where the magnetic moments are well approximated by class…[Phys. Rev. Lett. 137, 036301] Published Wed Jul 15, 2026</w:t>
      </w:r>
    </w:p>
    <w:p>
      <w:pPr>
        <w:spacing w:before="120" w:after="120"/>
      </w:pPr>
      <w:r>
        <w:rPr>
          <w:sz w:val="18"/>
        </w:rPr>
        <w:t>——————————————————————————————————————————————————————————————————————</w:t>
      </w:r>
    </w:p>
    <w:p>
      <w:pPr>
        <w:spacing w:before="160" w:after="40" w:line="240" w:lineRule="auto"/>
      </w:pPr>
      <w:r>
        <w:rPr>
          <w:b/>
        </w:rPr>
        <w:t xml:space="preserve">[491] </w:t>
      </w:r>
      <w:hyperlink r:id="rId1252">
        <w:r>
          <w:rPr>
            <w:color w:val="1155CC"/>
            <w:u w:val="single"/>
          </w:rPr>
          <w:t>超辐射参数穆斯堡尔辐射源</w:t>
        </w:r>
      </w:hyperlink>
    </w:p>
    <w:p>
      <w:pPr>
        <w:spacing w:before="0" w:after="80"/>
      </w:pPr>
      <w:r>
        <w:rPr>
          <w:i/>
          <w:sz w:val="20"/>
        </w:rPr>
        <w:t>EN: Superradiant Parametric Mössbauer Radiation Source</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53">
        <w:r>
          <w:rPr>
            <w:color w:val="1155CC"/>
            <w:u w:val="single"/>
          </w:rPr>
          <w:t>10.1103/ydpq-zy7k</w:t>
        </w:r>
      </w:hyperlink>
    </w:p>
    <w:p>
      <w:pPr>
        <w:spacing w:before="0" w:after="120"/>
      </w:pPr>
      <w:r>
        <w:rPr>
          <w:b/>
        </w:rPr>
        <w:t xml:space="preserve">Notes: </w:t>
      </w:r>
      <w:r>
        <w:t>abstract_source=rss_description</w:t>
      </w:r>
    </w:p>
    <w:p>
      <w:pPr>
        <w:spacing w:before="0" w:after="80" w:lineRule="auto" w:line="276"/>
      </w:pPr>
      <w:r>
        <w:rPr>
          <w:b/>
        </w:rPr>
        <w:t xml:space="preserve">摘要（ZH）: </w:t>
      </w:r>
      <w:r>
        <w:t>作者：Ze-an Peng、Christoph H. Keitel 和 Jörg Evers 穆斯堡尔核中光谱窄 X 射线共振的未来应用需要具有极高峰值和平均光谱通量的 X 射线源。在这里，我们介绍了一种超辐射参量穆斯堡尔辐射（SPMR）源，它利用空间微结构电子的散射......[Phys。莱特牧师。 137, 035001] 2026 年 7 月 15 日星期三发布</w:t>
      </w:r>
    </w:p>
    <w:p>
      <w:pPr>
        <w:spacing w:before="0" w:after="200" w:lineRule="auto" w:line="276"/>
      </w:pPr>
      <w:r>
        <w:rPr>
          <w:b/>
        </w:rPr>
        <w:t xml:space="preserve">Abstract (EN): </w:t>
      </w:r>
      <w:r>
        <w:t>Author(s): Ze-an Peng, Christoph H. Keitel, and Jörg EversFuture applications of the spectrally narrow x-ray resonances in Mössbauer nuclei require x-ray sources with exceptionally high peak and average spectral flux. Here, we introduce a superradiant parametric Mössbauer radiation (SPMR) source, which utilizes the scattering of spatially microstructured e…[Phys. Rev. Lett. 137, 035001] Published Wed Jul 15, 2026</w:t>
      </w:r>
    </w:p>
    <w:p>
      <w:pPr>
        <w:spacing w:before="120" w:after="120"/>
      </w:pPr>
      <w:r>
        <w:rPr>
          <w:sz w:val="18"/>
        </w:rPr>
        <w:t>——————————————————————————————————————————————————————————————————————</w:t>
      </w:r>
    </w:p>
    <w:p>
      <w:pPr>
        <w:spacing w:before="160" w:after="40" w:line="240" w:lineRule="auto"/>
      </w:pPr>
      <w:r>
        <w:rPr>
          <w:b/>
        </w:rPr>
        <w:t xml:space="preserve">[492] </w:t>
      </w:r>
      <w:hyperlink r:id="rId1254">
        <w:r>
          <w:rPr>
            <w:color w:val="1155CC"/>
            <w:u w:val="single"/>
          </w:rPr>
          <w:t>马米雪夫振荡器中的光学孤子库珀对</w:t>
        </w:r>
      </w:hyperlink>
    </w:p>
    <w:p>
      <w:pPr>
        <w:spacing w:before="0" w:after="80"/>
      </w:pPr>
      <w:r>
        <w:rPr>
          <w:i/>
          <w:sz w:val="20"/>
        </w:rPr>
        <w:t>EN: Optical Soliton Cooper Pairs in Mamyshev Oscillators</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55">
        <w:r>
          <w:rPr>
            <w:color w:val="1155CC"/>
            <w:u w:val="single"/>
          </w:rPr>
          <w:t>10.1103/snjm-s1nv</w:t>
        </w:r>
      </w:hyperlink>
    </w:p>
    <w:p>
      <w:pPr>
        <w:spacing w:before="0" w:after="120"/>
      </w:pPr>
      <w:r>
        <w:rPr>
          <w:b/>
        </w:rPr>
        <w:t xml:space="preserve">Notes: </w:t>
      </w:r>
      <w:r>
        <w:t>abstract_source=rss_description</w:t>
      </w:r>
    </w:p>
    <w:p>
      <w:pPr>
        <w:spacing w:before="0" w:after="80" w:lineRule="auto" w:line="276"/>
      </w:pPr>
      <w:r>
        <w:rPr>
          <w:b/>
        </w:rPr>
        <w:t xml:space="preserve">摘要（ZH）: </w:t>
      </w:r>
      <w:r>
        <w:t>作者：郝晨晓、冼天浩、常正虎、杜雅涵和詹力超导框架揭示了一个引人注目的概念：电子通过晶格振动的微妙相互作用形成库仑对，并在此过程中克服了库仑斥力。库珀对的概念已经在费米系统之外建立，而这个配对机甲……[物理。莱特牧师。 137, 033801] 2026 年 7 月 15 日星期三发布</w:t>
      </w:r>
    </w:p>
    <w:p>
      <w:pPr>
        <w:spacing w:before="0" w:after="200" w:lineRule="auto" w:line="276"/>
      </w:pPr>
      <w:r>
        <w:rPr>
          <w:b/>
        </w:rPr>
        <w:t xml:space="preserve">Abstract (EN): </w:t>
      </w:r>
      <w:r>
        <w:t>Author(s): Chenxiao Hao, Tianhao Xian, Zhenghu Chang, Yahan Du, and Li ZhanThe framework of superconductivity unveiled the striking concept that electrons form Cooper pairs through the subtle interplay of lattice vibrations, surmounting their Coulombic repulsion in the process. The concept of Cooper pairs has been established beyond the Fermi system, and this pairing mecha…[Phys. Rev. Lett. 137, 033801] Published Wed Jul 15, 2026</w:t>
      </w:r>
    </w:p>
    <w:p>
      <w:pPr>
        <w:spacing w:before="120" w:after="120"/>
      </w:pPr>
      <w:r>
        <w:rPr>
          <w:sz w:val="18"/>
        </w:rPr>
        <w:t>——————————————————————————————————————————————————————————————————————</w:t>
      </w:r>
    </w:p>
    <w:p>
      <w:pPr>
        <w:spacing w:before="160" w:after="40" w:line="240" w:lineRule="auto"/>
      </w:pPr>
      <w:r>
        <w:rPr>
          <w:b/>
        </w:rPr>
        <w:t xml:space="preserve">[493] </w:t>
      </w:r>
      <w:hyperlink r:id="rId1256">
        <w:r>
          <w:rPr>
            <w:color w:val="1155CC"/>
            <w:u w:val="single"/>
          </w:rPr>
          <w:t>任何单一门都可以在量子网络中独立于设备进行认证</w:t>
        </w:r>
      </w:hyperlink>
    </w:p>
    <w:p>
      <w:pPr>
        <w:spacing w:before="0" w:after="80"/>
      </w:pPr>
      <w:r>
        <w:rPr>
          <w:i/>
          <w:sz w:val="20"/>
        </w:rPr>
        <w:t>EN: Any Unitary Gate Can Be Certified Device-Independently in a Quantum Network</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57">
        <w:r>
          <w:rPr>
            <w:color w:val="1155CC"/>
            <w:u w:val="single"/>
          </w:rPr>
          <w:t>10.1103/m1tx-9mx1</w:t>
        </w:r>
      </w:hyperlink>
    </w:p>
    <w:p>
      <w:pPr>
        <w:spacing w:before="0" w:after="120"/>
      </w:pPr>
      <w:r>
        <w:rPr>
          <w:b/>
        </w:rPr>
        <w:t xml:space="preserve">Notes: </w:t>
      </w:r>
      <w:r>
        <w:t>abstract_source=rss_description</w:t>
      </w:r>
    </w:p>
    <w:p>
      <w:pPr>
        <w:spacing w:before="0" w:after="80" w:lineRule="auto" w:line="276"/>
      </w:pPr>
      <w:r>
        <w:rPr>
          <w:b/>
        </w:rPr>
        <w:t xml:space="preserve">摘要（ZH）: </w:t>
      </w:r>
      <w:r>
        <w:t>作者：Shubhayan Sarkar 设备无关 (DI) 认证允许仅基于观测到的统计数据来验证量子系统，而不需要对其内部结构进行假设。在完成各种量子态和测量的最强 DI 认证自测试的同时，自测试...[Phys.莱特牧师。 137, 030802] 2026 年 7 月 15 日星期三发布</w:t>
      </w:r>
    </w:p>
    <w:p>
      <w:pPr>
        <w:spacing w:before="0" w:after="200" w:lineRule="auto" w:line="276"/>
      </w:pPr>
      <w:r>
        <w:rPr>
          <w:b/>
        </w:rPr>
        <w:t xml:space="preserve">Abstract (EN): </w:t>
      </w:r>
      <w:r>
        <w:t>Author(s): Shubhayan SarkarDevice-independent (DI) certification allows the verification of quantum systems based solely on observed statistics, without assumptions about their internal structure. While self-testing, the strongest DI certification, of a wide range of quantum states and measurements is done, the self-testing o…[Phys. Rev. Lett. 137, 030802] Published Wed Jul 15, 2026</w:t>
      </w:r>
    </w:p>
    <w:p>
      <w:pPr>
        <w:spacing w:before="120" w:after="120"/>
      </w:pPr>
      <w:r>
        <w:rPr>
          <w:sz w:val="18"/>
        </w:rPr>
        <w:t>——————————————————————————————————————————————————————————————————————</w:t>
      </w:r>
    </w:p>
    <w:p>
      <w:pPr>
        <w:spacing w:before="160" w:after="40" w:line="240" w:lineRule="auto"/>
      </w:pPr>
      <w:r>
        <w:rPr>
          <w:b/>
        </w:rPr>
        <w:t xml:space="preserve">[494] </w:t>
      </w:r>
      <w:hyperlink r:id="rId1258">
        <w:r>
          <w:rPr>
            <w:color w:val="1155CC"/>
            <w:u w:val="single"/>
          </w:rPr>
          <w:t>截断光子</w:t>
        </w:r>
      </w:hyperlink>
    </w:p>
    <w:p>
      <w:pPr>
        <w:spacing w:before="0" w:after="80"/>
      </w:pPr>
      <w:r>
        <w:rPr>
          <w:i/>
          <w:sz w:val="20"/>
        </w:rPr>
        <w:t>EN: Truncated Photon</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59">
        <w:r>
          <w:rPr>
            <w:color w:val="1155CC"/>
            <w:u w:val="single"/>
          </w:rPr>
          <w:t>10.1103/94pm-hp34</w:t>
        </w:r>
      </w:hyperlink>
    </w:p>
    <w:p>
      <w:pPr>
        <w:spacing w:before="0" w:after="120"/>
      </w:pPr>
      <w:r>
        <w:rPr>
          <w:b/>
        </w:rPr>
        <w:t xml:space="preserve">Notes: </w:t>
      </w:r>
      <w:r>
        <w:t>abstract_source=rss_description</w:t>
      </w:r>
    </w:p>
    <w:p>
      <w:pPr>
        <w:spacing w:before="0" w:after="80" w:lineRule="auto" w:line="276"/>
      </w:pPr>
      <w:r>
        <w:rPr>
          <w:b/>
        </w:rPr>
        <w:t xml:space="preserve">摘要（ZH）: </w:t>
      </w:r>
      <w:r>
        <w:t>作者：Isak Cecil Onsager Rukan、Jan Gulla 和 Johannes Skaar 理论家说，在单个光子反射过程中移除镜子会产生无数光子的量子态。莱特牧师。 137, 033601] 2026 年 7 月 15 日星期三发布</w:t>
      </w:r>
    </w:p>
    <w:p>
      <w:pPr>
        <w:spacing w:before="0" w:after="200" w:lineRule="auto" w:line="276"/>
      </w:pPr>
      <w:r>
        <w:rPr>
          <w:b/>
        </w:rPr>
        <w:t xml:space="preserve">Abstract (EN): </w:t>
      </w:r>
      <w:r>
        <w:t>Author(s): Isak Cecil Onsager Rukan, Jan Gulla, and Johannes SkaarRemoving a mirror while a single photon is in the process of reflecting creates a quantum state of countless photons, theorists say.[Phys. Rev. Lett. 137, 033601] Published Wed Jul 15, 2026</w:t>
      </w:r>
    </w:p>
    <w:p>
      <w:pPr>
        <w:spacing w:before="120" w:after="120"/>
      </w:pPr>
      <w:r>
        <w:rPr>
          <w:sz w:val="18"/>
        </w:rPr>
        <w:t>——————————————————————————————————————————————————————————————————————</w:t>
      </w:r>
    </w:p>
    <w:p>
      <w:pPr>
        <w:spacing w:before="160" w:after="40" w:line="240" w:lineRule="auto"/>
      </w:pPr>
      <w:r>
        <w:rPr>
          <w:b/>
        </w:rPr>
        <w:t xml:space="preserve">[495] </w:t>
      </w:r>
      <w:hyperlink r:id="rId1260">
        <w:r>
          <w:rPr>
            <w:color w:val="1155CC"/>
            <w:u w:val="single"/>
          </w:rPr>
          <w:t>近球形核的核结构研究$^{95}\mathrm{Nb}$</w:t>
        </w:r>
      </w:hyperlink>
    </w:p>
    <w:p>
      <w:pPr>
        <w:spacing w:before="0" w:after="80"/>
      </w:pPr>
      <w:r>
        <w:rPr>
          <w:i/>
          <w:sz w:val="20"/>
        </w:rPr>
        <w:t>EN: Nuclear structure investigation of the near-spherical nucleus $^{95}\mathrm{Nb}$</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61">
        <w:r>
          <w:rPr>
            <w:color w:val="1155CC"/>
            <w:u w:val="single"/>
          </w:rPr>
          <w:t>10.1103/d87s-gnwn</w:t>
        </w:r>
      </w:hyperlink>
    </w:p>
    <w:p>
      <w:pPr>
        <w:spacing w:before="0" w:after="120"/>
      </w:pPr>
      <w:r>
        <w:rPr>
          <w:b/>
        </w:rPr>
        <w:t xml:space="preserve">Notes: </w:t>
      </w:r>
      <w:r>
        <w:t>abstract_source=rss_description</w:t>
      </w:r>
    </w:p>
    <w:p>
      <w:pPr>
        <w:spacing w:before="0" w:after="80" w:lineRule="auto" w:line="276"/>
      </w:pPr>
      <w:r>
        <w:rPr>
          <w:b/>
        </w:rPr>
        <w:t xml:space="preserve">摘要（ZH）: </w:t>
      </w:r>
      <w:r>
        <w:t>作者：洪锐等人利用重离子聚变蒸发反应$^{82}\mathrm{Se}$($^{18}\mathrm{O},p4n)^{95}\mathrm{Nb}$在82和88 MeV束流能量下研究了$^{95}\mathrm{Nb}$的激发态。使用 CsI 和 HPGe 阵列进行粒子 $γ\text{−}γ$ 和 $γ\text{−}γ$ 重合测量…[Phys。 Rev. C 114, 014318] 2026 年 7 月 15 日星期三发布</w:t>
      </w:r>
    </w:p>
    <w:p>
      <w:pPr>
        <w:spacing w:before="0" w:after="200" w:lineRule="auto" w:line="276"/>
      </w:pPr>
      <w:r>
        <w:rPr>
          <w:b/>
        </w:rPr>
        <w:t xml:space="preserve">Abstract (EN): </w:t>
      </w:r>
      <w:r>
        <w:t>Author(s): R. Hong (洪锐) et al.The excited states of $^{95}\mathrm{Nb}$ have been investigated using the heavy-ion fusion-evaporation reaction $^{82}\mathrm{Se}$($^{18}\mathrm{O},p4n)^{95}\mathrm{Nb}$ at the beam energies of 82 and 88 MeV. Particle-$γ\text{−}γ$ and $γ\text{−}γ$ coincidence measurements using CsI and HPGe arrays a…[Phys. Rev. C 114, 014318] Published Wed Jul 15, 2026</w:t>
      </w:r>
    </w:p>
    <w:p>
      <w:pPr>
        <w:spacing w:before="120" w:after="120"/>
      </w:pPr>
      <w:r>
        <w:rPr>
          <w:sz w:val="18"/>
        </w:rPr>
        <w:t>——————————————————————————————————————————————————————————————————————</w:t>
      </w:r>
    </w:p>
    <w:p>
      <w:pPr>
        <w:spacing w:before="160" w:after="40" w:line="240" w:lineRule="auto"/>
      </w:pPr>
      <w:r>
        <w:rPr>
          <w:b/>
        </w:rPr>
        <w:t xml:space="preserve">[496] </w:t>
      </w:r>
      <w:hyperlink r:id="rId1262">
        <w:r>
          <w:rPr>
            <w:color w:val="1155CC"/>
            <w:u w:val="single"/>
          </w:rPr>
          <w:t>Hartree-Fock-Bogoliubov 共振态的统一理论框架：复杂尺度 Jost 函数和 Autonne-Takagi 归一化的集成</w:t>
        </w:r>
      </w:hyperlink>
    </w:p>
    <w:p>
      <w:pPr>
        <w:spacing w:before="0" w:after="80"/>
      </w:pPr>
      <w:r>
        <w:rPr>
          <w:i/>
          <w:sz w:val="20"/>
        </w:rPr>
        <w:t>EN: Unified theoretical framework for Hartree-Fock-Bogoliubov resonant states: Integration of the complex-scaled Jost function and Autonne-Takagi normalization</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63">
        <w:r>
          <w:rPr>
            <w:color w:val="1155CC"/>
            <w:u w:val="single"/>
          </w:rPr>
          <w:t>10.1103/zmjz-42kp</w:t>
        </w:r>
      </w:hyperlink>
    </w:p>
    <w:p>
      <w:pPr>
        <w:spacing w:before="0" w:after="120"/>
      </w:pPr>
      <w:r>
        <w:rPr>
          <w:b/>
        </w:rPr>
        <w:t xml:space="preserve">Notes: </w:t>
      </w:r>
      <w:r>
        <w:t>abstract_source=rss_description</w:t>
      </w:r>
    </w:p>
    <w:p>
      <w:pPr>
        <w:spacing w:before="0" w:after="80" w:lineRule="auto" w:line="276"/>
      </w:pPr>
      <w:r>
        <w:rPr>
          <w:b/>
        </w:rPr>
        <w:t xml:space="preserve">摘要（ZH）: </w:t>
      </w:r>
      <w:r>
        <w:t>作者：Kazuhito Mizuyama 我通过将复尺度 Jost 函数方法与 Autonne-Takagi 分解相结合，开发了一个理论框架来描述 Hartree-Fock-Bogoliubov (HFB) 理论中的准粒子共振态。 HFB 完整性关系源自 Gr…[Phys. Rev. C 114, 014619] 2026 年 7 月 15 日星期三发布</w:t>
      </w:r>
    </w:p>
    <w:p>
      <w:pPr>
        <w:spacing w:before="0" w:after="200" w:lineRule="auto" w:line="276"/>
      </w:pPr>
      <w:r>
        <w:rPr>
          <w:b/>
        </w:rPr>
        <w:t xml:space="preserve">Abstract (EN): </w:t>
      </w:r>
      <w:r>
        <w:t>Author(s): Kazuhito MizuyamaI develop a theoretical framework to describe quasiparticle resonance states within the Hartree-Fock-Bogoliubov (HFB) theory by integrating the complex-scaled Jost function method with the Autonne-Takagi factorization. The HFB completeness relation is derived from the analytical properties of the Gr…[Phys. Rev. C 114, 014619] Published Wed Jul 15, 2026</w:t>
      </w:r>
    </w:p>
    <w:p>
      <w:pPr>
        <w:spacing w:before="120" w:after="120"/>
      </w:pPr>
      <w:r>
        <w:rPr>
          <w:sz w:val="18"/>
        </w:rPr>
        <w:t>——————————————————————————————————————————————————————————————————————</w:t>
      </w:r>
    </w:p>
    <w:p>
      <w:pPr>
        <w:spacing w:before="160" w:after="40" w:line="240" w:lineRule="auto"/>
      </w:pPr>
      <w:r>
        <w:rPr>
          <w:b/>
        </w:rPr>
        <w:t xml:space="preserve">[497] </w:t>
      </w:r>
      <w:hyperlink r:id="rId1264">
        <w:r>
          <w:rPr>
            <w:color w:val="1155CC"/>
            <w:u w:val="single"/>
          </w:rPr>
          <w:t>用于全局核子-核光学模型计算的双向神经网络</w:t>
        </w:r>
      </w:hyperlink>
    </w:p>
    <w:p>
      <w:pPr>
        <w:spacing w:before="0" w:after="80"/>
      </w:pPr>
      <w:r>
        <w:rPr>
          <w:i/>
          <w:sz w:val="20"/>
        </w:rPr>
        <w:t>EN: Bidirectional neural networks for global nucleon-nucleus optical model calculations</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65">
        <w:r>
          <w:rPr>
            <w:color w:val="1155CC"/>
            <w:u w:val="single"/>
          </w:rPr>
          <w:t>10.1103/qw54-df4l</w:t>
        </w:r>
      </w:hyperlink>
    </w:p>
    <w:p>
      <w:pPr>
        <w:spacing w:before="0" w:after="120"/>
      </w:pPr>
      <w:r>
        <w:rPr>
          <w:b/>
        </w:rPr>
        <w:t xml:space="preserve">Notes: </w:t>
      </w:r>
      <w:r>
        <w:t>abstract_source=rss_description</w:t>
      </w:r>
    </w:p>
    <w:p>
      <w:pPr>
        <w:spacing w:before="0" w:after="80" w:lineRule="auto" w:line="276"/>
      </w:pPr>
      <w:r>
        <w:rPr>
          <w:b/>
        </w:rPr>
        <w:t xml:space="preserve">摘要（ZH）: </w:t>
      </w:r>
      <w:r>
        <w:t>作者：金雷现代核数据评估不仅越来越需要精确的散射计算，还需要有效的不确定性量化和参数优化方法，这些任务受益于适用于基于梯度的算法的可微分求解器。我提出了一个神经网络仿真......[物理。 Rev. C 114, 014620] 2026 年 7 月 15 日星期三发布</w:t>
      </w:r>
    </w:p>
    <w:p>
      <w:pPr>
        <w:spacing w:before="0" w:after="200" w:lineRule="auto" w:line="276"/>
      </w:pPr>
      <w:r>
        <w:rPr>
          <w:b/>
        </w:rPr>
        <w:t xml:space="preserve">Abstract (EN): </w:t>
      </w:r>
      <w:r>
        <w:t>Author(s): Jin LeiModern nuclear data evaluation increasingly requires not only accurate scattering calculations but also efficient methods for uncertainty quantification and parameter optimization, tasks that benefit from differentiable solvers amenable to gradient-based algorithms. I present a neural network emulat…[Phys. Rev. C 114, 014620] Published Wed Jul 15, 2026</w:t>
      </w:r>
    </w:p>
    <w:p>
      <w:pPr>
        <w:spacing w:before="120" w:after="120"/>
      </w:pPr>
      <w:r>
        <w:rPr>
          <w:sz w:val="18"/>
        </w:rPr>
        <w:t>——————————————————————————————————————————————————————————————————————</w:t>
      </w:r>
    </w:p>
    <w:p>
      <w:pPr>
        <w:spacing w:before="160" w:after="40" w:line="240" w:lineRule="auto"/>
      </w:pPr>
      <w:r>
        <w:rPr>
          <w:b/>
        </w:rPr>
        <w:t xml:space="preserve">[498] </w:t>
      </w:r>
      <w:hyperlink r:id="rId1266">
        <w:r>
          <w:rPr>
            <w:color w:val="1155CC"/>
            <w:u w:val="single"/>
          </w:rPr>
          <w:t>来自 RHIC 顶能碰撞数据的 3D 贝叶斯校准的大型和小型系统的纵向动力学</w:t>
        </w:r>
      </w:hyperlink>
    </w:p>
    <w:p>
      <w:pPr>
        <w:spacing w:before="0" w:after="80"/>
      </w:pPr>
      <w:r>
        <w:rPr>
          <w:i/>
          <w:sz w:val="20"/>
        </w:rPr>
        <w:t>EN: Longitudinal dynamics of large and small systems from a 3D Bayesian calibration of RHIC top-energy collision data</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67">
        <w:r>
          <w:rPr>
            <w:color w:val="1155CC"/>
            <w:u w:val="single"/>
          </w:rPr>
          <w:t>10.1103/7kjw-vfgp</w:t>
        </w:r>
      </w:hyperlink>
    </w:p>
    <w:p>
      <w:pPr>
        <w:spacing w:before="0" w:after="120"/>
      </w:pPr>
      <w:r>
        <w:rPr>
          <w:b/>
        </w:rPr>
        <w:t xml:space="preserve">Notes: </w:t>
      </w:r>
      <w:r>
        <w:t>abstract_source=rss_description</w:t>
      </w:r>
    </w:p>
    <w:p>
      <w:pPr>
        <w:spacing w:before="0" w:after="80" w:lineRule="auto" w:line="276"/>
      </w:pPr>
      <w:r>
        <w:rPr>
          <w:b/>
        </w:rPr>
        <w:t xml:space="preserve">摘要（ZH）: </w:t>
      </w:r>
      <w:r>
        <w:t>作者：A. Mankolli 等人。 （JETSCAPE Collaboration）作者介绍了在提取重离子碰撞中形成的夸克-胶子等离子体的输运系数和其他参数方面的定性和定量进展。该手稿使用来自所有四个原始 RHIC 实验的大量数据集来校准基于相对论流体动力学的完整 3 维模拟的输入。作者考虑了一个大系统（Au+Au）以及几个小系统（d+Au、p+Au 和 3He+Au）。描述小型系统的成功为流体动力学范式提供了强有力的支持，也有助于解决此类系统中 STAR 和 PHENIX 测量之间长期存在的难题。 Rev. C 114, 014905] 2026 年 7 月 15 日星期三发布</w:t>
      </w:r>
    </w:p>
    <w:p>
      <w:pPr>
        <w:spacing w:before="0" w:after="200" w:lineRule="auto" w:line="276"/>
      </w:pPr>
      <w:r>
        <w:rPr>
          <w:b/>
        </w:rPr>
        <w:t xml:space="preserve">Abstract (EN): </w:t>
      </w:r>
      <w:r>
        <w:t>Author(s): A. Mankolli et al. (JETSCAPE Collaboration)The authors present both qualitative and quantitative advances in extracting transport coefficients and other parameters for the quark-gluon plasma formed in heavy ion collisions. The manuscript uses extensive data sets from all four of the original RHIC experiments to calibrate the input to a full 3-dimensional simulation based on relativistic hydrodynamics. The authors consider both a large system (Au+Au) as well as several small systems (d+Au, p+Au and 3He+Au). The success in describing small systems provides strong support for the hydrodynamic paradigm, and also helps resolve a long-standing puzzle between STAR and PHENIX measurements in such systems.[Phys. Rev. C 114, 014905] Published Wed Jul 15, 2026</w:t>
      </w:r>
    </w:p>
    <w:p>
      <w:pPr>
        <w:spacing w:before="120" w:after="120"/>
      </w:pPr>
      <w:r>
        <w:rPr>
          <w:sz w:val="18"/>
        </w:rPr>
        <w:t>——————————————————————————————————————————————————————————————————————</w:t>
      </w:r>
    </w:p>
    <w:p>
      <w:pPr>
        <w:spacing w:before="160" w:after="40" w:line="240" w:lineRule="auto"/>
      </w:pPr>
      <w:r>
        <w:rPr>
          <w:b/>
        </w:rPr>
        <w:t xml:space="preserve">[499] </w:t>
      </w:r>
      <w:hyperlink r:id="rId1268">
        <w:r>
          <w:rPr>
            <w:color w:val="1155CC"/>
            <w:u w:val="single"/>
          </w:rPr>
          <w:t>减少无中微子双 $β$ 衰变核基质元素的短程不确定性</w:t>
        </w:r>
      </w:hyperlink>
    </w:p>
    <w:p>
      <w:pPr>
        <w:spacing w:before="0" w:after="80"/>
      </w:pPr>
      <w:r>
        <w:rPr>
          <w:i/>
          <w:sz w:val="20"/>
        </w:rPr>
        <w:t>EN: Reducing the short-range uncertainty in the nuclear matrix elements for neutrinoless double-$β$ decay</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69">
        <w:r>
          <w:rPr>
            <w:color w:val="1155CC"/>
            <w:u w:val="single"/>
          </w:rPr>
          <w:t>10.1103/xd9n-4gwf</w:t>
        </w:r>
      </w:hyperlink>
    </w:p>
    <w:p>
      <w:pPr>
        <w:spacing w:before="0" w:after="120"/>
      </w:pPr>
      <w:r>
        <w:rPr>
          <w:b/>
        </w:rPr>
        <w:t xml:space="preserve">Notes: </w:t>
      </w:r>
      <w:r>
        <w:t>abstract_source=rss_description</w:t>
      </w:r>
    </w:p>
    <w:p>
      <w:pPr>
        <w:spacing w:before="0" w:after="80" w:lineRule="auto" w:line="276"/>
      </w:pPr>
      <w:r>
        <w:rPr>
          <w:b/>
        </w:rPr>
        <w:t xml:space="preserve">摘要（ZH）: </w:t>
      </w:r>
      <w:r>
        <w:t>作者：Y.K. Wang、Y. L. Yang 和 P. W. Zhu 与当前和下一代实验搜索相关的候选核中无中微子双 $β$ ($0νββ$) 衰变的核矩阵元素 (NME) 对于从实验半衰期测量中提取超标准模型参数至关重要。然而，最近...[物理。 Rev. C 114, L011301] 2026 年 7 月 15 日星期三发布</w:t>
      </w:r>
    </w:p>
    <w:p>
      <w:pPr>
        <w:spacing w:before="0" w:after="200" w:lineRule="auto" w:line="276"/>
      </w:pPr>
      <w:r>
        <w:rPr>
          <w:b/>
        </w:rPr>
        <w:t xml:space="preserve">Abstract (EN): </w:t>
      </w:r>
      <w:r>
        <w:t>Author(s): Y. K. Wang, Y. L. Yang, and P. W. ZhaoThe nuclear matrix elements (NMEs) of the neutrinoless double-$β$ ($0νββ$) decay in the candidate nuclei relevant to the current and next-generation experimental searches are crucial for extracting beyond-standard-model parameters from the experimental half-life measurements. However, the recently r…[Phys. Rev. C 114, L011301] Published Wed Jul 15, 2026</w:t>
      </w:r>
    </w:p>
    <w:p>
      <w:pPr>
        <w:spacing w:before="120" w:after="120"/>
      </w:pPr>
      <w:r>
        <w:rPr>
          <w:sz w:val="18"/>
        </w:rPr>
        <w:t>——————————————————————————————————————————————————————————————————————</w:t>
      </w:r>
    </w:p>
    <w:p>
      <w:pPr>
        <w:spacing w:before="160" w:after="40" w:line="240" w:lineRule="auto"/>
      </w:pPr>
      <w:r>
        <w:rPr>
          <w:b/>
        </w:rPr>
        <w:t xml:space="preserve">[500] </w:t>
      </w:r>
      <w:hyperlink r:id="rId1270">
        <w:r>
          <w:rPr>
            <w:color w:val="1155CC"/>
            <w:u w:val="single"/>
          </w:rPr>
          <w:t>新同位素 $^{231}\mathrm{Am}$</w:t>
        </w:r>
      </w:hyperlink>
    </w:p>
    <w:p>
      <w:pPr>
        <w:spacing w:before="0" w:after="80"/>
      </w:pPr>
      <w:r>
        <w:rPr>
          <w:i/>
          <w:sz w:val="20"/>
        </w:rPr>
        <w:t>EN: New isotope $^{231}\mathrm{Am}$</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71">
        <w:r>
          <w:rPr>
            <w:color w:val="1155CC"/>
            <w:u w:val="single"/>
          </w:rPr>
          <w:t>10.1103/2clj-zh3s</w:t>
        </w:r>
      </w:hyperlink>
    </w:p>
    <w:p>
      <w:pPr>
        <w:spacing w:before="0" w:after="120"/>
      </w:pPr>
      <w:r>
        <w:rPr>
          <w:b/>
        </w:rPr>
        <w:t xml:space="preserve">Notes: </w:t>
      </w:r>
      <w:r>
        <w:t>abstract_source=rss_description</w:t>
      </w:r>
    </w:p>
    <w:p>
      <w:pPr>
        <w:spacing w:before="0" w:after="80" w:lineRule="auto" w:line="276"/>
      </w:pPr>
      <w:r>
        <w:rPr>
          <w:b/>
        </w:rPr>
        <w:t xml:space="preserve">摘要（ZH）: </w:t>
      </w:r>
      <w:r>
        <w:t>作者：J. Khuyagbaatar、P. Mosat、J. Ballof、R. A. Cantemir、Ch. E. Düllmann、K. Hermainski、B. Kindler、J. Krier、N. Kurz、S. Löchner、B. Lommel、B. Schhausten、P. Wieczorek 和 A. Yakushev 目前的工作旨在通过 $4n$ 合成迄今为止未知的 $^{231}\mathrm{Am}$ 和已知的 $^{229}\mathrm{Am}$ 同位素$^{48}\mathrm{Ca}+^{187}\mathrm{Re}$ 和 $^{48}\mathrm{Ca}+^{185}\mathrm{Re}$ 聚变反应的蒸发通道分别。新同位素 $^{231}...[物理。牧师神父。 C 114, L011302] 2026 年 7 月 15 日星期三发布</w:t>
      </w:r>
    </w:p>
    <w:p>
      <w:pPr>
        <w:spacing w:before="0" w:after="200" w:lineRule="auto" w:line="276"/>
      </w:pPr>
      <w:r>
        <w:rPr>
          <w:b/>
        </w:rPr>
        <w:t xml:space="preserve">Abstract (EN): </w:t>
      </w:r>
      <w:r>
        <w:t>Author(s): J. Khuyagbaatar, P. Mosat, J. Ballof, R. A. Cantemir, Ch. E. Düllmann, K. Hermainski, B. Kindler, J. Krier, N. Kurz, S. Löchner, B. Lommel, B. Schausten, P. Wieczorek, and A. YakushevThe present work aimed at the synthesis of the hitherto unknown $^{231}\mathrm{Am}$ and known $^{229}\mathrm{Am}$ isotopes via the $4n$ evaporation channels of the fusion reactions of $^{48}\mathrm{Ca}+^{187}\mathrm{Re}$ and $^{48}\mathrm{Ca}+^{185}\mathrm{Re}$, respectively. The new isotope $^{231}…[Phys. Rev. C 114, L011302] Published Wed Jul 15, 2026</w:t>
      </w:r>
    </w:p>
    <w:p>
      <w:pPr>
        <w:spacing w:before="120" w:after="120"/>
      </w:pPr>
      <w:r>
        <w:rPr>
          <w:sz w:val="18"/>
        </w:rPr>
        <w:t>——————————————————————————————————————————————————————————————————————</w:t>
      </w:r>
    </w:p>
    <w:p>
      <w:pPr>
        <w:spacing w:before="160" w:after="40" w:line="240" w:lineRule="auto"/>
      </w:pPr>
      <w:r>
        <w:rPr>
          <w:b/>
        </w:rPr>
        <w:t xml:space="preserve">[501] </w:t>
      </w:r>
      <w:hyperlink r:id="rId1272">
        <w:r>
          <w:rPr>
            <w:color w:val="1155CC"/>
            <w:u w:val="single"/>
          </w:rPr>
          <w:t>开发过程中位置和相关信息的非局部解码</w:t>
        </w:r>
      </w:hyperlink>
    </w:p>
    <w:p>
      <w:pPr>
        <w:spacing w:before="0" w:after="80"/>
      </w:pPr>
      <w:r>
        <w:rPr>
          <w:i/>
          <w:sz w:val="20"/>
        </w:rPr>
        <w:t>EN: Nonlocal Decoding of Positional and Correlational Information during Development</w:t>
      </w:r>
    </w:p>
    <w:p>
      <w:pPr>
        <w:spacing w:before="0" w:after="120"/>
      </w:pPr>
      <w:r>
        <w:rPr>
          <w:b/>
        </w:rPr>
        <w:t xml:space="preserve">Source: </w:t>
      </w:r>
      <w:r>
        <w:t>Recent Articles in Phys. Rev. Lett.</w:t>
      </w:r>
      <w:r>
        <w:t xml:space="preserve">    </w:t>
      </w:r>
      <w:r>
        <w:rPr>
          <w:b/>
        </w:rPr>
        <w:t xml:space="preserve">Pub date: </w:t>
      </w:r>
      <w:r>
        <w:t>2026-07-15 10:00:00+00:00</w:t>
      </w:r>
      <w:r>
        <w:t xml:space="preserve">    </w:t>
      </w:r>
      <w:r>
        <w:rPr>
          <w:b/>
        </w:rPr>
        <w:t xml:space="preserve">DOI: </w:t>
      </w:r>
      <w:hyperlink r:id="rId1273">
        <w:r>
          <w:rPr>
            <w:color w:val="1155CC"/>
            <w:u w:val="single"/>
          </w:rPr>
          <w:t>10.1103/mbjk-v4ym</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 Chen Yi Zhang、Pablo Mateu Hoyos、David Brückner 和 Gašper Tkačik 在许多发育系统中，细胞通过读出形态发生素浓度场分化成组织，这一过程从根本上受到噪声的限制。通过非本地信息（例如通过细胞间通信）可以在多大程度上提高该过程的精度？使用贝叶斯最优框架......[物理。莱特牧师。 137, 038401] 2026 年 7 月 15 日星期三发布</w:t>
      </w:r>
    </w:p>
    <w:p>
      <w:pPr>
        <w:spacing w:before="0" w:after="200" w:lineRule="auto" w:line="276"/>
      </w:pPr>
      <w:r>
        <w:rPr>
          <w:b/>
        </w:rPr>
        <w:t xml:space="preserve">Abstract (EN): </w:t>
      </w:r>
      <w:r>
        <w:t>Author(s): Alex Chen Yi Zhang, Pablo Mateu Hoyos, David Brückner, and Gašper TkačikIn many developmental systems, cells differentiate into a tissue by reading out morphogen concentration fields, a process fundamentally limited by noise. How much can the precision of this process be improved by nonlocal information, e.g., via cell-cell communication? Using a Bayes-optimal framework…[Phys. Rev. Lett. 137, 038401] Published Wed Jul 15, 2026</w:t>
      </w:r>
    </w:p>
    <w:p>
      <w:pPr>
        <w:spacing w:before="120" w:after="120"/>
      </w:pPr>
      <w:r>
        <w:rPr>
          <w:sz w:val="18"/>
        </w:rPr>
        <w:t>——————————————————————————————————————————————————————————————————————</w:t>
      </w:r>
    </w:p>
    <w:p>
      <w:pPr>
        <w:spacing w:before="160" w:after="40" w:line="240" w:lineRule="auto"/>
      </w:pPr>
      <w:r>
        <w:rPr>
          <w:b/>
        </w:rPr>
        <w:t xml:space="preserve">[502] </w:t>
      </w:r>
      <w:hyperlink r:id="rId1274">
        <w:r>
          <w:rPr>
            <w:color w:val="1155CC"/>
            <w:u w:val="single"/>
          </w:rPr>
          <w:t>$α$ 聚类的量子稳定性准则：具有配对和自旋轨道相互作用的广义谐振子方法</w:t>
        </w:r>
      </w:hyperlink>
    </w:p>
    <w:p>
      <w:pPr>
        <w:spacing w:before="0" w:after="80"/>
      </w:pPr>
      <w:r>
        <w:rPr>
          <w:i/>
          <w:sz w:val="20"/>
        </w:rPr>
        <w:t>EN: Quantum stability criterion for $α$-clustering: A generalized harmonic oscillator approach with pairing and spin-orbit interactions</w:t>
      </w:r>
    </w:p>
    <w:p>
      <w:pPr>
        <w:spacing w:before="0" w:after="120"/>
      </w:pPr>
      <w:r>
        <w:rPr>
          <w:b/>
        </w:rPr>
        <w:t xml:space="preserve">Source: </w:t>
      </w:r>
      <w:r>
        <w:t>Recent Articles in Phys. Rev. C</w:t>
      </w:r>
      <w:r>
        <w:t xml:space="preserve">    </w:t>
      </w:r>
      <w:r>
        <w:rPr>
          <w:b/>
        </w:rPr>
        <w:t xml:space="preserve">Pub date: </w:t>
      </w:r>
      <w:r>
        <w:t>2026-07-15 10:00:00+00:00</w:t>
      </w:r>
      <w:r>
        <w:t xml:space="preserve">    </w:t>
      </w:r>
      <w:r>
        <w:rPr>
          <w:b/>
        </w:rPr>
        <w:t xml:space="preserve">DOI: </w:t>
      </w:r>
      <w:hyperlink r:id="rId1275">
        <w:r>
          <w:rPr>
            <w:color w:val="1155CC"/>
            <w:u w:val="single"/>
          </w:rPr>
          <w:t>10.1103/9z34-b378</w:t>
        </w:r>
      </w:hyperlink>
    </w:p>
    <w:p>
      <w:pPr>
        <w:spacing w:before="0" w:after="120"/>
      </w:pPr>
      <w:r>
        <w:rPr>
          <w:b/>
        </w:rPr>
        <w:t xml:space="preserve">Notes: </w:t>
      </w:r>
      <w:r>
        <w:t>abstract_source=rss_description</w:t>
      </w:r>
    </w:p>
    <w:p>
      <w:pPr>
        <w:spacing w:before="0" w:after="80" w:lineRule="auto" w:line="276"/>
      </w:pPr>
      <w:r>
        <w:rPr>
          <w:b/>
        </w:rPr>
        <w:t xml:space="preserve">摘要（ZH）: </w:t>
      </w:r>
      <w:r>
        <w:t>作者：Mohamed Douici、Rima Mebrek 和 Rachid Fermous 我们提出了一个理论框架，通过结合示意性核相互作用的变形谐振子方法来理解偶偶自共轭 ($N=Z$) 原子核中的 α 簇。这项工作介绍了传统单粒子间隙分析的三个增强功能：(1) ge…[Phys. Rev. C 114, 014317] 2026 年 7 月 15 日星期三发布</w:t>
      </w:r>
    </w:p>
    <w:p>
      <w:pPr>
        <w:spacing w:before="0" w:after="200" w:lineRule="auto" w:line="276"/>
      </w:pPr>
      <w:r>
        <w:rPr>
          <w:b/>
        </w:rPr>
        <w:t xml:space="preserve">Abstract (EN): </w:t>
      </w:r>
      <w:r>
        <w:t>Author(s): Mohamed Douici, Rima Mebrek, and Rachid FermousWe present a theoretical framework for understanding α-clustering in even-even self-conjugate ($N=Z$) nuclei through a deformed harmonic oscillator approach that incorporates schematic nuclear interactions. The work introduces three enhancements to conventional single-particle gap analyses: (1) a ge…[Phys. Rev. C 114, 014317] Published Wed Jul 15, 2026</w:t>
      </w:r>
    </w:p>
    <w:p>
      <w:pPr>
        <w:spacing w:before="120" w:after="120"/>
      </w:pPr>
      <w:r>
        <w:rPr>
          <w:sz w:val="18"/>
        </w:rPr>
        <w:t>——————————————————————————————————————————————————————————————————————</w:t>
      </w:r>
    </w:p>
    <w:p>
      <w:pPr>
        <w:spacing w:before="160" w:after="40" w:line="240" w:lineRule="auto"/>
      </w:pPr>
      <w:r>
        <w:rPr>
          <w:b/>
        </w:rPr>
        <w:t xml:space="preserve">[503] </w:t>
      </w:r>
      <w:hyperlink r:id="rId1276">
        <w:r>
          <w:rPr>
            <w:color w:val="1155CC"/>
            <w:u w:val="single"/>
          </w:rPr>
          <w:t>醌型 J-聚集的二茚二硒吩在超窄带有机光电检测中表现出高响应度</w:t>
        </w:r>
      </w:hyperlink>
    </w:p>
    <w:p>
      <w:pPr>
        <w:spacing w:before="0" w:after="80"/>
      </w:pPr>
      <w:r>
        <w:rPr>
          <w:i/>
          <w:sz w:val="20"/>
        </w:rPr>
        <w:t>EN: A Quinoidal J‐Aggregated Indacendiselenophene Exhibiting High Responsivity in Ultra‐Narrowband Organic Photodetection</w:t>
      </w:r>
    </w:p>
    <w:p>
      <w:pPr>
        <w:spacing w:before="0" w:after="120"/>
      </w:pPr>
      <w:r>
        <w:rPr>
          <w:b/>
        </w:rPr>
        <w:t xml:space="preserve">Source: </w:t>
      </w:r>
      <w:r>
        <w:t>Wiley: Advanced Materials: Table of Contents</w:t>
      </w:r>
      <w:r>
        <w:t xml:space="preserve">    </w:t>
      </w:r>
      <w:r>
        <w:rPr>
          <w:b/>
        </w:rPr>
        <w:t xml:space="preserve">Pub date: </w:t>
      </w:r>
      <w:r>
        <w:t>2026-07-15 10:57:45+00:00</w:t>
      </w:r>
      <w:r>
        <w:t xml:space="preserve">    </w:t>
      </w:r>
      <w:r>
        <w:rPr>
          <w:b/>
        </w:rPr>
        <w:t xml:space="preserve">DOI: </w:t>
      </w:r>
      <w:hyperlink r:id="rId1277">
        <w:r>
          <w:rPr>
            <w:color w:val="1155CC"/>
            <w:u w:val="single"/>
          </w:rPr>
          <w:t>10.1002/adma.202521122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在近红外（NIR）区域表现出窄带吸收的有机半导体在光电探测器应用中受到高度追捧，但实现这种行为本质上仍然是一个相当大的挑战。我们报告了一种新型稠合醌型四氰并并二烯二硒吩材料 (QIDSe-C16)，它形成固态 J-聚集体，产生非常尖锐的吸收带，半峰全宽 (FWHM) 为 27 nm，中心位于 772 nm，与硫类似物 (QIDT-C16) 非常匹配。尽管表现出相似的光学和电化学特性，但硒取代增强了载流子迁移率并显着提高了器件性能。基于QIDSe-C16的优化有机光电晶体管（OPT）显示双极性传输和优异的光响应性，达到289 A W</w:t>
      </w:r>
      <w:r>
        <w:t xml:space="preserve"> </w:t>
      </w:r>
      <w:r>
        <w:t>−1</w:t>
      </w:r>
      <w:r>
        <w:t xml:space="preserve"> </w:t>
      </w:r>
      <w:r>
        <w:t>在 780 nm 照明下，这比基于 QIDT-C16 的设备高一个数量级，并且是迄今为止报告的最佳值之一。我们的研究结果表明，通过杂原子工程控制固态聚集为窄带、无滤光片的近红外光电探测器提供了一条有效的途径，该探测器将光谱选择性与高电荷传输相结合。</w:t>
      </w:r>
    </w:p>
    <w:p>
      <w:pPr>
        <w:spacing w:before="0" w:after="200" w:lineRule="auto" w:line="276"/>
      </w:pPr>
      <w:r>
        <w:rPr>
          <w:b/>
        </w:rPr>
        <w:t xml:space="preserve">Abstract (EN): </w:t>
      </w:r>
      <w:r>
        <w:t>Organic semiconductors that exhibit narrowband absorption in the near‐infrared (NIR) region are highly sought after for photodetector applications, yet achieving such behavior intrinsically remains a considerable challenge. We report a novel fused quinoidal tetracyanoindacenodiselenophene material (QIDSe‐C16) that forms solid‐state J‐aggregates producing a remarkably sharp absorption band with a full width at half‐maximum (FWHM) of 27 nm centred at 772 nm, closely matching that of its sulfur analogue (QIDT‐C16). Despite exhibiting similar optical and electrochemical characteristics, selenium substitution enhances charge‐carrier mobility and significantly improves device performance. Optimized organic phototransistors (OPTs) based on QIDSe‐C16 display ambipolar transport and excellent photoresponsivity, reaching 289 A W</w:t>
      </w:r>
      <w:r>
        <w:t xml:space="preserve"> </w:t>
      </w:r>
      <w:r>
        <w:t>−1</w:t>
      </w:r>
      <w:r>
        <w:t xml:space="preserve"> </w:t>
      </w:r>
      <w:r>
        <w:t>at 780 nm illumination, which is an order of magnitude higher than QIDT‐C16‐based devices and among the best so‐far reported values. Our findings demonstrate that controlling solid‐state aggregation through heteroatom engineering offers an effective route to narrowband, filter‐free NIR photodetectors that combine spectral selectivity with high charge transport.</w:t>
      </w:r>
    </w:p>
    <w:p>
      <w:pPr>
        <w:spacing w:before="120" w:after="120"/>
      </w:pPr>
      <w:r>
        <w:rPr>
          <w:sz w:val="18"/>
        </w:rPr>
        <w:t>——————————————————————————————————————————————————————————————————————</w:t>
      </w:r>
    </w:p>
    <w:p>
      <w:pPr>
        <w:spacing w:before="160" w:after="40" w:line="240" w:lineRule="auto"/>
      </w:pPr>
      <w:r>
        <w:rPr>
          <w:b/>
        </w:rPr>
        <w:t xml:space="preserve">[504] </w:t>
      </w:r>
      <w:hyperlink r:id="rId1278">
        <w:r>
          <w:rPr>
            <w:color w:val="1155CC"/>
            <w:u w:val="single"/>
          </w:rPr>
          <w:t>用于近红外光子上转换和单探测器成像的谐振腔增强分子间电荷转移吸收</w:t>
        </w:r>
      </w:hyperlink>
    </w:p>
    <w:p>
      <w:pPr>
        <w:spacing w:before="0" w:after="80"/>
      </w:pPr>
      <w:r>
        <w:rPr>
          <w:i/>
          <w:sz w:val="20"/>
        </w:rPr>
        <w:t>EN: Resonant Cavity‐Enhanced Intermolecular Charge‐Transfer Absorption for Near‐Infrared Photon Upconversion and Single‐Detector Imaging</w:t>
      </w:r>
    </w:p>
    <w:p>
      <w:pPr>
        <w:spacing w:before="0" w:after="120"/>
      </w:pPr>
      <w:r>
        <w:rPr>
          <w:b/>
        </w:rPr>
        <w:t xml:space="preserve">Source: </w:t>
      </w:r>
      <w:r>
        <w:t>Wiley: Advanced Materials: Table of Contents</w:t>
      </w:r>
      <w:r>
        <w:t xml:space="preserve">    </w:t>
      </w:r>
      <w:r>
        <w:rPr>
          <w:b/>
        </w:rPr>
        <w:t xml:space="preserve">Pub date: </w:t>
      </w:r>
      <w:r>
        <w:t>2026-07-15 11:00:45+00:00</w:t>
      </w:r>
      <w:r>
        <w:t xml:space="preserve">    </w:t>
      </w:r>
      <w:r>
        <w:rPr>
          <w:b/>
        </w:rPr>
        <w:t xml:space="preserve">DOI: </w:t>
      </w:r>
      <w:hyperlink r:id="rId1279">
        <w:r>
          <w:rPr>
            <w:color w:val="1155CC"/>
            <w:u w:val="single"/>
          </w:rPr>
          <w:t>10.1002/adma.74128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半导体为简便且可扩展的光电集成提供了引人注目的优势，但其有限的吸收范围限制了它们在近红外（NIR）光子技术中的适用性。在这里，我们报告了一种有机上转换器件（OUD），它有效地利用本质上较弱但光谱范围很广的电荷转移（CT）吸收将近红外辐射转换为可见光。战略性地设计了谐振光学微腔，以选择性地放大 CT 吸收带，并在有机光电探测器 (PD) 和有机发光二极管之间建立光学隔离，从而提高光耦合效率，同时抑制重吸收损失。该器件在 980 nm NIR 照明下实现了 16.9% 的令人印象深刻的 P-P 转换效率，尽管其构成材料在该波长下缺乏固有吸收。此外，通过简单地调整腔体厚度，首次成功开发出在1550 nm检测波长下工作的高效OUD。此外，使用配备点阵连接电极（DMCE）的大面积设备演示了单探测器近红外成像，无需复杂的读出集成电路（ROIC）来扫描信号。这项工作揭示了分子间 CT 吸收作为近红外传感、上转换和成像应用的多功能平台的潜力。</w:t>
      </w:r>
    </w:p>
    <w:p>
      <w:pPr>
        <w:spacing w:before="0" w:after="200" w:lineRule="auto" w:line="276"/>
      </w:pPr>
      <w:r>
        <w:rPr>
          <w:b/>
        </w:rPr>
        <w:t xml:space="preserve">Abstract (EN): </w:t>
      </w:r>
      <w:r>
        <w:t>Organic semiconductors offer compelling advantages for facile and scalable optoelectronic integration, yet their limited absorption range constrains their applicability in near‐infrared (NIR) photonic technologies. Here, we report an organic upconversion device (OUD) that effectively harnesses the inherently weak but spectrally broad charge‐transfer (CT) absorption to convert NIR radiation into visible light. A resonant optical microcavity is strategically engineered to selectively amplify the CT absorption band and to establish optical isolation between the organic photodetector (PD) and the organic light‐emitting diode, thereby enhancing light‐coupling efficiency while suppressing reabsorption losses. The device achieves an impressive P–P conversion efficiency of 16.9% under 980 nm NIR illumination, despite the constituent materials lacking intrinsic absorption at this wavelength. Moreover, by simply adjusting the cavity thickness, an efficient OUD operating at a detection wavelength of 1550 nm is successfully developed for the first time. In addition, single‐detector NIR imaging is demonstrated using large‐area devices equipped with dot‐matrix connecting electrodes (DMCEs) without needing complex readout integrated circuits (ROICs) to scan signals. This work unveils the potential of intermolecular CT absorption as a versatile platform for applications in NIR sensing, upconversion, and imaging.</w:t>
      </w:r>
    </w:p>
    <w:p>
      <w:pPr>
        <w:spacing w:before="120" w:after="120"/>
      </w:pPr>
      <w:r>
        <w:rPr>
          <w:sz w:val="18"/>
        </w:rPr>
        <w:t>——————————————————————————————————————————————————————————————————————</w:t>
      </w:r>
    </w:p>
    <w:p>
      <w:pPr>
        <w:spacing w:before="160" w:after="40" w:line="240" w:lineRule="auto"/>
      </w:pPr>
      <w:r>
        <w:rPr>
          <w:b/>
        </w:rPr>
        <w:t xml:space="preserve">[505] </w:t>
      </w:r>
      <w:hyperlink r:id="rId1280">
        <w:r>
          <w:rPr>
            <w:color w:val="1155CC"/>
            <w:u w:val="single"/>
          </w:rPr>
          <w:t>四重N-混淆[32]八菲林双金属络合物氧化卟啉变态为双联10-氧杂环戊烯金属络合物二聚体</w:t>
        </w:r>
      </w:hyperlink>
    </w:p>
    <w:p>
      <w:pPr>
        <w:spacing w:before="0" w:after="80"/>
      </w:pPr>
      <w:r>
        <w:rPr>
          <w:i/>
          <w:sz w:val="20"/>
        </w:rPr>
        <w:t>EN: Oxidative Porphyrinoid Metamorphosis of Fourfold N‐Confused [32]Octaphyrin Bis‐Metal Complex to Doubly Linked 10‐Oxacorrole Metal Complex Dimer</w:t>
      </w:r>
    </w:p>
    <w:p>
      <w:pPr>
        <w:spacing w:before="0" w:after="120"/>
      </w:pPr>
      <w:r>
        <w:rPr>
          <w:b/>
        </w:rPr>
        <w:t xml:space="preserve">Source: </w:t>
      </w:r>
      <w:r>
        <w:t>Wiley: Angewandte Chemie International Edition: Table of Contents</w:t>
      </w:r>
      <w:r>
        <w:t xml:space="preserve">    </w:t>
      </w:r>
      <w:r>
        <w:rPr>
          <w:b/>
        </w:rPr>
        <w:t xml:space="preserve">Pub date: </w:t>
      </w:r>
      <w:r>
        <w:t>2026-07-15 11:41:19+00:00</w:t>
      </w:r>
      <w:r>
        <w:t xml:space="preserve">    </w:t>
      </w:r>
      <w:r>
        <w:rPr>
          <w:b/>
        </w:rPr>
        <w:t xml:space="preserve">DOI: </w:t>
      </w:r>
      <w:hyperlink r:id="rId1281">
        <w:r>
          <w:rPr>
            <w:color w:val="1155CC"/>
            <w:u w:val="single"/>
          </w:rPr>
          <w:t>10.1002/anie.4104555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我们报告了一种氧化骨架编辑策略，可将抗芳香族扩展卟啉转化为结构和电子上不同的卟啉类化合物。镍</w:t>
      </w:r>
      <w:r>
        <w:rPr>
          <w:vertAlign w:val="subscript"/>
        </w:rPr>
        <w:t>0</w:t>
      </w:r>
      <w:r>
        <w:t>‐介导的环化</w:t>
      </w:r>
      <w:r>
        <w:t xml:space="preserve"> </w:t>
      </w:r>
      <w:r>
        <w:t>β,β′</w:t>
      </w:r>
      <w:r>
        <w:t xml:space="preserve"> </w:t>
      </w:r>
      <w:r>
        <w:t>‐二溴四吡啉金属配合物提供了四重氮混淆（NC）[32]八菲林双金属配合物，具有整体反芳香性。随后在内部进行位点选择性氧化</w:t>
      </w:r>
      <w:r>
        <w:t xml:space="preserve"> </w:t>
      </w:r>
      <w:r>
        <w:t>α</w:t>
      </w:r>
      <w:r>
        <w:t xml:space="preserve"> </w:t>
      </w:r>
      <w:r>
        <w:t>‐位置触发前所未有的卟啉变态，通过氧掺入和骨骼重组提供双连接的 10-氧杂环金属络合物二聚体。值得注意的是，这些产品显示出双电子结构，其中局部芳香族 18π 10-氧杂咯亚基嵌入全局反芳香族 32π 电路中，而二酮-八菲林金属络合物产品则显示全局芳香族 30π 系统。这种转变表明，NC 框架的氧化功能化可以精确控制分子拓扑和 π 电子结构。这些发现确立了氧化骨架编辑作为诱导卟啉类变态和获得以前无法达到的芳香模式的一般策略。</w:t>
      </w:r>
    </w:p>
    <w:p>
      <w:pPr>
        <w:spacing w:before="0" w:after="200" w:lineRule="auto" w:line="276"/>
      </w:pPr>
      <w:r>
        <w:rPr>
          <w:b/>
        </w:rPr>
        <w:t xml:space="preserve">Abstract (EN): </w:t>
      </w:r>
      <w:r>
        <w:t>We report an oxidative skeletal editing strategy that converts antiaromatic expanded porphyrins into structurally and electronically distinct porphyrinoids. Ni</w:t>
      </w:r>
      <w:r>
        <w:rPr>
          <w:vertAlign w:val="subscript"/>
        </w:rPr>
        <w:t>0</w:t>
      </w:r>
      <w:r>
        <w:t>‐mediated cyclization of</w:t>
      </w:r>
      <w:r>
        <w:t xml:space="preserve"> </w:t>
      </w:r>
      <w:r>
        <w:t>β,β′</w:t>
      </w:r>
      <w:r>
        <w:t xml:space="preserve"> </w:t>
      </w:r>
      <w:r>
        <w:t>‐dibromotetrapyrrin metal complexes furnishes fourfold N‐confused (NC) [32]octaphyrin bis‐metal complexes that exhibit global antiaromaticity. Subsequent site‐selective oxidation at the inner</w:t>
      </w:r>
      <w:r>
        <w:t xml:space="preserve"> </w:t>
      </w:r>
      <w:r>
        <w:t>α</w:t>
      </w:r>
      <w:r>
        <w:t xml:space="preserve"> </w:t>
      </w:r>
      <w:r>
        <w:t>‐positions triggers an unprecedented porphyrinoid metamorphosis, affording doubly linked 10‐oxacorrole metal complex dimers via oxygen incorporation and skeletal reorganization. Notably, these products display dual electronic structures in which locally aromatic 18π 10‐oxacorrole subunits are embedded within a globally antiaromatic 32π circuit, whereas diketo‐octaphyrin metal complex products show globally aromatic 30π systems. This transformation demonstrates that oxidative functionalization of NC frameworks enables precise control over both molecular topology and π‐electronic structure. These findings establish oxidative skeletal editing as a general strategy for inducing porphyrinoid metamorphosis and accessing previously unattainable aromaticity patterns.</w:t>
      </w:r>
    </w:p>
    <w:p>
      <w:pPr>
        <w:spacing w:before="120" w:after="120"/>
      </w:pPr>
      <w:r>
        <w:rPr>
          <w:sz w:val="18"/>
        </w:rPr>
        <w:t>——————————————————————————————————————————————————————————————————————</w:t>
      </w:r>
    </w:p>
    <w:p>
      <w:pPr>
        <w:spacing w:before="160" w:after="40" w:line="240" w:lineRule="auto"/>
      </w:pPr>
      <w:r>
        <w:rPr>
          <w:b/>
        </w:rPr>
        <w:t xml:space="preserve">[506] </w:t>
      </w:r>
      <w:hyperlink r:id="rId1282">
        <w:r>
          <w:rPr>
            <w:color w:val="1155CC"/>
            <w:u w:val="single"/>
          </w:rPr>
          <w:t>三重微环境解码实现逻辑解锁的精确光免疫治疗</w:t>
        </w:r>
      </w:hyperlink>
    </w:p>
    <w:p>
      <w:pPr>
        <w:spacing w:before="0" w:after="80"/>
      </w:pPr>
      <w:r>
        <w:rPr>
          <w:i/>
          <w:sz w:val="20"/>
        </w:rPr>
        <w:t>EN: Triple‐Microenvironment Decoding Enables Logic‐Unlocked Precision Photoimmunotherapy</w:t>
      </w:r>
    </w:p>
    <w:p>
      <w:pPr>
        <w:spacing w:before="0" w:after="120"/>
      </w:pPr>
      <w:r>
        <w:rPr>
          <w:b/>
        </w:rPr>
        <w:t xml:space="preserve">Source: </w:t>
      </w:r>
      <w:r>
        <w:t>Wiley: Angewandte Chemie International Edition: Table of Contents</w:t>
      </w:r>
      <w:r>
        <w:t xml:space="preserve">    </w:t>
      </w:r>
      <w:r>
        <w:rPr>
          <w:b/>
        </w:rPr>
        <w:t xml:space="preserve">Pub date: </w:t>
      </w:r>
      <w:r>
        <w:t>2026-07-15 11:45:10+00:00</w:t>
      </w:r>
      <w:r>
        <w:t xml:space="preserve">    </w:t>
      </w:r>
      <w:r>
        <w:rPr>
          <w:b/>
        </w:rPr>
        <w:t xml:space="preserve">DOI: </w:t>
      </w:r>
      <w:hyperlink r:id="rId1283">
        <w:r>
          <w:rPr>
            <w:color w:val="1155CC"/>
            <w:u w:val="single"/>
          </w:rPr>
          <w:t>10.1002/anie.3280921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肿瘤特异性焦亡和铁死亡的激活为癌症免疫治疗带来了巨大的希望，但目前能够进行这种双重诱导的光敏剂（PS）主要以始终开启的方式运行，并且依赖于可见光激发，限制了精度和组织渗透。在此，我们报道</w:t>
      </w:r>
      <w:r>
        <w:t xml:space="preserve"> </w:t>
      </w:r>
      <w:r>
        <w:t>RPIB-半胱氨酸</w:t>
      </w:r>
      <w:r>
        <w:t xml:space="preserve"> </w:t>
      </w:r>
      <w:r>
        <w:t>，一种自组装的三重锁定近红外（NIR）I型PS，在三阴性乳腺癌（TNBC）的线粒体微环境中激活之前一直保持光不活性。该分子经过智能设计，只有在高粘度、碱性 pH 值和高半胱氨酸 (Cys) 水平（癌症线粒体的三个标志）的协同刺激下才能恢复其光活性。同时解锁可实现近红外荧光/光声 (PA) 成像和高效的 I 型活性氧 (ROS) 生成。由此产生的光诱导氧化应激通过谷胱甘肽耗尽和谷胱甘肽过氧化物酶 4 (GPX4) 失活触发铁死亡，同时通过gasdermin D (GSDMD) 裂解诱导细胞焦亡。这种空间控制的双重免疫原性细胞死亡 (ICD) 将冷 TNBC 转化为发炎肿瘤，代表了一种多重反应可激活 I 型 PS，独特地将多模态成像与同时诱导细胞焦亡和铁死亡相结合，以实现精确的光免疫治疗。</w:t>
      </w:r>
    </w:p>
    <w:p>
      <w:pPr>
        <w:spacing w:before="0" w:after="200" w:lineRule="auto" w:line="276"/>
      </w:pPr>
      <w:r>
        <w:rPr>
          <w:b/>
        </w:rPr>
        <w:t xml:space="preserve">Abstract (EN): </w:t>
      </w:r>
      <w:r>
        <w:t>Achieving tumor‐specific activation of pyroptosis and ferroptosis holds great promise for cancer immunotherapy, yet current photosensitizers (PSs) capable of such dual induction predominantly operate in an always‐on manner and rely on visible‐light excitation, limiting both precision and tissue penetration. Here, we report</w:t>
      </w:r>
      <w:r>
        <w:t xml:space="preserve"> </w:t>
      </w:r>
      <w:r>
        <w:t>RPIB‐Cys</w:t>
      </w:r>
      <w:r>
        <w:t xml:space="preserve"> </w:t>
      </w:r>
      <w:r>
        <w:t>, a self‐assembled triple‐locked near‐infrared (NIR) type‐I PS that remains photoinactive until activated in the mitochondrial microenvironment of triple‐negative breast cancer (TNBC). The molecule is intelligently engineered such that its photoactivity is restored only upon cooperative stimulation by elevated viscosity, alkaline pH, and high cysteine (Cys) levels, three hallmarks of cancer mitochondria. Unlocking simultaneously enables NIR fluorescence/photoacoustic (PA) imaging and efficient type‐I reactive oxygen species (ROS) generation. The resulting photoinduced oxidative stress triggers ferroptosis via glutathione depletion and glutathione peroxidase 4 (GPX4) inactivation, while concurrently inducing pyroptosis through gasdermin D (GSDMD) cleavage. This spatially controlled dual immunogenic cell death (ICD) converts cold TNBC into inflamed tumors, representing a multiple‑response activatable type‑I PS that uniquely integrates multimodal imaging with the concurrent induction of pyroptosis and ferroptosis for precision photoimmunotherapy.</w:t>
      </w:r>
    </w:p>
    <w:p>
      <w:pPr>
        <w:spacing w:before="120" w:after="120"/>
      </w:pPr>
      <w:r>
        <w:rPr>
          <w:sz w:val="18"/>
        </w:rPr>
        <w:t>——————————————————————————————————————————————————————————————————————</w:t>
      </w:r>
    </w:p>
    <w:p>
      <w:pPr>
        <w:spacing w:before="160" w:after="40" w:line="240" w:lineRule="auto"/>
      </w:pPr>
      <w:r>
        <w:rPr>
          <w:b/>
        </w:rPr>
        <w:t xml:space="preserve">[507] </w:t>
      </w:r>
      <w:hyperlink r:id="rId1284">
        <w:r>
          <w:rPr>
            <w:color w:val="1155CC"/>
            <w:u w:val="single"/>
          </w:rPr>
          <w:t>“碱锤策略”打破酸性和基质屏障，诱导碱中毒并增强胰腺癌的免疫治疗</w:t>
        </w:r>
      </w:hyperlink>
    </w:p>
    <w:p>
      <w:pPr>
        <w:spacing w:before="0" w:after="80"/>
      </w:pPr>
      <w:r>
        <w:rPr>
          <w:i/>
          <w:sz w:val="20"/>
        </w:rPr>
        <w:t>EN: “Alkaline‐Hammer Strategy” Breaks Acidic and Stromal Barriers to Induce Alkaliptosis and Enhance Immunotherapy in Pancreatic Cancer</w:t>
      </w:r>
    </w:p>
    <w:p>
      <w:pPr>
        <w:spacing w:before="0" w:after="120"/>
      </w:pPr>
      <w:r>
        <w:rPr>
          <w:b/>
        </w:rPr>
        <w:t xml:space="preserve">Source: </w:t>
      </w:r>
      <w:r>
        <w:t>Wiley: Angewandte Chemie International Edition: Table of Contents</w:t>
      </w:r>
      <w:r>
        <w:t xml:space="preserve">    </w:t>
      </w:r>
      <w:r>
        <w:rPr>
          <w:b/>
        </w:rPr>
        <w:t xml:space="preserve">Pub date: </w:t>
      </w:r>
      <w:r>
        <w:t>2026-07-15 11:46:52+00:00</w:t>
      </w:r>
      <w:r>
        <w:t xml:space="preserve">    </w:t>
      </w:r>
      <w:r>
        <w:rPr>
          <w:b/>
        </w:rPr>
        <w:t xml:space="preserve">DOI: </w:t>
      </w:r>
      <w:hyperlink r:id="rId1285">
        <w:r>
          <w:rPr>
            <w:color w:val="1155CC"/>
            <w:u w:val="single"/>
          </w:rPr>
          <w:t>10.1002/anie.8734845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由于高度免疫抑制的肿瘤微环境（TME），胰腺癌的免疫治疗仍然是一个艰巨的挑战，其特点是致密的基质屏障和酸性生态位，共同限制了药物输送和抗肿瘤免疫。在这里，我们提出了一种“碱性锤”策略，将 pH 调节与碱中毒诱导相结合，以克服这些障碍。我们设计了碱化碳酸氢钠纳米颗粒（JTC801-NaHCO</w:t>
      </w:r>
      <w:r>
        <w:rPr>
          <w:vertAlign w:val="subscript"/>
        </w:rPr>
        <w:t>3</w:t>
      </w:r>
      <w:r>
        <w:t>@TPGS NPs）使用薄膜水合方法。交付后，这些纳米粒子通过持续的 NaHCO3 中和酸性 TME</w:t>
      </w:r>
      <w:r>
        <w:rPr>
          <w:vertAlign w:val="subscript"/>
        </w:rPr>
        <w:t>3</w:t>
      </w:r>
      <w:r>
        <w:t>释放，而选择性阿片受体样 1 (ORL1) 拮抗剂 JTC801 则激活 NF-κB 通路，下调碳酸酐酶 IX (CA9)。这种双重作用协同增强细胞内碱化并诱导碱中毒。此外，我们开发了腹腔镜瘤内注射系统来实现 JTC801-NaHCO 的精确输送</w:t>
      </w:r>
      <w:r>
        <w:rPr>
          <w:vertAlign w:val="subscript"/>
        </w:rPr>
        <w:t>3</w:t>
      </w:r>
      <w:r>
        <w:t>@TPGS 原位胰腺肿瘤模型中的 NP。该策略增加了CD8</w:t>
      </w:r>
      <w:r>
        <w:t xml:space="preserve"> </w:t>
      </w:r>
      <w:r>
        <w:t>+</w:t>
      </w:r>
      <w:r>
        <w:t xml:space="preserve"> </w:t>
      </w:r>
      <w:r>
        <w:t>T细胞浸润，减少免疫抑制群体（Treg、MDSC和M2巨噬细胞），并引发免疫记忆，从而将免疫学“冷”肿瘤转化为“热”肿瘤，且没有明显的全身毒性。这些发现强调了局部碱中毒诱导作为一种有前途的免疫治疗方法的潜力</w:t>
      </w:r>
    </w:p>
    <w:p>
      <w:pPr>
        <w:spacing w:before="0" w:after="200" w:lineRule="auto" w:line="276"/>
      </w:pPr>
      <w:r>
        <w:rPr>
          <w:b/>
        </w:rPr>
        <w:t xml:space="preserve">Abstract (EN): </w:t>
      </w:r>
      <w:r>
        <w:t>Immunotherapy for pancreatic cancer remains a formidable challenge due to the highly immunosuppressive tumor microenvironment (TME), characterized by dense stromal barriers and acidic niches that collectively restrict drug delivery and antitumor immunity. Here, we propose an “Alkaline‐Hammer” strategy that combines pH modulation with alkaliptosis induction to overcome these obstacles. We engineered alkalizing sodium bicarbonate nanoparticles (JTC801‐NaHCO</w:t>
      </w:r>
      <w:r>
        <w:rPr>
          <w:vertAlign w:val="subscript"/>
        </w:rPr>
        <w:t>3</w:t>
      </w:r>
      <w:r>
        <w:t>@TPGS NPs) using a thin‐film hydration method. Upon delivery, these nanoparticles neutralize the acidic TME through sustained NaHCO</w:t>
      </w:r>
      <w:r>
        <w:rPr>
          <w:vertAlign w:val="subscript"/>
        </w:rPr>
        <w:t>3</w:t>
      </w:r>
      <w:r>
        <w:t>release, while JTC801, a selective opioid receptor‐like 1 (ORL1) antagonist, activates the NF‐κB pathway to downregulate carbonic anhydrase IX (CA9). This dual action synergistically enhances intracellular alkalinization and induces alkaliptosis. Furthermore, we developed a laparoscopic intratumoral injection system to achieve precise delivery of JTC801‐NaHCO</w:t>
      </w:r>
      <w:r>
        <w:rPr>
          <w:vertAlign w:val="subscript"/>
        </w:rPr>
        <w:t>3</w:t>
      </w:r>
      <w:r>
        <w:t>@TPGS NPs in orthotopic pancreatic tumor models. This strategy increased CD8</w:t>
      </w:r>
      <w:r>
        <w:t xml:space="preserve"> </w:t>
      </w:r>
      <w:r>
        <w:t>+</w:t>
      </w:r>
      <w:r>
        <w:t xml:space="preserve"> </w:t>
      </w:r>
      <w:r>
        <w:t>T cells infiltration, reduced immunosuppressive populations (Tregs, MDSCs, and M2 macrophages), and elicited immunological memory, thereby converting immunologically “cold” tumors into “hot” ones without evident systemic toxicity. These findings underscore the potential of localized alkaliptosis induction as a promising immunotherapeutic approach for pancreatic cancer.</w:t>
      </w:r>
    </w:p>
    <w:p>
      <w:pPr>
        <w:spacing w:before="120" w:after="120"/>
      </w:pPr>
      <w:r>
        <w:rPr>
          <w:sz w:val="18"/>
        </w:rPr>
        <w:t>——————————————————————————————————————————————————————————————————————</w:t>
      </w:r>
    </w:p>
    <w:p>
      <w:pPr>
        <w:spacing w:before="160" w:after="40" w:line="240" w:lineRule="auto"/>
      </w:pPr>
      <w:r>
        <w:rPr>
          <w:b/>
        </w:rPr>
        <w:t xml:space="preserve">[508] </w:t>
      </w:r>
      <w:hyperlink r:id="rId1286">
        <w:r>
          <w:rPr>
            <w:color w:val="1155CC"/>
            <w:u w:val="single"/>
          </w:rPr>
          <w:t>通过金属有机框架中的选点模块化安装的可编程发光传感平台</w:t>
        </w:r>
      </w:hyperlink>
    </w:p>
    <w:p>
      <w:pPr>
        <w:spacing w:before="0" w:after="80"/>
      </w:pPr>
      <w:r>
        <w:rPr>
          <w:i/>
          <w:sz w:val="20"/>
        </w:rPr>
        <w:t>EN: A Programmable Luminescent Sensing Platform via Site‐Selective Modular Installation in Metal–Organic Frameworks</w:t>
      </w:r>
    </w:p>
    <w:p>
      <w:pPr>
        <w:spacing w:before="0" w:after="120"/>
      </w:pPr>
      <w:r>
        <w:rPr>
          <w:b/>
        </w:rPr>
        <w:t xml:space="preserve">Source: </w:t>
      </w:r>
      <w:r>
        <w:t>Wiley: Angewandte Chemie International Edition: Table of Contents</w:t>
      </w:r>
      <w:r>
        <w:t xml:space="preserve">    </w:t>
      </w:r>
      <w:r>
        <w:rPr>
          <w:b/>
        </w:rPr>
        <w:t xml:space="preserve">Pub date: </w:t>
      </w:r>
      <w:r>
        <w:t>2026-07-15 11:51:22+00:00</w:t>
      </w:r>
      <w:r>
        <w:t xml:space="preserve">    </w:t>
      </w:r>
      <w:r>
        <w:rPr>
          <w:b/>
        </w:rPr>
        <w:t xml:space="preserve">DOI: </w:t>
      </w:r>
      <w:hyperlink r:id="rId1287">
        <w:r>
          <w:rPr>
            <w:color w:val="1155CC"/>
            <w:u w:val="single"/>
          </w:rPr>
          <w:t>10.1002/anie.3048396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金属有机框架（MOF）已成为针对目标应用（特别是在发光传感领域）的结构设计和工程的多功能平台。基于 MOF 的传感材料因其快速响应和有助于机械洞察的明确结构而受到认可。然而，实际部署仍然受到与定制单个 MOF 响应特定分析物相关的合成成本的限制。在这里，我们提出了一种合成方法来构建源自易于修改的 Zr-MOF PCN-700 的可编程发光传感平台，其中通过模块化链接器安装策略合并了 20 个具有各种功能的预先设计的模块，具有可变的分子长度、配置和结合键。这些模块赋予框架针对各种化学物质和物理刺激的可定制识别能力。这项工作展示了一种可通用且可扩展的模块化安装方法，能够构建具有可定制性能的多功能 MOF 传感材料，以满足实际检测中不断变化的需求。</w:t>
      </w:r>
    </w:p>
    <w:p>
      <w:pPr>
        <w:spacing w:before="0" w:after="200" w:lineRule="auto" w:line="276"/>
      </w:pPr>
      <w:r>
        <w:rPr>
          <w:b/>
        </w:rPr>
        <w:t xml:space="preserve">Abstract (EN): </w:t>
      </w:r>
      <w:r>
        <w:t>Metal–organic frameworks (MOFs) have emerged as versatile platforms for structural design and engineering for targeting applications, particularly in luminescent sensing. MOF‐based sensing materials are recognized for their rapid responses and well‐defined structures that facilitate mechanistic insight. However, practical deployment remains limited by the synthetic cost associated with customizing individual MOFs with response to specific analytes. Here, we present a synthetic methodology to construct a programmable luminescent sensing platform derived from a readily modifiable Zr‐MOF PCN‐700, in which 20 pre‐designed modules with various functions are incorporated through a modular linker installation strategy, possessing variable molecular lengths, configurations, and binding linkages. These modules endow the framework with customizable recognition capabilities toward a wide scope of chemical species as well as physical stimuli. This work demonstrates a generalizable and scalable modular installation approach that enables construction of multifunctional MOF‐based sensing materials with customizable performance to meet evolving demands in practical detections.</w:t>
      </w:r>
    </w:p>
    <w:p>
      <w:pPr>
        <w:spacing w:before="120" w:after="120"/>
      </w:pPr>
      <w:r>
        <w:rPr>
          <w:sz w:val="18"/>
        </w:rPr>
        <w:t>——————————————————————————————————————————————————————————————————————</w:t>
      </w:r>
    </w:p>
    <w:p>
      <w:pPr>
        <w:spacing w:before="160" w:after="40" w:line="240" w:lineRule="auto"/>
      </w:pPr>
      <w:r>
        <w:rPr>
          <w:b/>
        </w:rPr>
        <w:t xml:space="preserve">[509] </w:t>
      </w:r>
      <w:hyperlink r:id="rId1288">
        <w:r>
          <w:rPr>
            <w:color w:val="1155CC"/>
            <w:u w:val="single"/>
          </w:rPr>
          <w:t>从实验驱动到理论和数据驱动：高熵电催化剂设计的计算范式转变</w:t>
        </w:r>
      </w:hyperlink>
    </w:p>
    <w:p>
      <w:pPr>
        <w:spacing w:before="0" w:after="80"/>
      </w:pPr>
      <w:r>
        <w:rPr>
          <w:i/>
          <w:sz w:val="20"/>
        </w:rPr>
        <w:t>EN: From Experiment‐Driven to Theory‐ and Data‐Driven: A Computational Paradigm Shift in High‐Entropy Electrocatalyst Design</w:t>
      </w:r>
    </w:p>
    <w:p>
      <w:pPr>
        <w:spacing w:before="0" w:after="120"/>
      </w:pPr>
      <w:r>
        <w:rPr>
          <w:b/>
        </w:rPr>
        <w:t xml:space="preserve">Source: </w:t>
      </w:r>
      <w:r>
        <w:t>Wiley: Advanced Materials: Table of Contents</w:t>
      </w:r>
      <w:r>
        <w:t xml:space="preserve">    </w:t>
      </w:r>
      <w:r>
        <w:rPr>
          <w:b/>
        </w:rPr>
        <w:t xml:space="preserve">Pub date: </w:t>
      </w:r>
      <w:r>
        <w:t>2026-07-15 11:51:50+00:00</w:t>
      </w:r>
      <w:r>
        <w:t xml:space="preserve">    </w:t>
      </w:r>
      <w:r>
        <w:rPr>
          <w:b/>
        </w:rPr>
        <w:t xml:space="preserve">DOI: </w:t>
      </w:r>
      <w:hyperlink r:id="rId1289">
        <w:r>
          <w:rPr>
            <w:color w:val="1155CC"/>
            <w:u w:val="single"/>
          </w:rPr>
          <w:t>10.1002/adma.73906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高熵材料（HEM）已成为有前途的电催化剂平台，因为成分多样性能够实现可调节的电子结构和丰富的活性位点。随着能源转换和环境应用的需求不断增长，理论在 HEM 设计中发挥着核心作用，特别是密度泛函理论 (DFT)、分子动力学 (MD) 和机器学习 (ML)。综合了用于阐明机制和选择最佳组合物的计算策略的最新进展。通过将高通量计算与机器学习相结合以进行高效筛选，突出了从实验驱动的研究到主动的、理论和数据驱动的发现的转变。评估了方法限制和关键挑战，包括黑盒可解释性、无序和覆盖建模以及理论模型和实验条件之间的差距，并概述了工作流程标准化、开放数据库和可重复基准的方向。基于这些元素，提出了一个紧凑的 DFT-ML-MD 闭环框架，将原子级能量学与设备级指标联系起来，旨在指导加速发现和部署用于可持续能源的高活性、耐用高熵电催化剂。</w:t>
      </w:r>
    </w:p>
    <w:p>
      <w:pPr>
        <w:spacing w:before="0" w:after="200" w:lineRule="auto" w:line="276"/>
      </w:pPr>
      <w:r>
        <w:rPr>
          <w:b/>
        </w:rPr>
        <w:t xml:space="preserve">Abstract (EN): </w:t>
      </w:r>
      <w:r>
        <w:t>High‐entropy materials (HEMs) have emerged as promising electrocatalyst platforms because compositional diversity enables tunable electronic structures and abundant active sites. With rising demands in energy conversion and environmental applications, theory now plays a central role in HEM design, in particular density functional theory (DFT), molecular dynamics (MD), and machine learning (ML). Recent advances in computational strategies for elucidating mechanisms and selecting optimal compositions are synthesized. The shift from experiment‐driven studies to proactive, theory‐ and data‐driven discovery is highlighted, enabled by the integration of high‐throughput calculations with ML for efficient screening. Method limits and key challenges are assessed, including black‐box interpretability, modeling of disorder and coverage, and gaps between theoretical models and experimental conditions, and directions in workflow standardization, open databases, and reproducible benchmarks are outlined. Building on these elements, a compact DFT‐ML‐MD closed‐loop framework is proposed that links atomic‐scale energetics to device‐level metrics, with the aim of guiding the accelerated discovery and deployment of high‐activity, durable high‐entropy electrocatalysts for sustainable energy.</w:t>
      </w:r>
    </w:p>
    <w:p>
      <w:pPr>
        <w:spacing w:before="120" w:after="120"/>
      </w:pPr>
      <w:r>
        <w:rPr>
          <w:sz w:val="18"/>
        </w:rPr>
        <w:t>——————————————————————————————————————————————————————————————————————</w:t>
      </w:r>
    </w:p>
    <w:p>
      <w:pPr>
        <w:spacing w:before="160" w:after="40" w:line="240" w:lineRule="auto"/>
      </w:pPr>
      <w:r>
        <w:rPr>
          <w:b/>
        </w:rPr>
        <w:t xml:space="preserve">[510] </w:t>
      </w:r>
      <w:hyperlink r:id="rId1290">
        <w:r>
          <w:rPr>
            <w:color w:val="1155CC"/>
            <w:u w:val="single"/>
          </w:rPr>
          <w:t>具有正交、相反热响应纳米通道的水凝胶编织COF膜：克服渗透性-选择性权衡</w:t>
        </w:r>
      </w:hyperlink>
    </w:p>
    <w:p>
      <w:pPr>
        <w:spacing w:before="0" w:after="80"/>
      </w:pPr>
      <w:r>
        <w:rPr>
          <w:i/>
          <w:sz w:val="20"/>
        </w:rPr>
        <w:t>EN: Hydrogel‐Woven COF Membranes With Orthogonal, Opposite Thermoresponsive Nanochannels: Overcoming the Permeance‐Selectivity Trade‐off</w:t>
      </w:r>
    </w:p>
    <w:p>
      <w:pPr>
        <w:spacing w:before="0" w:after="120"/>
      </w:pPr>
      <w:r>
        <w:rPr>
          <w:b/>
        </w:rPr>
        <w:t xml:space="preserve">Source: </w:t>
      </w:r>
      <w:r>
        <w:t>Wiley: Advanced Materials: Table of Contents</w:t>
      </w:r>
      <w:r>
        <w:t xml:space="preserve">    </w:t>
      </w:r>
      <w:r>
        <w:rPr>
          <w:b/>
        </w:rPr>
        <w:t xml:space="preserve">Pub date: </w:t>
      </w:r>
      <w:r>
        <w:t>2026-07-15 11:55:16+00:00</w:t>
      </w:r>
      <w:r>
        <w:t xml:space="preserve">    </w:t>
      </w:r>
      <w:r>
        <w:rPr>
          <w:b/>
        </w:rPr>
        <w:t xml:space="preserve">DOI: </w:t>
      </w:r>
      <w:hyperlink r:id="rId1291">
        <w:r>
          <w:rPr>
            <w:color w:val="1155CC"/>
            <w:u w:val="single"/>
          </w:rPr>
          <w:t>10.1002/adma.73948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智能膜的特点是具有独特的刺激响应通道，可以动态改变其化学和结构以协调传质，与传统膜相比，智能膜非常有希望获得非凡的筛分性能。然而，由于智能膜通道中的同步、均匀的刺激响应变化，在刺激响应过程中，智能膜被渗透性和选择性之间的巨大权衡所锁定。在这里，我们发现了一种新型智能膜，即水凝胶编织的共价有机框架（HW-COF）膜，具有正交、相反的热响应纳米通道，克服了渗透性与选择性的权衡，实现了非凡的水分离。 HW-COF膜的关键在于光热驱动的聚(</w:t>
      </w:r>
      <w:r>
        <w:t xml:space="preserve"> </w:t>
      </w:r>
      <w:r>
        <w:t>氮</w:t>
      </w:r>
      <w:r>
        <w:t xml:space="preserve"> </w:t>
      </w:r>
      <w:r>
        <w:t>‐异丙基丙烯酰胺）水凝胶网络位于二维COF膜的正交面内孔和层间通道内，用于产生机械联锁结构。与非互锁对应物不同，HW-COF 膜在面内孔中表现出正响应，而在层间通道中表现出负响应。这种独特的热响应行为可以通过面内孔和层间通道的协同作用来定制，使HW-COF膜在渗透性和选择性方面获得显着的正响应，这几乎是报道的智能膜无法实现的。作为示范概念，HW-COF 膜可用于筛分水同位素体</w:t>
      </w:r>
    </w:p>
    <w:p>
      <w:pPr>
        <w:spacing w:before="0" w:after="200" w:lineRule="auto" w:line="276"/>
      </w:pPr>
      <w:r>
        <w:rPr>
          <w:b/>
        </w:rPr>
        <w:t xml:space="preserve">Abstract (EN): </w:t>
      </w:r>
      <w:r>
        <w:t>Smart membranes, characterized by unique stimuli‐responsive channels to dynamically alter their chemistry and structure for orchestrating mass transport, are highly promising to gain extraordinary sieving performance over conventional membranes. However, smart membranes are locked by formidable trade‐off between permeance and selectivity during stimuli‐responsive process, owing to their synchronous, homogeneous stimuli‐responsive changes in channels. Here, we discover a new kind of smart membranes, hydrogel‐woven covalent organic framework (HW‐COF) membranes with orthogonal, opposite thermoresponsive nanochannels, overcoming the permeance‐selectivity trade‐off for achieving extraordinary aqueous separation. The key of HW‐COF membranes lies in the photothermal‐driven in‐situ confined weaving of poly(</w:t>
      </w:r>
      <w:r>
        <w:t xml:space="preserve"> </w:t>
      </w:r>
      <w:r>
        <w:t>N</w:t>
      </w:r>
      <w:r>
        <w:t xml:space="preserve"> </w:t>
      </w:r>
      <w:r>
        <w:t>‐isopropylacrylamide) hydrogel networks within orthogonal in‐plane pores and interlayer channels of two‐dimensional COF membranes for yielding mechanical interlocking architecture. Distinct from the non‐interlocked counterpart, HW‐COF membranes showcase a positive response in in‐plane pores yet a negative response in interlayer channels. This unique thermoresponsive behavior can be tailored by the synergy of in‐plane pores and interlayer channels, allowing HW‐COF membranes to obtain markedly positive response in both permeance and selectivity, almost not achievable with reported smart membranes. As a concept of demonstration, HW‐COF membranes can be applied for sieving water isotopologue with ultrahigh selectivity (90.9%) and permeance (16.6 L m</w:t>
      </w:r>
      <w:r>
        <w:t xml:space="preserve"> </w:t>
      </w:r>
      <w:r>
        <w:t>−2</w:t>
      </w:r>
      <w:r>
        <w:t xml:space="preserve"> </w:t>
      </w:r>
      <w:r>
        <w:t>h</w:t>
      </w:r>
      <w:r>
        <w:t xml:space="preserve"> </w:t>
      </w:r>
      <w:r>
        <w:t>−1</w:t>
      </w:r>
      <w:r>
        <w:t xml:space="preserve"> </w:t>
      </w:r>
      <w:r>
        <w:t>bar</w:t>
      </w:r>
      <w:r>
        <w:t xml:space="preserve"> </w:t>
      </w:r>
      <w:r>
        <w:t>−1</w:t>
      </w:r>
      <w:r>
        <w:t xml:space="preserve"> </w:t>
      </w:r>
      <w:r>
        <w:t>) using low‐grade heat as stimuli.</w:t>
      </w:r>
    </w:p>
    <w:p>
      <w:pPr>
        <w:spacing w:before="120" w:after="120"/>
      </w:pPr>
      <w:r>
        <w:rPr>
          <w:sz w:val="18"/>
        </w:rPr>
        <w:t>——————————————————————————————————————————————————————————————————————</w:t>
      </w:r>
    </w:p>
    <w:p>
      <w:pPr>
        <w:spacing w:before="160" w:after="40" w:line="240" w:lineRule="auto"/>
      </w:pPr>
      <w:r>
        <w:rPr>
          <w:b/>
        </w:rPr>
        <w:t xml:space="preserve">[511] </w:t>
      </w:r>
      <w:hyperlink r:id="rId1292">
        <w:r>
          <w:rPr>
            <w:color w:val="1155CC"/>
            <w:u w:val="single"/>
          </w:rPr>
          <w:t>层间限制引导过乙酸活化几乎完全产生单线态氧</w:t>
        </w:r>
      </w:hyperlink>
    </w:p>
    <w:p>
      <w:pPr>
        <w:spacing w:before="0" w:after="80"/>
      </w:pPr>
      <w:r>
        <w:rPr>
          <w:i/>
          <w:sz w:val="20"/>
        </w:rPr>
        <w:t>EN: Interlayer Confinement Steers Peracetic Acid Activation Toward Nearly Exclusive Singlet Oxygen Generation</w:t>
      </w:r>
    </w:p>
    <w:p>
      <w:pPr>
        <w:spacing w:before="0" w:after="120"/>
      </w:pPr>
      <w:r>
        <w:rPr>
          <w:b/>
        </w:rPr>
        <w:t xml:space="preserve">Source: </w:t>
      </w:r>
      <w:r>
        <w:t>Wiley: Angewandte Chemie International Edition: Table of Contents</w:t>
      </w:r>
      <w:r>
        <w:t xml:space="preserve">    </w:t>
      </w:r>
      <w:r>
        <w:rPr>
          <w:b/>
        </w:rPr>
        <w:t xml:space="preserve">Pub date: </w:t>
      </w:r>
      <w:r>
        <w:t>2026-07-15 11:57:19+00:00</w:t>
      </w:r>
      <w:r>
        <w:t xml:space="preserve">    </w:t>
      </w:r>
      <w:r>
        <w:rPr>
          <w:b/>
        </w:rPr>
        <w:t xml:space="preserve">DOI: </w:t>
      </w:r>
      <w:hyperlink r:id="rId1293">
        <w:r>
          <w:rPr>
            <w:color w:val="1155CC"/>
            <w:u w:val="single"/>
          </w:rPr>
          <w:t>10.1002/anie.3960154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反应途径对于选择性氧化化学至关重要，但由于氧化剂-催化剂相互作用的复杂性，特别是在过乙酸（PAA）的活化过程中仍然具有挑战性，其比无机氧化剂具有更大的结构灵活性。虽然各种催化剂工程方法可用于增强 PAA 非自由基催化作用，但它们无法从根本上抑制自由基的产生。在这里，我们提出了一种层间限制策略，以确定性地将 PAA 激活途径重新编程为单线态氧（</w:t>
      </w:r>
      <w:r>
        <w:rPr>
          <w:vertAlign w:val="subscript"/>
        </w:rPr>
        <w:t>1</w:t>
      </w:r>
      <w:r>
        <w:t>氧</w:t>
      </w:r>
      <w:r>
        <w:rPr>
          <w:vertAlign w:val="subscript"/>
        </w:rPr>
        <w:t>2</w:t>
      </w:r>
      <w:r>
        <w:t>）一代。通过稳定蒙脱石 (MT) 纳米画廊 (Co</w:t>
      </w:r>
      <w:r>
        <w:t xml:space="preserve"> </w:t>
      </w:r>
      <w:r>
        <w:t>国家标准委员会</w:t>
      </w:r>
      <w:r>
        <w:t xml:space="preserve"> </w:t>
      </w:r>
      <w:r>
        <w:t>‐KMT），构建了甲板效应诱导的受限微环境，从根本上改变了 PAA 与催化剂的相互作用。这种限制抑制了自由基主导的通道，并将 PAA 激活途径重定向到几乎排他性的通道。</w:t>
      </w:r>
      <w:r>
        <w:rPr>
          <w:vertAlign w:val="subscript"/>
        </w:rPr>
        <w:t>1</w:t>
      </w:r>
      <w:r>
        <w:t>氧</w:t>
      </w:r>
      <w:r>
        <w:rPr>
          <w:vertAlign w:val="subscript"/>
        </w:rPr>
        <w:t>2</w:t>
      </w:r>
      <w:r>
        <w:t>一代。机理和理论分析表明，减小的层间距重塑了局部 PAA 吸附结构和能量景观，以促进</w:t>
      </w:r>
      <w:r>
        <w:rPr>
          <w:vertAlign w:val="subscript"/>
        </w:rPr>
        <w:t>1</w:t>
      </w:r>
      <w:r>
        <w:t>氧</w:t>
      </w:r>
      <w:r>
        <w:rPr>
          <w:vertAlign w:val="subscript"/>
        </w:rPr>
        <w:t>2</w:t>
      </w:r>
      <w:r>
        <w:t>形成。这种限制调节策略还可以扩展到过一硫酸盐（PMS）激活，以实现有效的帕特治疗。</w:t>
      </w:r>
    </w:p>
    <w:p>
      <w:pPr>
        <w:spacing w:before="0" w:after="200" w:lineRule="auto" w:line="276"/>
      </w:pPr>
      <w:r>
        <w:rPr>
          <w:b/>
        </w:rPr>
        <w:t xml:space="preserve">Abstract (EN): </w:t>
      </w:r>
      <w:r>
        <w:t>Precisely controlling reaction pathway is vital for selective oxidation chemistry but remains challenging due to the complexity of oxidant–catalyst interactions, especially during activation of peracetic acid (PAA) that offers greater structural flexibility than inorganic oxidants. While various catalyst engineering approaches are available to strengthen PAA nonradical catalysis, they fail to fundamental suppress radicals generation. Here, we propose an interlayer confinement strategy to deterministically reprogram the PAA activation pathway toward singlet oxygen (</w:t>
      </w:r>
      <w:r>
        <w:rPr>
          <w:vertAlign w:val="subscript"/>
        </w:rPr>
        <w:t>1</w:t>
      </w:r>
      <w:r>
        <w:t>O</w:t>
      </w:r>
      <w:r>
        <w:rPr>
          <w:vertAlign w:val="subscript"/>
        </w:rPr>
        <w:t>2</w:t>
      </w:r>
      <w:r>
        <w:t>) generation. By stabilizing atomically dispersed cobalt sites within a KOH‐compressed interlayer space of montmorillonite (MT) nano‐galleries (Co</w:t>
      </w:r>
      <w:r>
        <w:t xml:space="preserve"> </w:t>
      </w:r>
      <w:r>
        <w:t>SAC</w:t>
      </w:r>
      <w:r>
        <w:t xml:space="preserve"> </w:t>
      </w:r>
      <w:r>
        <w:t>‐KMT), a deck‐effect‐induced confined microenvironment is constructed to fundamentally alters the PAA‐catalyst interaction. Such confinement suppresses radical‐dominated channels and redirects PAA activation route to nearly exclusive</w:t>
      </w:r>
      <w:r>
        <w:rPr>
          <w:vertAlign w:val="subscript"/>
        </w:rPr>
        <w:t>1</w:t>
      </w:r>
      <w:r>
        <w:t>O</w:t>
      </w:r>
      <w:r>
        <w:rPr>
          <w:vertAlign w:val="subscript"/>
        </w:rPr>
        <w:t>2</w:t>
      </w:r>
      <w:r>
        <w:t>generation. Mechanistic and theoretical analyses reveal that reduced interlayer spacing reshapes the local PAA adsorption configuration and energy landscape to facilitate</w:t>
      </w:r>
      <w:r>
        <w:rPr>
          <w:vertAlign w:val="subscript"/>
        </w:rPr>
        <w:t>1</w:t>
      </w:r>
      <w:r>
        <w:t>O</w:t>
      </w:r>
      <w:r>
        <w:rPr>
          <w:vertAlign w:val="subscript"/>
        </w:rPr>
        <w:t>2</w:t>
      </w:r>
      <w:r>
        <w:t>formation. Such a confinement regulation strategy can also be extended to peroxymonosulfate (PMS) activation for efficient pathway modulation, indicating it may serve as a transferable principle to guide Fenton‐like catalyst design. With</w:t>
      </w:r>
      <w:r>
        <w:rPr>
          <w:vertAlign w:val="subscript"/>
        </w:rPr>
        <w:t>1</w:t>
      </w:r>
      <w:r>
        <w:t>O</w:t>
      </w:r>
      <w:r>
        <w:rPr>
          <w:vertAlign w:val="subscript"/>
        </w:rPr>
        <w:t>2</w:t>
      </w:r>
      <w:r>
        <w:t>‐dominated pathway, the Co</w:t>
      </w:r>
      <w:r>
        <w:t xml:space="preserve"> </w:t>
      </w:r>
      <w:r>
        <w:t>SAC</w:t>
      </w:r>
      <w:r>
        <w:t xml:space="preserve"> </w:t>
      </w:r>
      <w:r>
        <w:t>‐KMT/PAA system demonstrated superior environmental robustness and long‐term stability for real water treatment.</w:t>
      </w:r>
    </w:p>
    <w:p>
      <w:pPr>
        <w:spacing w:before="120" w:after="120"/>
      </w:pPr>
      <w:r>
        <w:rPr>
          <w:sz w:val="18"/>
        </w:rPr>
        <w:t>——————————————————————————————————————————————————————————————————————</w:t>
      </w:r>
    </w:p>
    <w:p>
      <w:pPr>
        <w:spacing w:before="160" w:after="40" w:line="240" w:lineRule="auto"/>
      </w:pPr>
      <w:r>
        <w:rPr>
          <w:b/>
        </w:rPr>
        <w:t xml:space="preserve">[512] </w:t>
      </w:r>
      <w:hyperlink r:id="rId1294">
        <w:r>
          <w:rPr>
            <w:color w:val="1155CC"/>
            <w:u w:val="single"/>
          </w:rPr>
          <w:t>用于 RNA 干扰的两亲性框架核酸的直接胞质递送</w:t>
        </w:r>
      </w:hyperlink>
    </w:p>
    <w:p>
      <w:pPr>
        <w:spacing w:before="0" w:after="80"/>
      </w:pPr>
      <w:r>
        <w:rPr>
          <w:i/>
          <w:sz w:val="20"/>
        </w:rPr>
        <w:t>EN: Direct Cytosolic Delivery of Amphiphilic Framework Nucleic Acids for RNA Interference</w:t>
      </w:r>
    </w:p>
    <w:p>
      <w:pPr>
        <w:spacing w:before="0" w:after="120"/>
      </w:pPr>
      <w:r>
        <w:rPr>
          <w:b/>
        </w:rPr>
        <w:t xml:space="preserve">Source: </w:t>
      </w:r>
      <w:r>
        <w:t>Wiley: Angewandte Chemie International Edition: Table of Contents</w:t>
      </w:r>
      <w:r>
        <w:t xml:space="preserve">    </w:t>
      </w:r>
      <w:r>
        <w:rPr>
          <w:b/>
        </w:rPr>
        <w:t xml:space="preserve">Pub date: </w:t>
      </w:r>
      <w:r>
        <w:t>2026-07-15 12:10:51+00:00</w:t>
      </w:r>
      <w:r>
        <w:t xml:space="preserve">    </w:t>
      </w:r>
      <w:r>
        <w:rPr>
          <w:b/>
        </w:rPr>
        <w:t xml:space="preserve">DOI: </w:t>
      </w:r>
      <w:hyperlink r:id="rId1295">
        <w:r>
          <w:rPr>
            <w:color w:val="1155CC"/>
            <w:u w:val="single"/>
          </w:rPr>
          <w:t>10.1002/anie.2843858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细胞膜和内体隔离的双重屏障，核酸分子机器的有效胞质递送仍然是一个重大挑战。在这里，我们报道了一类两亲性框架核酸（ampFNA），它能够实现直接胞质递送，涉及能量独立的脂质膜穿越。在几种设计的几何形状中，用单个胆固醇部分功能化的刚性棒状六螺旋束表现出优异的细胞结合和内化。我们发现这种 ampFNA 可以通过胆固醇依赖性、脂筏介导的途径进入细胞，能够绕过内体截留。与商业转染试剂 Lipofectamine 3000 (Lipo3000) 相比，ampFNA 平台表现出溶酶体截留减少。当递送小干扰 RNA (siRNA) 时，实现了 ampFNA 介导的增强型绿色荧光蛋白 (EGFP) 基因沉默，其效率与 Lipo3000 相当。通过靶向原癌基因 Bcl-2，ampFNA 诱导肿瘤细胞群凋亡率为 31.3%。我们的工作将 ampFNA 打造为一个可编程、高效且生物相容的平台，用于开发用于精准医疗的下一代智能核酸递送机器。</w:t>
      </w:r>
    </w:p>
    <w:p>
      <w:pPr>
        <w:spacing w:before="0" w:after="200" w:lineRule="auto" w:line="276"/>
      </w:pPr>
      <w:r>
        <w:rPr>
          <w:b/>
        </w:rPr>
        <w:t xml:space="preserve">Abstract (EN): </w:t>
      </w:r>
      <w:r>
        <w:t>The efficient cytosolic delivery of nucleic acid molecular machines remains a major challenge due to the dual barriers of the cell membrane and endosomal sequestration. Here, we report a class of amphiphilic framework nucleic acids (ampFNAs) that enable direct cytosolic delivery involving energy‐independent traversal of lipid membranes. Among several designed geometries, a rigid rod‐like six‐helix bundle functionalized with a single cholesterol moiety exhibits superior cellular binding and internalization. We find that this ampFNA can enter cells through a cholesterol‐dependent, lipid raft‐mediated pathway, capable of bypassing endosomal entrapment. Compared to the commercial transfection reagent Lipofectamine 3000 (Lipo3000), the ampFNA platform exhibits reduced lysosomal entrapment. When delivering small interfering RNAs (siRNAs), the ampFNA‐mediated enhanced green fluorescent protein (EGFP) gene silencing was achieved with efficiency comparable to Lipo3000. By targeting the proto‐oncogene Bcl‐2, the ampFNA induced an apoptotic rate of 31.3% in the tumor cell population. Our work establishes ampFNAs as a programmable, efficient, and biocompatible platform for the development of next‑generation smart nucleic acid delivery machines for precision medicine.</w:t>
      </w:r>
    </w:p>
    <w:p>
      <w:pPr>
        <w:spacing w:before="120" w:after="120"/>
      </w:pPr>
      <w:r>
        <w:rPr>
          <w:sz w:val="18"/>
        </w:rPr>
        <w:t>——————————————————————————————————————————————————————————————————————</w:t>
      </w:r>
    </w:p>
    <w:p>
      <w:pPr>
        <w:spacing w:before="160" w:after="40" w:line="240" w:lineRule="auto"/>
      </w:pPr>
      <w:r>
        <w:rPr>
          <w:b/>
        </w:rPr>
        <w:t xml:space="preserve">[513] </w:t>
      </w:r>
      <w:hyperlink r:id="rId1296">
        <w:r>
          <w:rPr>
            <w:color w:val="1155CC"/>
            <w:u w:val="single"/>
          </w:rPr>
          <w:t>站点间距重建以实现快速质子传输的完美氢键网络</w:t>
        </w:r>
      </w:hyperlink>
    </w:p>
    <w:p>
      <w:pPr>
        <w:spacing w:before="0" w:after="80"/>
      </w:pPr>
      <w:r>
        <w:rPr>
          <w:i/>
          <w:sz w:val="20"/>
        </w:rPr>
        <w:t>EN: Site Spacing Reconstruction Toward Perfect Hydrogen‐Bond Network for Fast Proton Transport</w:t>
      </w:r>
    </w:p>
    <w:p>
      <w:pPr>
        <w:spacing w:before="0" w:after="120"/>
      </w:pPr>
      <w:r>
        <w:rPr>
          <w:b/>
        </w:rPr>
        <w:t xml:space="preserve">Source: </w:t>
      </w:r>
      <w:r>
        <w:t>Wiley: Angewandte Chemie International Edition: Table of Contents</w:t>
      </w:r>
      <w:r>
        <w:t xml:space="preserve">    </w:t>
      </w:r>
      <w:r>
        <w:rPr>
          <w:b/>
        </w:rPr>
        <w:t xml:space="preserve">Pub date: </w:t>
      </w:r>
      <w:r>
        <w:t>2026-07-15 12:15:57+00:00</w:t>
      </w:r>
      <w:r>
        <w:t xml:space="preserve">    </w:t>
      </w:r>
      <w:r>
        <w:rPr>
          <w:b/>
        </w:rPr>
        <w:t xml:space="preserve">DOI: </w:t>
      </w:r>
      <w:hyperlink r:id="rId1297">
        <w:r>
          <w:rPr>
            <w:color w:val="1155CC"/>
            <w:u w:val="single"/>
          </w:rPr>
          <w:t>10.1002/anie.1106053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传导材料对于电化学能量存储、转换和传感至关重要，但其性能受到结构限制的限制。一个关键的结构限制是亲水位点之间的结构强加的分离，它阻止了充分发展的连续氢键网络的形成，并对质子传输造成了持续的瓶颈。在这里，我们提出了一种位点间距重建策略，以加强氢键网络，并使用由 1,3,5-三(4-羧基苯基)苯 (HOF-BTB) 及其 Na 构建的氢键有机框架验证其有效性。</w:t>
      </w:r>
      <w:r>
        <w:t xml:space="preserve"> </w:t>
      </w:r>
      <w:r>
        <w:t>+</w:t>
      </w:r>
      <w:r>
        <w:t xml:space="preserve"> </w:t>
      </w:r>
      <w:r>
        <w:t>‐修饰类似物（Na-HOF-BTB）作为模型系统。通过静电自组装，引入强亲水位点，缩短位点间距离，将长程水桥转变为短程水桥，从而降低氢键网络形成的能量势垒。在 97% 相对湿度下，Na-HOF-BTB 表现出明显增强的氢键网络，导致质子电导率相对于原始 HOF-BTB 显着增强。 Na-HOF-BTB 器件的开关比高达约 7000，比原始 HOF-BTB 器件提高了 182 倍。我们进一步展示了该策略在其他 HOF 系统中的通用性，并展示了它们在水果腐败监测、健康管理和药物保鲜方面的代表性应用。这项工作提供了一种新的设计原理</w:t>
      </w:r>
    </w:p>
    <w:p>
      <w:pPr>
        <w:spacing w:before="0" w:after="200" w:lineRule="auto" w:line="276"/>
      </w:pPr>
      <w:r>
        <w:rPr>
          <w:b/>
        </w:rPr>
        <w:t xml:space="preserve">Abstract (EN): </w:t>
      </w:r>
      <w:r>
        <w:t>Proton‐conducting materials are essential to electrochemical energy storage, conversion and sensing, yet their performance is restricted by structural limitations. A key structural constraint is the architecture‐imposed separation between hydrophilic sites, which prevents the formation of fully developed, continuous hydrogen‐bond networks and imposes a persistent bottleneck on proton transport. Here, we propose a site spacing reconstruction strategy to strengthen the hydrogen‐bond network and validate its effectiveness using a hydrogen‐bonded organic framework built from 1,3,5‐tris(4‐carboxyphenyl)benzene (HOF‐BTB) and its Na</w:t>
      </w:r>
      <w:r>
        <w:t xml:space="preserve"> </w:t>
      </w:r>
      <w:r>
        <w:t>+</w:t>
      </w:r>
      <w:r>
        <w:t xml:space="preserve"> </w:t>
      </w:r>
      <w:r>
        <w:t>‐modified analogue (Na‐HOF‐BTB) as a model system. Through electrostatic self‐assembly, strongly hydrophilic sites are introduced to shorten the intersite distance and convert long‐range water bridges into short‐range ones, thereby lowering the energetic barrier for hydrogen‐bond network formation. At 97% relative humidity, Na‐HOF‐BTB exhibits a markedly strengthened hydrogen‐bond network, leading to a substantial enhancement of proton conductivity relative to pristine HOF‐BTB. The Na‐HOF‐BTB device achieves a switching ratio of up to approximately 7000, corresponding to a 182‐fold improvement over the pristine HOF‐BTB device. We further show the generality of this strategy in other HOF systems and demonstrate their representative applications in fruit spoilage surveillance, health management, and pharmaceutical preservation. This work provides a new design principle for high‐performance proton‐conducting materials.</w:t>
      </w:r>
    </w:p>
    <w:p>
      <w:pPr>
        <w:spacing w:before="120" w:after="120"/>
      </w:pPr>
      <w:r>
        <w:rPr>
          <w:sz w:val="18"/>
        </w:rPr>
        <w:t>——————————————————————————————————————————————————————————————————————</w:t>
      </w:r>
    </w:p>
    <w:p>
      <w:pPr>
        <w:spacing w:before="160" w:after="40" w:line="240" w:lineRule="auto"/>
      </w:pPr>
      <w:r>
        <w:rPr>
          <w:b/>
        </w:rPr>
        <w:t xml:space="preserve">[514] </w:t>
      </w:r>
      <w:hyperlink r:id="rId1298">
        <w:r>
          <w:rPr>
            <w:color w:val="1155CC"/>
            <w:u w:val="single"/>
          </w:rPr>
          <w:t>用于光热调节多巴胺传感的多级不对称介孔纳米通道</w:t>
        </w:r>
      </w:hyperlink>
    </w:p>
    <w:p>
      <w:pPr>
        <w:spacing w:before="0" w:after="80"/>
      </w:pPr>
      <w:r>
        <w:rPr>
          <w:i/>
          <w:sz w:val="20"/>
        </w:rPr>
        <w:t>EN: Multi‐Level Asymmetric Mesoporous Nanochannels for Photothermal‐Regulated Dopamine Sensing</w:t>
      </w:r>
    </w:p>
    <w:p>
      <w:pPr>
        <w:spacing w:before="0" w:after="120"/>
      </w:pPr>
      <w:r>
        <w:rPr>
          <w:b/>
        </w:rPr>
        <w:t xml:space="preserve">Source: </w:t>
      </w:r>
      <w:r>
        <w:t>Wiley: Angewandte Chemie International Edition: Table of Contents</w:t>
      </w:r>
      <w:r>
        <w:t xml:space="preserve">    </w:t>
      </w:r>
      <w:r>
        <w:rPr>
          <w:b/>
        </w:rPr>
        <w:t xml:space="preserve">Pub date: </w:t>
      </w:r>
      <w:r>
        <w:t>2026-07-15 12:21:12+00:00</w:t>
      </w:r>
      <w:r>
        <w:t xml:space="preserve">    </w:t>
      </w:r>
      <w:r>
        <w:rPr>
          <w:b/>
        </w:rPr>
        <w:t xml:space="preserve">DOI: </w:t>
      </w:r>
      <w:hyperlink r:id="rId1299">
        <w:r>
          <w:rPr>
            <w:color w:val="1155CC"/>
            <w:u w:val="single"/>
          </w:rPr>
          <w:t>10.1002/anie.8342567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仿生纳米通道系统为分子识别与离子传输调节的耦合提供了有吸引力的平台；然而，将选择性结合与有效信号放大相结合仍然具有挑战性。在这项研究中，我们报告了通过顺序界面组装构建的多级光响应不对称介孔纳米通道。该装置由多巴胺识别介孔 TiO2 组成</w:t>
      </w:r>
      <w:r>
        <w:rPr>
          <w:vertAlign w:val="subscript"/>
        </w:rPr>
        <w:t>2</w:t>
      </w:r>
      <w:r>
        <w:t>（NMTI）层与光热活性介孔碳/γ-Fe集成</w:t>
      </w:r>
      <w:r>
        <w:rPr>
          <w:vertAlign w:val="subscript"/>
        </w:rPr>
        <w:t>2</w:t>
      </w:r>
      <w:r>
        <w:t>氧</w:t>
      </w:r>
      <w:r>
        <w:rPr>
          <w:vertAlign w:val="subscript"/>
        </w:rPr>
        <w:t>3</w:t>
      </w:r>
      <w:r>
        <w:t>阳极氧化铝支架上的异质结构（NMTI/AAO/MC-γ-Fe</w:t>
      </w:r>
      <w:r>
        <w:rPr>
          <w:vertAlign w:val="subscript"/>
        </w:rPr>
        <w:t>2</w:t>
      </w:r>
      <w:r>
        <w:t>氧</w:t>
      </w:r>
      <w:r>
        <w:rPr>
          <w:vertAlign w:val="subscript"/>
        </w:rPr>
        <w:t>3</w:t>
      </w:r>
      <w:r>
        <w:t>）。多巴胺通过强儿茶酚-Ti配位选择性捕获，同时伴随着质子转移、诱导表面电荷调节和纳米通道内的离子富集。这种识别过程增强了离子电导，而 MC-γ-Fe</w:t>
      </w:r>
      <w:r>
        <w:rPr>
          <w:vertAlign w:val="subscript"/>
        </w:rPr>
        <w:t>2</w:t>
      </w:r>
      <w:r>
        <w:t>氧</w:t>
      </w:r>
      <w:r>
        <w:rPr>
          <w:vertAlign w:val="subscript"/>
        </w:rPr>
        <w:t>3</w:t>
      </w:r>
      <w:r>
        <w:t>层将光能转化为局部加热，从而实现离子传输的光热调节。分子识别、表面电荷调节和光热离子传输的协同耦合使得光可调多巴胺传感具有更大的动态范围和照明下 10 pM 的超低检测限。传感机制，跨越分子吸附，纳米级离子重新分布</w:t>
      </w:r>
    </w:p>
    <w:p>
      <w:pPr>
        <w:spacing w:before="0" w:after="200" w:lineRule="auto" w:line="276"/>
      </w:pPr>
      <w:r>
        <w:rPr>
          <w:b/>
        </w:rPr>
        <w:t xml:space="preserve">Abstract (EN): </w:t>
      </w:r>
      <w:r>
        <w:t>Bioinspired nanochannel systems provide attractive platforms for coupling molecular recognition with ion transport regulation; however, integrating selective binding with efficient signal amplification remains challenging. In this study, we report a multi‐level light‐responsive asymmetric mesoporous nanochannel constructed via sequential interfacial assembly. The device consists of a dopamine‐recognition mesoporous TiO</w:t>
      </w:r>
      <w:r>
        <w:rPr>
          <w:vertAlign w:val="subscript"/>
        </w:rPr>
        <w:t>2</w:t>
      </w:r>
      <w:r>
        <w:t>(NMTI) layer integrated with a photothermally active mesoporous carbon/γ‐Fe</w:t>
      </w:r>
      <w:r>
        <w:rPr>
          <w:vertAlign w:val="subscript"/>
        </w:rPr>
        <w:t>2</w:t>
      </w:r>
      <w:r>
        <w:t>O</w:t>
      </w:r>
      <w:r>
        <w:rPr>
          <w:vertAlign w:val="subscript"/>
        </w:rPr>
        <w:t>3</w:t>
      </w:r>
      <w:r>
        <w:t>heterostructure on an anodic aluminum oxide scaffold (NMTI/AAO/MC–γ‐Fe</w:t>
      </w:r>
      <w:r>
        <w:rPr>
          <w:vertAlign w:val="subscript"/>
        </w:rPr>
        <w:t>2</w:t>
      </w:r>
      <w:r>
        <w:t>O</w:t>
      </w:r>
      <w:r>
        <w:rPr>
          <w:vertAlign w:val="subscript"/>
        </w:rPr>
        <w:t>3</w:t>
      </w:r>
      <w:r>
        <w:t>). Dopamine is selectively captured through strong catechol–Ti coordination accompanied by proton transfer, inducing surface‐charge modulation, and ion enrichment within the nanochannels. This recognition process enhances ionic conductance, while the MC–γ‐Fe</w:t>
      </w:r>
      <w:r>
        <w:rPr>
          <w:vertAlign w:val="subscript"/>
        </w:rPr>
        <w:t>2</w:t>
      </w:r>
      <w:r>
        <w:t>O</w:t>
      </w:r>
      <w:r>
        <w:rPr>
          <w:vertAlign w:val="subscript"/>
        </w:rPr>
        <w:t>3</w:t>
      </w:r>
      <w:r>
        <w:t>layer converts optical energy into localized heating, enabling photothermal regulation of ion transport. The synergistic coupling of molecular recognition, surface‐charge regulation, and photothermal ion transport enables light‐tunable dopamine sensing with an expanded dynamic range and an ultralow detection limit of 10 pM under illumination. The sensing mechanism, spanning molecular adsorption, nanoscale ion redistribution, and macroscopic current amplification, is elucidated through multiscale theoretical analyses, including density functional theory (DFT), molecular dynamics (MD), and finite element simulations. This work establishes a general strategy for integrating molecularly specific recognition and photothermal signal amplification in hierarchical nanochannel systems, providing new design principles for high‐performance bioinspired sensing platforms.</w:t>
      </w:r>
    </w:p>
    <w:p>
      <w:pPr>
        <w:spacing w:before="120" w:after="120"/>
      </w:pPr>
      <w:r>
        <w:rPr>
          <w:sz w:val="18"/>
        </w:rPr>
        <w:t>——————————————————————————————————————————————————————————————————————</w:t>
      </w:r>
    </w:p>
    <w:p>
      <w:pPr>
        <w:spacing w:before="160" w:after="40" w:line="240" w:lineRule="auto"/>
      </w:pPr>
      <w:r>
        <w:rPr>
          <w:b/>
        </w:rPr>
        <w:t xml:space="preserve">[515] </w:t>
      </w:r>
      <w:hyperlink r:id="rId1300">
        <w:r>
          <w:rPr>
            <w:color w:val="1155CC"/>
            <w:u w:val="single"/>
          </w:rPr>
          <w:t>通过磺酰亚胺与羟吲哚衍生物的不对称去对称化同时构建硫和碳立构中心</w:t>
        </w:r>
      </w:hyperlink>
    </w:p>
    <w:p>
      <w:pPr>
        <w:spacing w:before="0" w:after="80"/>
      </w:pPr>
      <w:r>
        <w:rPr>
          <w:i/>
          <w:sz w:val="20"/>
        </w:rPr>
        <w:t>EN: Simultaneous Construction of Sulfur and Carbon Stereocenters via Asymmetric Desymmetrization of Sulfonimidamides With Oxindole Derivatives</w:t>
      </w:r>
    </w:p>
    <w:p>
      <w:pPr>
        <w:spacing w:before="0" w:after="120"/>
      </w:pPr>
      <w:r>
        <w:rPr>
          <w:b/>
        </w:rPr>
        <w:t xml:space="preserve">Source: </w:t>
      </w:r>
      <w:r>
        <w:t>Wiley: Angewandte Chemie International Edition: Table of Contents</w:t>
      </w:r>
      <w:r>
        <w:t xml:space="preserve">    </w:t>
      </w:r>
      <w:r>
        <w:rPr>
          <w:b/>
        </w:rPr>
        <w:t xml:space="preserve">Pub date: </w:t>
      </w:r>
      <w:r>
        <w:t>2026-07-15 12:22:10+00:00</w:t>
      </w:r>
      <w:r>
        <w:t xml:space="preserve">    </w:t>
      </w:r>
      <w:r>
        <w:rPr>
          <w:b/>
        </w:rPr>
        <w:t xml:space="preserve">DOI: </w:t>
      </w:r>
      <w:hyperlink r:id="rId1301">
        <w:r>
          <w:rPr>
            <w:color w:val="1155CC"/>
            <w:u w:val="single"/>
          </w:rPr>
          <w:t>10.1002/anie.8164022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磺酰亚胺类药物因其广泛的结构多样化能力和广谱、多功能的生物活性而非常有吸引力。在目前的工作中，功能化的手性磺酰亚胺酰胺同时带有 1,3-</w:t>
      </w:r>
      <w:r>
        <w:t>S</w:t>
      </w:r>
      <w:r>
        <w:t xml:space="preserve"> </w:t>
      </w:r>
      <w:r>
        <w:t>(VI)-和</w:t>
      </w:r>
      <w:r>
        <w:t xml:space="preserve"> </w:t>
      </w:r>
      <w:r>
        <w:t>C</w:t>
      </w:r>
      <w:r>
        <w:t xml:space="preserve"> </w:t>
      </w:r>
      <w:r>
        <w:t>‐立体中心通过磺酰亚胺的去对称化成功合成，这是通过3-溴-3-取代的羟吲哚与磺酰亚胺的高度非对映和对映选择性共轭加成实现的，具有手性</w:t>
      </w:r>
      <w:r>
        <w:t xml:space="preserve"> </w:t>
      </w:r>
      <w:r>
        <w:t>氮,氮</w:t>
      </w:r>
      <w:r>
        <w:t xml:space="preserve"> </w:t>
      </w:r>
      <w:r>
        <w:t>'-二氧化物/Ni(II)络合物作为路易斯酸催化剂。该转化具有反应条件温和、官能团耐受性优良、底物范围广泛等特点。</w:t>
      </w:r>
    </w:p>
    <w:p>
      <w:pPr>
        <w:spacing w:before="0" w:after="200" w:lineRule="auto" w:line="276"/>
      </w:pPr>
      <w:r>
        <w:rPr>
          <w:b/>
        </w:rPr>
        <w:t xml:space="preserve">Abstract (EN): </w:t>
      </w:r>
      <w:r>
        <w:t>Sulfonimidamides are highly appealing owing to their capacity for extensive structural diversification and their broad‐spectrum, versatile bioactivities. In the present work, functionalized chiral sulfonimidamides bearing both 1,3‐</w:t>
      </w:r>
      <w:r>
        <w:t xml:space="preserve"> </w:t>
      </w:r>
      <w:r>
        <w:t>S</w:t>
      </w:r>
      <w:r>
        <w:t xml:space="preserve"> </w:t>
      </w:r>
      <w:r>
        <w:t>(VI)‐ and</w:t>
      </w:r>
      <w:r>
        <w:t xml:space="preserve"> </w:t>
      </w:r>
      <w:r>
        <w:t>C</w:t>
      </w:r>
      <w:r>
        <w:t xml:space="preserve"> </w:t>
      </w:r>
      <w:r>
        <w:t>‐stereocenters were successfully synthesized via the desymmetrization of sulfonimidamides, which was realized by the highly diastereo‐ and enantioselective conjugate addition of 3‐bromo‐3‐substituted oxindoles to sulfonimidamides, with a chiral</w:t>
      </w:r>
      <w:r>
        <w:t xml:space="preserve"> </w:t>
      </w:r>
      <w:r>
        <w:t>N,N</w:t>
      </w:r>
      <w:r>
        <w:t xml:space="preserve"> </w:t>
      </w:r>
      <w:r>
        <w:t>′‐dioxide/Ni(II) complex serving as the Lewis acid catalyst. This transformation features mild reaction conditions, excellent functional group tolerance, and a broad substrate scope.</w:t>
      </w:r>
    </w:p>
    <w:p>
      <w:pPr>
        <w:spacing w:before="120" w:after="120"/>
      </w:pPr>
      <w:r>
        <w:rPr>
          <w:sz w:val="18"/>
        </w:rPr>
        <w:t>——————————————————————————————————————————————————————————————————————</w:t>
      </w:r>
    </w:p>
    <w:p>
      <w:pPr>
        <w:spacing w:before="160" w:after="40" w:line="240" w:lineRule="auto"/>
      </w:pPr>
      <w:r>
        <w:rPr>
          <w:b/>
        </w:rPr>
        <w:t xml:space="preserve">[516] </w:t>
      </w:r>
      <w:hyperlink r:id="rId1302">
        <w:r>
          <w:rPr>
            <w:color w:val="1155CC"/>
            <w:u w:val="single"/>
          </w:rPr>
          <w:t>利用隔离金属酸结构重定向串联催化中的反应路径</w:t>
        </w:r>
      </w:hyperlink>
    </w:p>
    <w:p>
      <w:pPr>
        <w:spacing w:before="0" w:after="80"/>
      </w:pPr>
      <w:r>
        <w:rPr>
          <w:i/>
          <w:sz w:val="20"/>
        </w:rPr>
        <w:t>EN: Redirecting Reaction Pathway in Tandem Catalysis With Isolated Metal–Acid Architecture</w:t>
      </w:r>
    </w:p>
    <w:p>
      <w:pPr>
        <w:spacing w:before="0" w:after="120"/>
      </w:pPr>
      <w:r>
        <w:rPr>
          <w:b/>
        </w:rPr>
        <w:t xml:space="preserve">Source: </w:t>
      </w:r>
      <w:r>
        <w:t>Wiley: Angewandte Chemie International Edition: Table of Contents</w:t>
      </w:r>
      <w:r>
        <w:t xml:space="preserve">    </w:t>
      </w:r>
      <w:r>
        <w:rPr>
          <w:b/>
        </w:rPr>
        <w:t xml:space="preserve">Pub date: </w:t>
      </w:r>
      <w:r>
        <w:t>2026-07-15 12:26:19+00:00</w:t>
      </w:r>
      <w:r>
        <w:t xml:space="preserve">    </w:t>
      </w:r>
      <w:r>
        <w:rPr>
          <w:b/>
        </w:rPr>
        <w:t xml:space="preserve">DOI: </w:t>
      </w:r>
      <w:hyperlink r:id="rId1303">
        <w:r>
          <w:rPr>
            <w:color w:val="1155CC"/>
            <w:u w:val="single"/>
          </w:rPr>
          <w:t>10.1002/anie.3006407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酸双功能催化剂的合理设计对于串联催化至关重要。然而，由于反应物不加区别地接触金属和酸中心，中间体形成和转化的精确控制仍然具有挑战性。在此，我们利用方钠石（SOD）框架的空间位阻来排除大体积的苯和环己烯进入金属位点，将中间体环己烯的形成和转化仅限于酸性区域，并打破了环己烯从金属迁移到相邻酸性位点的传统竞争途径。实验上，Ru纳米颗粒被限制在SOD框架内（Ru@SOD），并通过与HY沸石混合引入远端酸性位点。深入研究表明，HY 域上的耦合氢化-烷基化反应驱动氢泵效应，该效应不断从封装的 Ru 位点吸引活性氢溢出，以维持有效的苯加氢烷基化。这种孤立的金属酸结构将竞争性氢化/烷基化的途径重定向到由氢溢出介导的酸驱动的烷基化。 Ru@SOD + HY 催化剂的苯转化率约为 40%，环己基苯 (CHB) 选择性为 75.6%，CHB 产率为创纪录的 47.3%，显着优于参考样品和迄今为止报道的其他催化剂。这项工作提供了金属酸位点的通用空间隔离，以调节中间体的演化并优化复杂串联催化中的选择性。</w:t>
      </w:r>
    </w:p>
    <w:p>
      <w:pPr>
        <w:spacing w:before="0" w:after="200" w:lineRule="auto" w:line="276"/>
      </w:pPr>
      <w:r>
        <w:rPr>
          <w:b/>
        </w:rPr>
        <w:t xml:space="preserve">Abstract (EN): </w:t>
      </w:r>
      <w:r>
        <w:t>The rational design of metal‐acid bifunctional catalysts is critical for tandem catalysis. However, the precise control of intermediate formation and conversion remains challenging due to indiscriminate reactant access to both metal and acid centers. Herein, we utilize the steric hindrance of the sodalite (SOD) framework to exclude bulky benzene and cyclohexene from accessing the metal sites, confining intermediate cyclohexene formation and conversion exclusively to acidic domains and breaking the conventional competitive pathway of cyclohexene migration from metal to adjacent acid sites. Experimentally, Ru nanoparticles were confined within the SOD framework (Ru@SOD), and distal acid sites were introduced by mixing with HY zeolite. In‐depth studies reveal that coupled hydrogenation‐alkylation reactions over HY domains drive a hydrogen pump effect, which continuously draws active hydrogen spillover from encapsulated Ru sites to sustain efficient benzene hydroalkylation. Such isolated metal‐acid architecture redirects the pathway from a competitive hydrogenation/alkylation to an acid‐driven alkylation mediated by hydrogen spillover. At ∼40% benzene conversion, 75.6% cyclohexylbenzene (CHB) selectivity and a record‐high 47.3% CHB yield were achieved with the Ru@SOD + HY catalyst, significantly outperforming reference samples and other catalysts reported to date. This work provides a universal spatial isolation of metal‐acid sites to modulate intermediate evolution and optimize selectivity in complex tandem catalysis.</w:t>
      </w:r>
    </w:p>
    <w:p>
      <w:pPr>
        <w:spacing w:before="120" w:after="120"/>
      </w:pPr>
      <w:r>
        <w:rPr>
          <w:sz w:val="18"/>
        </w:rPr>
        <w:t>——————————————————————————————————————————————————————————————————————</w:t>
      </w:r>
    </w:p>
    <w:p>
      <w:pPr>
        <w:spacing w:before="160" w:after="40" w:line="240" w:lineRule="auto"/>
      </w:pPr>
      <w:r>
        <w:rPr>
          <w:b/>
        </w:rPr>
        <w:t xml:space="preserve">[517] </w:t>
      </w:r>
      <w:hyperlink r:id="rId1304">
        <w:r>
          <w:rPr>
            <w:color w:val="1155CC"/>
            <w:u w:val="single"/>
          </w:rPr>
          <w:t>病毒介导的功能性环糊精自组装用于抗病毒抑制</w:t>
        </w:r>
      </w:hyperlink>
    </w:p>
    <w:p>
      <w:pPr>
        <w:spacing w:before="0" w:after="80"/>
      </w:pPr>
      <w:r>
        <w:rPr>
          <w:i/>
          <w:sz w:val="20"/>
        </w:rPr>
        <w:t>EN: Virus‐Mediated Self‐Assembly of Functional Cyclodextrins for Antiviral Inhibition</w:t>
      </w:r>
    </w:p>
    <w:p>
      <w:pPr>
        <w:spacing w:before="0" w:after="120"/>
      </w:pPr>
      <w:r>
        <w:rPr>
          <w:b/>
        </w:rPr>
        <w:t xml:space="preserve">Source: </w:t>
      </w:r>
      <w:r>
        <w:t>Wiley: Angewandte Chemie International Edition: Table of Contents</w:t>
      </w:r>
      <w:r>
        <w:t xml:space="preserve">    </w:t>
      </w:r>
      <w:r>
        <w:rPr>
          <w:b/>
        </w:rPr>
        <w:t xml:space="preserve">Pub date: </w:t>
      </w:r>
      <w:r>
        <w:t>2026-07-15 12:29:57+00:00</w:t>
      </w:r>
      <w:r>
        <w:t xml:space="preserve">    </w:t>
      </w:r>
      <w:r>
        <w:rPr>
          <w:b/>
        </w:rPr>
        <w:t xml:space="preserve">DOI: </w:t>
      </w:r>
      <w:hyperlink r:id="rId1305">
        <w:r>
          <w:rPr>
            <w:color w:val="1155CC"/>
            <w:u w:val="single"/>
          </w:rPr>
          <w:t>10.1002/anie.3935543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病毒介导的超分子组装体作为病毒感染的适应性抑制剂。在环糊精（CD）主客体自组装的基础上，我们设计了带有金刚烷基单元的单体以促进包合介导的聚合，跨CD空腔的桥以防止自包合，以及唾液酸（SA）配体以接合尖峰聚糖识别位点。合成了一系列 SA 功能化的自组装 CD，以及非组装和非结合对照。在细胞感染测定中，SA功能化的自组装CD抑制了SARS-CoV-2诱导的细胞病变效应（CPE），而没有检测到细胞毒性，而对照则没有活性，这表明自组装和配体识别都是抗病毒活性所必需的。对活性SA功能化自组装CD的核磁共振和冷冻电子显微镜研究表明，病毒表面通过配体-受体识别使协同超分子聚合成核，从而介导超分子聚合物生长。对多种 SARS-CoV-2 变体均保持抑制作用，与​​适应性组装一致。与非功能化自组装 CD 的共组装在低配体分数下保留了强抑制作用，支持具有优化配体间距的杂聚物形成。这些发现将病毒介导的功能性 CD 超分子聚合确立为模块化抗病毒平台。</w:t>
      </w:r>
    </w:p>
    <w:p>
      <w:pPr>
        <w:spacing w:before="0" w:after="200" w:lineRule="auto" w:line="276"/>
      </w:pPr>
      <w:r>
        <w:rPr>
          <w:b/>
        </w:rPr>
        <w:t xml:space="preserve">Abstract (EN): </w:t>
      </w:r>
      <w:r>
        <w:t>We report a virus‐mediated supramolecular assembly as an adaptive inhibitor of viral infection. Building on cyclodextrin (CD) host–guest self‐assembly, we designed a monomer bearing an adamantyl unit to promote inclusion‐mediated polymerization, a bridge across the CD cavity to prevent self‐inclusion, and a sialic acid (SA) ligand to engage spike glycan‐recognition sites. A series of SA‐functionalized self‐assembling CDs was synthesized, together with nonassembling and nonbinding controls. In cellular infection assays, the SA‐functionalized self‐assembling CD inhibited SARS‐CoV‐2‐induced cytopathic effect (CPE) without detectable cytotoxicity, whereas controls were inactive, indicating that both self‐assembly and ligand recognition are required for antiviral activity. NMR and cryo‐electron microscopy studies of the active SA‐functionalized self‐assembling CD show that the viral surface mediates supramolecular polymer growth by nucleating cooperative supramolecular polymerization through ligand–receptor recognition. Inhibition was maintained across multiple SARS‐CoV‐2 variants, consistent with adaptive assembly. Coassembly with an unfunctionalized self‐assembling CD preserved strong inhibition at low ligand fractions, supporting heteropolymer formation with optimized ligand spacing. These findings establish virus‐mediated supramolecular polymerization of functional CDs as a modular antiviral platform.</w:t>
      </w:r>
    </w:p>
    <w:p>
      <w:pPr>
        <w:spacing w:before="120" w:after="120"/>
      </w:pPr>
      <w:r>
        <w:rPr>
          <w:sz w:val="18"/>
        </w:rPr>
        <w:t>——————————————————————————————————————————————————————————————————————</w:t>
      </w:r>
    </w:p>
    <w:p>
      <w:pPr>
        <w:spacing w:before="160" w:after="40" w:line="240" w:lineRule="auto"/>
      </w:pPr>
      <w:r>
        <w:rPr>
          <w:b/>
        </w:rPr>
        <w:t xml:space="preserve">[518] </w:t>
      </w:r>
      <w:hyperlink r:id="rId1306">
        <w:r>
          <w:rPr>
            <w:color w:val="1155CC"/>
            <w:u w:val="single"/>
          </w:rPr>
          <w:t>Click'n ROPISA：一锅法合成由多肽制成的超亮荧光纳米颗粒</w:t>
        </w:r>
      </w:hyperlink>
    </w:p>
    <w:p>
      <w:pPr>
        <w:spacing w:before="0" w:after="80"/>
      </w:pPr>
      <w:r>
        <w:rPr>
          <w:i/>
          <w:sz w:val="20"/>
        </w:rPr>
        <w:t>EN: Click'n ROPISA: One‐Pot Synthesis of Ultrabright Fluorescent Nanoparticles Made of Polypeptides</w:t>
      </w:r>
    </w:p>
    <w:p>
      <w:pPr>
        <w:spacing w:before="0" w:after="120"/>
      </w:pPr>
      <w:r>
        <w:rPr>
          <w:b/>
        </w:rPr>
        <w:t xml:space="preserve">Source: </w:t>
      </w:r>
      <w:r>
        <w:t>Wiley: Angewandte Chemie International Edition: Table of Contents</w:t>
      </w:r>
      <w:r>
        <w:t xml:space="preserve">    </w:t>
      </w:r>
      <w:r>
        <w:rPr>
          <w:b/>
        </w:rPr>
        <w:t xml:space="preserve">Pub date: </w:t>
      </w:r>
      <w:r>
        <w:t>2026-07-15 12:30:55+00:00</w:t>
      </w:r>
      <w:r>
        <w:t xml:space="preserve">    </w:t>
      </w:r>
      <w:r>
        <w:rPr>
          <w:b/>
        </w:rPr>
        <w:t xml:space="preserve">DOI: </w:t>
      </w:r>
      <w:hyperlink r:id="rId1307">
        <w:r>
          <w:rPr>
            <w:color w:val="1155CC"/>
            <w:u w:val="single"/>
          </w:rPr>
          <w:t>10.1002/anie.1373955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荧光纳米粒子广泛用于生物成像和传感，但其制备依赖于多步合成路线，限制了可扩展性和结构控制。在这里，我们介绍了一种耦合 γ-炔丙基-L-谷氨酸的水性开环聚合诱导自组装（ROPISA）的一锅策略</w:t>
      </w:r>
      <w:r>
        <w:t xml:space="preserve"> </w:t>
      </w:r>
      <w:r>
        <w:t>氮</w:t>
      </w:r>
      <w:r>
        <w:t xml:space="preserve"> </w:t>
      </w:r>
      <w:r>
        <w:t>‐羧酸酐与铜催化的叠氮化物-炔烃环加成（CuAAC）产生荧光多肽纳米颗粒。这种一锅式“Click'n ROPISA”工艺能够同时形成多肽纳米物体和共价结合多种叠氮基官能化荧光团。所得组件在可见光谱范围内表现出可调谐发射，并且可在高固体含量下使用，同时保持高亮度和结构均匀性。密集的荧光团掺入可在组件内和染料标记的蛋白质上实现高效的福斯特共振能量转移 (FRET)，支持传感应用。发红光的纳米颗粒的强烈亮度进一步使得显微镜中的单颗粒跟踪能够实现先进的生物成像。</w:t>
      </w:r>
    </w:p>
    <w:p>
      <w:pPr>
        <w:spacing w:before="0" w:after="200" w:lineRule="auto" w:line="276"/>
      </w:pPr>
      <w:r>
        <w:rPr>
          <w:b/>
        </w:rPr>
        <w:t xml:space="preserve">Abstract (EN): </w:t>
      </w:r>
      <w:r>
        <w:t>Fluorescent nanoparticles are widely used in bioimaging and sensing, yet their preparation relies on multistep synthetic routes that limit scalability and structural control. Here we introduce a one‐pot strategy that couples aqueous ring‐opening polymerization‐induced self‐assembly (ROPISA) of γ‐propargyl‐L‐glutamate</w:t>
      </w:r>
      <w:r>
        <w:t xml:space="preserve"> </w:t>
      </w:r>
      <w:r>
        <w:t>N</w:t>
      </w:r>
      <w:r>
        <w:t xml:space="preserve"> </w:t>
      </w:r>
      <w:r>
        <w:t>‐carboxyanhydride with copper‐catalyzed azide–alkyne cycloaddition (CuAAC) to produce fluorescent polypeptide nanoparticles. This one‐pot “Click'n ROPISA” process enables the simultaneous formation of polypeptide nano‐objects and covalent incorporation of diverse azido‐functionalized fluorophores. The resulting assemblies exhibit tunable emission across the visible spectrum and are accessible at high solids content while maintaining high brightness and structural uniformity. Dense fluorophore incorporation enables efficient Förster resonance energy transfer (FRET) both within the assemblies and with dye‐labeled proteins, supporting sensing applications. The intense brightness of the red‐emitting nanoparticles further enables single‐particle tracking in microscopy toward advanced bioimaging.</w:t>
      </w:r>
    </w:p>
    <w:p>
      <w:pPr>
        <w:spacing w:before="120" w:after="120"/>
      </w:pPr>
      <w:r>
        <w:rPr>
          <w:sz w:val="18"/>
        </w:rPr>
        <w:t>——————————————————————————————————————————————————————————————————————</w:t>
      </w:r>
    </w:p>
    <w:p>
      <w:pPr>
        <w:spacing w:before="160" w:after="40" w:line="240" w:lineRule="auto"/>
      </w:pPr>
      <w:r>
        <w:rPr>
          <w:b/>
        </w:rPr>
        <w:t xml:space="preserve">[519] </w:t>
      </w:r>
      <w:hyperlink r:id="rId1308">
        <w:r>
          <w:rPr>
            <w:color w:val="1155CC"/>
            <w:u w:val="single"/>
          </w:rPr>
          <w:t>覆盖层设计的 BiVO4 抑制 H2O2 分解以实现持续的光催化生产</w:t>
        </w:r>
      </w:hyperlink>
    </w:p>
    <w:p>
      <w:pPr>
        <w:spacing w:before="0" w:after="80"/>
      </w:pPr>
      <w:r>
        <w:rPr>
          <w:i/>
          <w:sz w:val="20"/>
        </w:rPr>
        <w:t>EN: Overlayer‐Engineered BiVO4 Suppresses H2O2 Decomposition to Enable Sustained Photocatalytic Production</w:t>
      </w:r>
    </w:p>
    <w:p>
      <w:pPr>
        <w:spacing w:before="0" w:after="120"/>
      </w:pPr>
      <w:r>
        <w:rPr>
          <w:b/>
        </w:rPr>
        <w:t xml:space="preserve">Source: </w:t>
      </w:r>
      <w:r>
        <w:t>Wiley: Angewandte Chemie International Edition: Table of Contents</w:t>
      </w:r>
      <w:r>
        <w:t xml:space="preserve">    </w:t>
      </w:r>
      <w:r>
        <w:rPr>
          <w:b/>
        </w:rPr>
        <w:t xml:space="preserve">Pub date: </w:t>
      </w:r>
      <w:r>
        <w:t>2026-07-15 12:38:49+00:00</w:t>
      </w:r>
      <w:r>
        <w:t xml:space="preserve">    </w:t>
      </w:r>
      <w:r>
        <w:rPr>
          <w:b/>
        </w:rPr>
        <w:t xml:space="preserve">DOI: </w:t>
      </w:r>
      <w:hyperlink r:id="rId1309">
        <w:r>
          <w:rPr>
            <w:color w:val="1155CC"/>
            <w:u w:val="single"/>
          </w:rPr>
          <w:t>10.1002/anie.2175887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无机半导体光催化剂在过氧化氢（H</w:t>
      </w:r>
      <w:r>
        <w:rPr>
          <w:vertAlign w:val="subscript"/>
        </w:rPr>
        <w:t>2</w:t>
      </w:r>
      <w:r>
        <w:t>氧</w:t>
      </w:r>
      <w:r>
        <w:rPr>
          <w:vertAlign w:val="subscript"/>
        </w:rPr>
        <w:t>2</w:t>
      </w:r>
      <w:r>
        <w:t>）生产由于其固有的抗自由基氧化的稳健性。然而，H的快速表面介导分解</w:t>
      </w:r>
      <w:r>
        <w:rPr>
          <w:vertAlign w:val="subscript"/>
        </w:rPr>
        <w:t>2</w:t>
      </w:r>
      <w:r>
        <w:t>氧</w:t>
      </w:r>
      <w:r>
        <w:rPr>
          <w:vertAlign w:val="subscript"/>
        </w:rPr>
        <w:t>2</w:t>
      </w:r>
      <w:r>
        <w:t>纯水仍然是持续生产的关键瓶颈。这项研究表明，非晶金属氧化物覆盖策略可以有效抑制 H</w:t>
      </w:r>
      <w:r>
        <w:rPr>
          <w:vertAlign w:val="subscript"/>
        </w:rPr>
        <w:t>2</w:t>
      </w:r>
      <w:r>
        <w:t>氧</w:t>
      </w:r>
      <w:r>
        <w:rPr>
          <w:vertAlign w:val="subscript"/>
        </w:rPr>
        <w:t>2</w:t>
      </w:r>
      <w:r>
        <w:t>Mo掺杂BiVO的分解</w:t>
      </w:r>
      <w:r>
        <w:rPr>
          <w:vertAlign w:val="subscript"/>
        </w:rPr>
        <w:t>4</w:t>
      </w:r>
      <w:r>
        <w:t>(BiVO</w:t>
      </w:r>
      <w:r>
        <w:rPr>
          <w:vertAlign w:val="subscript"/>
        </w:rPr>
        <w:t>4</w:t>
      </w:r>
      <w:r>
        <w:t>:Mo) 光催化剂，可增强和持续 H</w:t>
      </w:r>
      <w:r>
        <w:rPr>
          <w:vertAlign w:val="subscript"/>
        </w:rPr>
        <w:t>2</w:t>
      </w:r>
      <w:r>
        <w:t>氧</w:t>
      </w:r>
      <w:r>
        <w:rPr>
          <w:vertAlign w:val="subscript"/>
        </w:rPr>
        <w:t>2</w:t>
      </w:r>
      <w:r>
        <w:t>生产。结果表明，非晶态 TiO</w:t>
      </w:r>
      <w:r>
        <w:rPr>
          <w:vertAlign w:val="subscript"/>
        </w:rPr>
        <w:t>2</w:t>
      </w:r>
      <w:r>
        <w:t>BiVO 上的薄层</w:t>
      </w:r>
      <w:r>
        <w:rPr>
          <w:vertAlign w:val="subscript"/>
        </w:rPr>
        <w:t>4</w:t>
      </w:r>
      <w:r>
        <w:t>:Mo不仅削弱H</w:t>
      </w:r>
      <w:r>
        <w:rPr>
          <w:vertAlign w:val="subscript"/>
        </w:rPr>
        <w:t>2</w:t>
      </w:r>
      <w:r>
        <w:t>氧</w:t>
      </w:r>
      <w:r>
        <w:rPr>
          <w:vertAlign w:val="subscript"/>
        </w:rPr>
        <w:t>2</w:t>
      </w:r>
      <w:r>
        <w:t>吸附同时也抑制吸附 H 的活化</w:t>
      </w:r>
      <w:r>
        <w:rPr>
          <w:vertAlign w:val="subscript"/>
        </w:rPr>
        <w:t>2</w:t>
      </w:r>
      <w:r>
        <w:t>氧</w:t>
      </w:r>
      <w:r>
        <w:rPr>
          <w:vertAlign w:val="subscript"/>
        </w:rPr>
        <w:t>2</w:t>
      </w:r>
      <w:r>
        <w:t>分子，导致分解速率常数降低至原始对应物的~13%。同时，非晶态TiO</w:t>
      </w:r>
      <w:r>
        <w:rPr>
          <w:vertAlign w:val="subscript"/>
        </w:rPr>
        <w:t>2</w:t>
      </w:r>
      <w:r>
        <w:t>覆盖层保持双电子的光催化活性</w:t>
      </w:r>
    </w:p>
    <w:p>
      <w:pPr>
        <w:spacing w:before="0" w:after="200" w:lineRule="auto" w:line="276"/>
      </w:pPr>
      <w:r>
        <w:rPr>
          <w:b/>
        </w:rPr>
        <w:t xml:space="preserve">Abstract (EN): </w:t>
      </w:r>
      <w:r>
        <w:t>Inorganic semiconductor photocatalysts are highly promising for hydrogen peroxide (H</w:t>
      </w:r>
      <w:r>
        <w:rPr>
          <w:vertAlign w:val="subscript"/>
        </w:rPr>
        <w:t>2</w:t>
      </w:r>
      <w:r>
        <w:t>O</w:t>
      </w:r>
      <w:r>
        <w:rPr>
          <w:vertAlign w:val="subscript"/>
        </w:rPr>
        <w:t>2</w:t>
      </w:r>
      <w:r>
        <w:t>) production due to their inherent robustness against radical oxidation. However, the rapid surface‐mediated decomposition of H</w:t>
      </w:r>
      <w:r>
        <w:rPr>
          <w:vertAlign w:val="subscript"/>
        </w:rPr>
        <w:t>2</w:t>
      </w:r>
      <w:r>
        <w:t>O</w:t>
      </w:r>
      <w:r>
        <w:rPr>
          <w:vertAlign w:val="subscript"/>
        </w:rPr>
        <w:t>2</w:t>
      </w:r>
      <w:r>
        <w:t>in pure water remains a critical bottleneck for sustained production. This study demonstrates that an amorphous metal oxide overlayer strategy can effectively suppress H</w:t>
      </w:r>
      <w:r>
        <w:rPr>
          <w:vertAlign w:val="subscript"/>
        </w:rPr>
        <w:t>2</w:t>
      </w:r>
      <w:r>
        <w:t>O</w:t>
      </w:r>
      <w:r>
        <w:rPr>
          <w:vertAlign w:val="subscript"/>
        </w:rPr>
        <w:t>2</w:t>
      </w:r>
      <w:r>
        <w:t>decomposition on Mo‐doped BiVO</w:t>
      </w:r>
      <w:r>
        <w:rPr>
          <w:vertAlign w:val="subscript"/>
        </w:rPr>
        <w:t>4</w:t>
      </w:r>
      <w:r>
        <w:t>(BiVO</w:t>
      </w:r>
      <w:r>
        <w:rPr>
          <w:vertAlign w:val="subscript"/>
        </w:rPr>
        <w:t>4</w:t>
      </w:r>
      <w:r>
        <w:t>:Mo) photocatalyst, enabling enhanced and sustained H</w:t>
      </w:r>
      <w:r>
        <w:rPr>
          <w:vertAlign w:val="subscript"/>
        </w:rPr>
        <w:t>2</w:t>
      </w:r>
      <w:r>
        <w:t>O</w:t>
      </w:r>
      <w:r>
        <w:rPr>
          <w:vertAlign w:val="subscript"/>
        </w:rPr>
        <w:t>2</w:t>
      </w:r>
      <w:r>
        <w:t>production. It is revealed that an amorphous TiO</w:t>
      </w:r>
      <w:r>
        <w:rPr>
          <w:vertAlign w:val="subscript"/>
        </w:rPr>
        <w:t>2</w:t>
      </w:r>
      <w:r>
        <w:t>thin layer on BiVO</w:t>
      </w:r>
      <w:r>
        <w:rPr>
          <w:vertAlign w:val="subscript"/>
        </w:rPr>
        <w:t>4</w:t>
      </w:r>
      <w:r>
        <w:t>:Mo not only weakens H</w:t>
      </w:r>
      <w:r>
        <w:rPr>
          <w:vertAlign w:val="subscript"/>
        </w:rPr>
        <w:t>2</w:t>
      </w:r>
      <w:r>
        <w:t>O</w:t>
      </w:r>
      <w:r>
        <w:rPr>
          <w:vertAlign w:val="subscript"/>
        </w:rPr>
        <w:t>2</w:t>
      </w:r>
      <w:r>
        <w:t>adsorption but also inhibits the activation of adsorbed H</w:t>
      </w:r>
      <w:r>
        <w:rPr>
          <w:vertAlign w:val="subscript"/>
        </w:rPr>
        <w:t>2</w:t>
      </w:r>
      <w:r>
        <w:t>O</w:t>
      </w:r>
      <w:r>
        <w:rPr>
          <w:vertAlign w:val="subscript"/>
        </w:rPr>
        <w:t>2</w:t>
      </w:r>
      <w:r>
        <w:t>molecules, leading to a decrease in the decomposition rate constant to only ∼13% of its pristine counterpart. Meanwhile, the amorphous TiO</w:t>
      </w:r>
      <w:r>
        <w:rPr>
          <w:vertAlign w:val="subscript"/>
        </w:rPr>
        <w:t>2</w:t>
      </w:r>
      <w:r>
        <w:t>overlayer maintains the photocatalytic activities for two‐electron oxygen reduction and four‐hole water oxidation by enabling effective charge transfer while remaining permeable to water and oxygen. Consequently, the Au/TiO</w:t>
      </w:r>
      <w:r>
        <w:rPr>
          <w:vertAlign w:val="subscript"/>
        </w:rPr>
        <w:t>2</w:t>
      </w:r>
      <w:r>
        <w:t>/BiVO</w:t>
      </w:r>
      <w:r>
        <w:rPr>
          <w:vertAlign w:val="subscript"/>
        </w:rPr>
        <w:t>4</w:t>
      </w:r>
      <w:r>
        <w:t>:Mo photocatalyst achieves a threefold increase in the yield compared to the unmodified Au/BiVO</w:t>
      </w:r>
      <w:r>
        <w:rPr>
          <w:vertAlign w:val="subscript"/>
        </w:rPr>
        <w:t>4</w:t>
      </w:r>
      <w:r>
        <w:t>:Mo. Furthermore, the effectiveness of other amorphous metal oxides, such as SiO</w:t>
      </w:r>
      <w:r>
        <w:rPr>
          <w:vertAlign w:val="subscript"/>
        </w:rPr>
        <w:t>2</w:t>
      </w:r>
      <w:r>
        <w:t>and Nb</w:t>
      </w:r>
      <w:r>
        <w:rPr>
          <w:vertAlign w:val="subscript"/>
        </w:rPr>
        <w:t>2</w:t>
      </w:r>
      <w:r>
        <w:t>O</w:t>
      </w:r>
      <w:r>
        <w:rPr>
          <w:vertAlign w:val="subscript"/>
        </w:rPr>
        <w:t>5</w:t>
      </w:r>
      <w:r>
        <w:t>, underscores the universality of this amorphous overlayer strategy. This work provides a general method for sustained H</w:t>
      </w:r>
      <w:r>
        <w:rPr>
          <w:vertAlign w:val="subscript"/>
        </w:rPr>
        <w:t>2</w:t>
      </w:r>
      <w:r>
        <w:t>O</w:t>
      </w:r>
      <w:r>
        <w:rPr>
          <w:vertAlign w:val="subscript"/>
        </w:rPr>
        <w:t>2</w:t>
      </w:r>
      <w:r>
        <w:t>production over BiVO</w:t>
      </w:r>
      <w:r>
        <w:rPr>
          <w:vertAlign w:val="subscript"/>
        </w:rPr>
        <w:t>4</w:t>
      </w:r>
      <w:r>
        <w:t>photocatalysts, offering broad potential for efficient solar energy conversion.</w:t>
      </w:r>
    </w:p>
    <w:p>
      <w:pPr>
        <w:spacing w:before="120" w:after="120"/>
      </w:pPr>
      <w:r>
        <w:rPr>
          <w:sz w:val="18"/>
        </w:rPr>
        <w:t>——————————————————————————————————————————————————————————————————————</w:t>
      </w:r>
    </w:p>
    <w:p>
      <w:pPr>
        <w:spacing w:before="160" w:after="40" w:line="240" w:lineRule="auto"/>
      </w:pPr>
      <w:r>
        <w:rPr>
          <w:b/>
        </w:rPr>
        <w:t xml:space="preserve">[520] </w:t>
      </w:r>
      <w:hyperlink r:id="rId1310">
        <w:r>
          <w:rPr>
            <w:color w:val="1155CC"/>
            <w:u w:val="single"/>
          </w:rPr>
          <w:t>一种工程酶催化串联还原胺化合成叔胺</w:t>
        </w:r>
      </w:hyperlink>
    </w:p>
    <w:p>
      <w:pPr>
        <w:spacing w:before="0" w:after="80"/>
      </w:pPr>
      <w:r>
        <w:rPr>
          <w:i/>
          <w:sz w:val="20"/>
        </w:rPr>
        <w:t>EN: An Engineered Enzyme Catalyzing Tandem Reductive Aminations for Synthesizing Tertiary Amines</w:t>
      </w:r>
    </w:p>
    <w:p>
      <w:pPr>
        <w:spacing w:before="0" w:after="120"/>
      </w:pPr>
      <w:r>
        <w:rPr>
          <w:b/>
        </w:rPr>
        <w:t xml:space="preserve">Source: </w:t>
      </w:r>
      <w:r>
        <w:t>Wiley: Angewandte Chemie International Edition: Table of Contents</w:t>
      </w:r>
      <w:r>
        <w:t xml:space="preserve">    </w:t>
      </w:r>
      <w:r>
        <w:rPr>
          <w:b/>
        </w:rPr>
        <w:t xml:space="preserve">Pub date: </w:t>
      </w:r>
      <w:r>
        <w:t>2026-07-15 12:45:16+00:00</w:t>
      </w:r>
      <w:r>
        <w:t xml:space="preserve">    </w:t>
      </w:r>
      <w:r>
        <w:rPr>
          <w:b/>
        </w:rPr>
        <w:t xml:space="preserve">DOI: </w:t>
      </w:r>
      <w:hyperlink r:id="rId1311">
        <w:r>
          <w:rPr>
            <w:color w:val="1155CC"/>
            <w:u w:val="single"/>
          </w:rPr>
          <w:t>10.1002/anie.3307774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叔胺是生物活性分子中的特殊基序。然而，它们的化学合成缺乏可持续性，生物催化替代品仍未开发。因此，迫切需要开发创新的催化策略。我们在此公开了将野生型亚胺还原酶改造为串联氨基酶以进行连续分子间还原胺化，命名为</w:t>
      </w:r>
      <w:r>
        <w:t xml:space="preserve"> </w:t>
      </w:r>
      <w:r>
        <w:t>阿拉伯联合酋长国</w:t>
      </w:r>
      <w:r>
        <w:t xml:space="preserve"> </w:t>
      </w:r>
      <w:r>
        <w:t>。串联氨基酶及其变体表现出双重催化优势，能够从广泛使用的伯胺前体中一锅合成数百种叔胺，并对多个立体中心进行精确的立体化学控制。通过 X 射线晶体学和诱变进行的机理剖析表明，酶袋的改变增强了第二步胺化的活性，这是成功串联催化的驱动力。总之，据我们所知，本研究通过亚胺还原酶重新设计，创建了第一个串联氨基酶，从而克服了获取叔胺的关键合成挑战。</w:t>
      </w:r>
    </w:p>
    <w:p>
      <w:pPr>
        <w:spacing w:before="0" w:after="200" w:lineRule="auto" w:line="276"/>
      </w:pPr>
      <w:r>
        <w:rPr>
          <w:b/>
        </w:rPr>
        <w:t xml:space="preserve">Abstract (EN): </w:t>
      </w:r>
      <w:r>
        <w:t>Tertiary amines are privileged motifs in bioactive molecules. However, their chemical synthesis lacks sustainability, and biocatalytic alternatives remain underdeveloped. Therefore, there is an urgent need to develop innovative catalytic strategies. We herein disclose the engineering of a wild‐type imine reductase into a tandem aminase for consecutive intermolecular reductive aminations, designated</w:t>
      </w:r>
      <w:r>
        <w:t xml:space="preserve"> </w:t>
      </w:r>
      <w:r>
        <w:t>AHTanAm</w:t>
      </w:r>
      <w:r>
        <w:t xml:space="preserve"> </w:t>
      </w:r>
      <w:r>
        <w:t>. The tandem aminase and its variants exhibit dual catalytic advantages, enabling one‐pot synthesis of hundreds of tertiary amines from broadly available primary amine precursors, and exerting precise stereochemical control over multiple stereocenters. Mechanistic dissection via x‐ray crystallography and mutagenesis revealed that enzyme‐pocket alterations amplify the second‐step amination's activity, which serves as the driving force for successful tandem catalysis. In summary, this study bridges the critical synthetic challenge in accessing tertiary amines by creating the first tandem aminase, to the best of our knowledge, via imine‐reductase redesign.</w:t>
      </w:r>
    </w:p>
    <w:p>
      <w:pPr>
        <w:spacing w:before="120" w:after="120"/>
      </w:pPr>
      <w:r>
        <w:rPr>
          <w:sz w:val="18"/>
        </w:rPr>
        <w:t>——————————————————————————————————————————————————————————————————————</w:t>
      </w:r>
    </w:p>
    <w:p>
      <w:pPr>
        <w:spacing w:before="160" w:after="40" w:line="240" w:lineRule="auto"/>
      </w:pPr>
      <w:r>
        <w:rPr>
          <w:b/>
        </w:rPr>
        <w:t xml:space="preserve">[521] </w:t>
      </w:r>
      <w:hyperlink r:id="rId1312">
        <w:r>
          <w:rPr>
            <w:color w:val="1155CC"/>
            <w:u w:val="single"/>
          </w:rPr>
          <w:t>用于主动光操纵和转向的现场可编程移动磁光子超粒子</w:t>
        </w:r>
      </w:hyperlink>
    </w:p>
    <w:p>
      <w:pPr>
        <w:spacing w:before="0" w:after="80"/>
      </w:pPr>
      <w:r>
        <w:rPr>
          <w:i/>
          <w:sz w:val="20"/>
        </w:rPr>
        <w:t>EN: Field‐Programmable Mobile Magneto‐Photonic Metaparticles for Active Light Manipulation and Steering</w:t>
      </w:r>
    </w:p>
    <w:p>
      <w:pPr>
        <w:spacing w:before="0" w:after="120"/>
      </w:pPr>
      <w:r>
        <w:rPr>
          <w:b/>
        </w:rPr>
        <w:t xml:space="preserve">Source: </w:t>
      </w:r>
      <w:r>
        <w:t>Wiley: Advanced Materials: Table of Contents</w:t>
      </w:r>
      <w:r>
        <w:t xml:space="preserve">    </w:t>
      </w:r>
      <w:r>
        <w:rPr>
          <w:b/>
        </w:rPr>
        <w:t xml:space="preserve">Pub date: </w:t>
      </w:r>
      <w:r>
        <w:t>2026-07-15 15:51:43+00:00</w:t>
      </w:r>
      <w:r>
        <w:t xml:space="preserve">    </w:t>
      </w:r>
      <w:r>
        <w:rPr>
          <w:b/>
        </w:rPr>
        <w:t xml:space="preserve">DOI: </w:t>
      </w:r>
      <w:hyperlink r:id="rId1313">
        <w:r>
          <w:rPr>
            <w:color w:val="1155CC"/>
            <w:u w:val="single"/>
          </w:rPr>
          <w:t>10.1002/adma.74028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复杂和动态的环境中控制光流对于从深层组织成像和光遗传学到精确光疗的广泛应用至关重要。通常，此类光流是使用需要视线访问的外部光学系统或通过方向控制有限的嵌入式纳米颗粒散射器来控制的，这强调了对能够在复杂介质内主动传输和控制光的移动光子剂的需求。在这里，我们提出了磁光子超粒子：可移动的磁驱动微结构，将磁芯与纳米压印光子表面集成在一起。这种混合设计将光子超表面的可重构性与磁驱动的移动性相结合，实现了水介质中的可编程平移、旋转和实时光束控制。在概念验证演示中，我们实现了具有嵌入式磁芯和纳米压印表面的聚合物超粒子，其表现出受控运动和主动、磁性可编程光束控制。我们的设计方法进一步指出了更复杂的超粒子设计，具有高效、偏振不敏感的光控制，与可扩展的单步纳米压印工艺兼容。移动磁光子超粒子平台将超表面级光学控制与磁迁移率相结合，为复杂环境中的主动光子控制提供了一种多功能且可扩展的方法。</w:t>
      </w:r>
    </w:p>
    <w:p>
      <w:pPr>
        <w:spacing w:before="0" w:after="200" w:lineRule="auto" w:line="276"/>
      </w:pPr>
      <w:r>
        <w:rPr>
          <w:b/>
        </w:rPr>
        <w:t xml:space="preserve">Abstract (EN): </w:t>
      </w:r>
      <w:r>
        <w:t>Controlling the flow of light within complex and dynamic environments is essential for a wide range of applications, from deep‐tissue imaging and optogenetics to precision phototherapy. Typically, such light flows are controlled using external optical systems requiring line‐of‐sight access or by embedded nanoparticle scatterers with limited directional control, underscoring the need for mobile photonic agents capable of actively delivering and steering light within complex media. Here, we present magneto‐photonic metaparticles: mobile, magnetically actuated microstructures that integrate a magnetic core with a nanoimprinted photonic surface. This hybrid design merges the reconfigurability of photonic metasurfaces with the mobility of magnetic actuation, enabling programmable translation, rotation, and real time beam steering in aqueous media. In a proof‐of‐concept demonstration, we realize polymeric metaparticles with an embedded magnetic core and a nanoimprinted surface that exhibit controlled locomotion and active, magnetically programmable beam steering. Our design approach further points to more sophisticated metaparticle designs with high‐efficiency, polarization‐insensitive light steering, compatible with a scalable, single‐step nanoimprint process. The mobile magneto‐photonic metaparticle platform combines metasurface‐level optical control with magnetic mobility, offering a versatile and scalable approach for active photonic control in complex environments.</w:t>
      </w:r>
    </w:p>
    <w:p>
      <w:pPr>
        <w:spacing w:before="120" w:after="120"/>
      </w:pPr>
      <w:r>
        <w:rPr>
          <w:sz w:val="18"/>
        </w:rPr>
        <w:t>——————————————————————————————————————————————————————————————————————</w:t>
      </w:r>
    </w:p>
    <w:p>
      <w:pPr>
        <w:spacing w:before="160" w:after="40" w:line="240" w:lineRule="auto"/>
      </w:pPr>
      <w:r>
        <w:rPr>
          <w:b/>
        </w:rPr>
        <w:t xml:space="preserve">[522] </w:t>
      </w:r>
      <w:hyperlink r:id="rId1314">
        <w:r>
          <w:rPr>
            <w:color w:val="1155CC"/>
            <w:u w:val="single"/>
          </w:rPr>
          <w:t>定制用于自旋发光二极管的手性钙钛矿纳米晶体</w:t>
        </w:r>
      </w:hyperlink>
    </w:p>
    <w:p>
      <w:pPr>
        <w:spacing w:before="0" w:after="80"/>
      </w:pPr>
      <w:r>
        <w:rPr>
          <w:i/>
          <w:sz w:val="20"/>
        </w:rPr>
        <w:t>EN: Tailoring chiral perovskite nanocrystals for spin light-emitting diodes</w:t>
      </w:r>
    </w:p>
    <w:p>
      <w:pPr>
        <w:spacing w:before="0" w:after="120"/>
      </w:pPr>
      <w:r>
        <w:rPr>
          <w:b/>
        </w:rPr>
        <w:t xml:space="preserve">Source: </w:t>
      </w:r>
      <w:r>
        <w:t>Matter</w:t>
      </w:r>
      <w:r>
        <w:t xml:space="preserve">    </w:t>
      </w:r>
      <w:r>
        <w:rPr>
          <w:b/>
        </w:rPr>
        <w:t xml:space="preserve">Pub date: </w:t>
      </w:r>
      <w:r>
        <w:t>2026-07-16 00:00:00+00:00</w:t>
      </w:r>
      <w:r>
        <w:t xml:space="preserve">    </w:t>
      </w:r>
      <w:r>
        <w:rPr>
          <w:b/>
        </w:rPr>
        <w:t xml:space="preserve">DOI: </w:t>
      </w:r>
      <w:hyperlink r:id="rId1315">
        <w:r>
          <w:rPr>
            <w:color w:val="1155CC"/>
            <w:u w:val="single"/>
          </w:rPr>
          <w:t>10.1016/j.matt.2026.102916</w:t>
        </w:r>
      </w:hyperlink>
    </w:p>
    <w:p>
      <w:pPr>
        <w:spacing w:before="0" w:after="120"/>
      </w:pPr>
      <w:r>
        <w:rPr>
          <w:b/>
        </w:rPr>
        <w:t xml:space="preserve">Notes: </w:t>
      </w:r>
      <w:r>
        <w:t>abstract_source=rss_cell</w:t>
      </w:r>
    </w:p>
    <w:p>
      <w:pPr>
        <w:spacing w:before="0" w:after="80" w:lineRule="auto" w:line="276"/>
      </w:pPr>
      <w:r>
        <w:rPr>
          <w:b/>
        </w:rPr>
        <w:t xml:space="preserve">摘要（ZH）: </w:t>
      </w:r>
      <w:r>
        <w:t>手性钙钛矿纳米晶体提供了一种独特的方法来控制半导体器件中光的自旋和偏振。这篇综述总结了材料设计和器件工程的最新进展，这些进展使得无需磁性元件的高效自旋发光二极管成为可能。通过强调关键机遇和剩余挑战，它为具有增强功能和降低制造复杂性的下一代光电技术提供了路线图。</w:t>
      </w:r>
    </w:p>
    <w:p>
      <w:pPr>
        <w:spacing w:before="0" w:after="200" w:lineRule="auto" w:line="276"/>
      </w:pPr>
      <w:r>
        <w:rPr>
          <w:b/>
        </w:rPr>
        <w:t xml:space="preserve">Abstract (EN): </w:t>
      </w:r>
      <w:r>
        <w:t>Chiral perovskite nanocrystals offer a unique way to control both the spin and polarization of light in semiconductor devices. This review summarizes recent advances in materials design and device engineering that enable efficient spin light-emitting diodes without magnetic components. By highlighting key opportunities and remaining challenges, it provides a roadmap toward next-generation optoelectronic technologies with enhanced functionality and lower manufacturing complexity.</w:t>
      </w:r>
    </w:p>
    <w:p>
      <w:pPr>
        <w:spacing w:before="120" w:after="120"/>
      </w:pPr>
      <w:r>
        <w:rPr>
          <w:sz w:val="18"/>
        </w:rPr>
        <w:t>——————————————————————————————————————————————————————————————————————</w:t>
      </w:r>
    </w:p>
    <w:p>
      <w:pPr>
        <w:spacing w:before="160" w:after="40" w:line="240" w:lineRule="auto"/>
      </w:pPr>
      <w:r>
        <w:rPr>
          <w:b/>
        </w:rPr>
        <w:t xml:space="preserve">[523] </w:t>
      </w:r>
      <w:hyperlink r:id="rId1316">
        <w:r>
          <w:rPr>
            <w:color w:val="1155CC"/>
            <w:u w:val="single"/>
          </w:rPr>
          <w:t>通过交叉脱硝烯化实现硝基烷烃的光拼接</w:t>
        </w:r>
      </w:hyperlink>
    </w:p>
    <w:p>
      <w:pPr>
        <w:spacing w:before="0" w:after="80"/>
      </w:pPr>
      <w:r>
        <w:rPr>
          <w:i/>
          <w:sz w:val="20"/>
        </w:rPr>
        <w:t>EN: Photo-Stitching of Nitroalkanes via Cross-Denitrative Olefination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17">
        <w:r>
          <w:rPr>
            <w:color w:val="1155CC"/>
            <w:u w:val="single"/>
          </w:rPr>
          <w:t>10.1021/jacs.6c06460</w:t>
        </w:r>
      </w:hyperlink>
    </w:p>
    <w:p>
      <w:pPr>
        <w:spacing w:before="0" w:after="120"/>
      </w:pPr>
      <w:r>
        <w:rPr>
          <w:b/>
        </w:rPr>
        <w:t xml:space="preserve">Notes: </w:t>
      </w:r>
      <w:r>
        <w:t>abstract_source=pubmed</w:t>
      </w:r>
    </w:p>
    <w:p>
      <w:pPr>
        <w:spacing w:before="0" w:after="80" w:lineRule="auto" w:line="276"/>
      </w:pPr>
      <w:r>
        <w:rPr>
          <w:b/>
        </w:rPr>
        <w:t xml:space="preserve">摘要（ZH）: </w:t>
      </w:r>
      <w:r>
        <w:t>尽管它们在分子设计中占据中心地位，但立体定义的三取代和四取代烯烃仍然难以获得，因为大多数烯化反应倾向于较低的取代度，并且在空间拥挤的情况下会失败。在此，我们报道了硝基烷烃的光诱导交叉脱硝烯化反应，得到三取代和四取代的烯烃。原位生成的硝基化合物的可见光激发通过两个硝基烷烃的脱硝交叉偶联促进光缝合事件。该转化可耐受多种官能化硝基烷烃，包括含羰基和杂环的底物，补充复分解和羰基烯化，并有效扩展。机理研究支持光引发和光传播的亲核自由基取代和自由基链消除序列，其中硝基化合物充当光还原剂，生成自由基阴离子中间体，然后进行光驱动的β-消除。这些发现建立了一种以前无法实现的光驱动消除过程，用于从容易获得的结构单元中进行自由基介导的烯化反应。</w:t>
      </w:r>
    </w:p>
    <w:p>
      <w:pPr>
        <w:spacing w:before="0" w:after="200" w:lineRule="auto" w:line="276"/>
      </w:pPr>
      <w:r>
        <w:rPr>
          <w:b/>
        </w:rPr>
        <w:t xml:space="preserve">Abstract (EN): </w:t>
      </w:r>
      <w:r>
        <w:t>Despite their centrality in molecular design, stereodefined tri- and tetrasubstituted alkenes remain challenging to access, as most olefinations favor lower substitution and fail under sterically congested settings. Herein, we report the photoinduced cross-denitrative olefination of nitroalkanes to afford tri- and tetrasubstituted alkenes. Visible light excitation of in situ-generated nitronates promotes a photo-stitching event via denitrative cross-coupling of two nitroalkanes. The transformation tolerates a variety of functionalized nitroalkanes, including carbonyl- and heterocycle-containing substrates, complements metathesis and carbonyl olefination, and scales efficiently. Mechanistic studies support a photoinitiated and photopropagated nucleophilic-radical substitution and radical-chain elimination sequence in which nitronates function as photoreductants to generate radical-anion intermediates that undergo a subsequent photodriven β-elimination. These findings establish a previously inaccessible light-driven elimination process for radical-mediated olefination from readily available building blocks.</w:t>
      </w:r>
    </w:p>
    <w:p>
      <w:pPr>
        <w:spacing w:before="120" w:after="120"/>
      </w:pPr>
      <w:r>
        <w:rPr>
          <w:sz w:val="18"/>
        </w:rPr>
        <w:t>——————————————————————————————————————————————————————————————————————</w:t>
      </w:r>
    </w:p>
    <w:p>
      <w:pPr>
        <w:spacing w:before="160" w:after="40" w:line="240" w:lineRule="auto"/>
      </w:pPr>
      <w:r>
        <w:rPr>
          <w:b/>
        </w:rPr>
        <w:t xml:space="preserve">[524] </w:t>
      </w:r>
      <w:hyperlink r:id="rId1318">
        <w:r>
          <w:rPr>
            <w:color w:val="1155CC"/>
            <w:u w:val="single"/>
          </w:rPr>
          <w:t>通过还原 N-甲基化轻松制备氧化还原活性共价有机框架</w:t>
        </w:r>
      </w:hyperlink>
    </w:p>
    <w:p>
      <w:pPr>
        <w:spacing w:before="0" w:after="80"/>
      </w:pPr>
      <w:r>
        <w:rPr>
          <w:i/>
          <w:sz w:val="20"/>
        </w:rPr>
        <w:t>EN: Facile Fabrication of Redox-Active Covalent Organic Frameworks via Reductive N -methylation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19">
        <w:r>
          <w:rPr>
            <w:color w:val="1155CC"/>
            <w:u w:val="single"/>
          </w:rPr>
          <w:t>10.1021/jacs.6c01356</w:t>
        </w:r>
      </w:hyperlink>
    </w:p>
    <w:p>
      <w:pPr>
        <w:spacing w:before="0" w:after="120"/>
      </w:pPr>
      <w:r>
        <w:rPr>
          <w:b/>
        </w:rPr>
        <w:t xml:space="preserve">Notes: </w:t>
      </w:r>
      <w:r>
        <w:t>abstract_source=pubmed</w:t>
      </w:r>
    </w:p>
    <w:p>
      <w:pPr>
        <w:spacing w:before="0" w:after="80" w:lineRule="auto" w:line="276"/>
      </w:pPr>
      <w:r>
        <w:rPr>
          <w:b/>
        </w:rPr>
        <w:t xml:space="preserve">摘要（ZH）: </w:t>
      </w:r>
      <w:r>
        <w:t>氧化还原活性共价有机框架（COF）是用于电子、传感和催化的有前途的材料。然而，它们的合成受到氧化还原活性单体的稀缺以及在不影响结晶度的情况下对合成框架进行功能化的困难的阻碍。在这里，我们引入了一种还原性 N-甲基化策略，该策略能够将亚胺连接的 COF 普遍且温和地转化为结晶叔胺连接的框架（NMe-COF）。该方法保留了结构有序性，同时赋予强给电子和氧化还原响应特性。在 NMe-COF 中，COF-300-NMe 的碘吸收量增加了 11 倍，并具有独特的开门吸附曲线，计算研究将这种行为归因于增强的框架灵活性和提高的电子能级。此外，将电子受体 7,7,8,8-四氰基对醌二甲烷掺入 COF-300-NMe 中可产生具有独特自旋特征的电荷转移复合物。这项工作建立了一种多功能的合成后连接转换策略，为刺激响应性软COF和纯有机自旋活性材料铺平了道路。</w:t>
      </w:r>
    </w:p>
    <w:p>
      <w:pPr>
        <w:spacing w:before="0" w:after="200" w:lineRule="auto" w:line="276"/>
      </w:pPr>
      <w:r>
        <w:rPr>
          <w:b/>
        </w:rPr>
        <w:t xml:space="preserve">Abstract (EN): </w:t>
      </w:r>
      <w:r>
        <w:t>Redox-active covalent organic frameworks (COFs) are promising materials for electronics, sensing, and catalysis. However, their synthesis is hampered by the scarcity of redox-active monomers and the difficulty of functionalizing as-synthesized frameworks without compromising crystallinity. Here, we introduce a reductive N-methylation strategy that enables the universal and mild conversion of imine-linked COFs into crystalline tertiary amine-linked frameworks (NMe-COFs). The method preserves structural order while imparting strong electron-donating and redox-responsive properties. Among the NMe-COFs, COF-300-NMe exhibits an 11-fold increase in iodine uptake with a distinct gate-opening adsorption profile─a behavior that computational studies attribute to enhanced framework flexibility and raised electronic energy levels. Furthermore, incorporation of the electron acceptor 7,7,8,8-tetracyanoquinodimethane into COF-300-NMe yields a charge-transfer complex exhibiting distinct spin signatures. This work establishes a versatile postsynthetic linkage conversion strategy, paving the way toward stimuli-responsive soft COFs and purely organic spin-active materials.</w:t>
      </w:r>
    </w:p>
    <w:p>
      <w:pPr>
        <w:spacing w:before="120" w:after="120"/>
      </w:pPr>
      <w:r>
        <w:rPr>
          <w:sz w:val="18"/>
        </w:rPr>
        <w:t>——————————————————————————————————————————————————————————————————————</w:t>
      </w:r>
    </w:p>
    <w:p>
      <w:pPr>
        <w:spacing w:before="160" w:after="40" w:line="240" w:lineRule="auto"/>
      </w:pPr>
      <w:r>
        <w:rPr>
          <w:b/>
        </w:rPr>
        <w:t xml:space="preserve">[525] </w:t>
      </w:r>
      <w:hyperlink r:id="rId1320">
        <w:r>
          <w:rPr>
            <w:color w:val="1155CC"/>
            <w:u w:val="single"/>
          </w:rPr>
          <w:t>物理先验正则化解耦外源感知网络，用于商业园区级综合能源系统中可靠的多能源负荷预测</w:t>
        </w:r>
      </w:hyperlink>
    </w:p>
    <w:p>
      <w:pPr>
        <w:spacing w:before="0" w:after="80"/>
      </w:pPr>
      <w:r>
        <w:rPr>
          <w:i/>
          <w:sz w:val="20"/>
        </w:rPr>
        <w:t>EN: Physical-prior-regularized decoupled exogenous-aware network for trustworthy multi-energy load forecasting in commercial park-level integrated energy systems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[526] </w:t>
      </w:r>
      <w:hyperlink r:id="rId1321">
        <w:r>
          <w:rPr>
            <w:color w:val="1155CC"/>
            <w:u w:val="single"/>
          </w:rPr>
          <w:t>多域弛豫色散 NMR 解析了 HOIL-1L 选择性识别线性双泛素的中间门控结合途径</w:t>
        </w:r>
      </w:hyperlink>
    </w:p>
    <w:p>
      <w:pPr>
        <w:spacing w:before="0" w:after="80"/>
      </w:pPr>
      <w:r>
        <w:rPr>
          <w:i/>
          <w:sz w:val="20"/>
        </w:rPr>
        <w:t>EN: Multidomain Relaxation Dispersion NMR Resolves an Intermediate-Gated Binding Pathway for Selective Recognition of Linear Diubiquitin by HOIL-1L</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22">
        <w:r>
          <w:rPr>
            <w:color w:val="1155CC"/>
            <w:u w:val="single"/>
          </w:rPr>
          <w:t>10.1021/jacs.6c09447</w:t>
        </w:r>
      </w:hyperlink>
    </w:p>
    <w:p>
      <w:pPr>
        <w:spacing w:before="0" w:after="120"/>
      </w:pPr>
      <w:r>
        <w:rPr>
          <w:b/>
        </w:rPr>
        <w:t xml:space="preserve">Notes: </w:t>
      </w:r>
      <w:r>
        <w:t>abstract_source=pubmed</w:t>
      </w:r>
    </w:p>
    <w:p>
      <w:pPr>
        <w:spacing w:before="0" w:after="80" w:lineRule="auto" w:line="276"/>
      </w:pPr>
      <w:r>
        <w:rPr>
          <w:b/>
        </w:rPr>
        <w:t xml:space="preserve">摘要（ZH）: </w:t>
      </w:r>
      <w:r>
        <w:t>分子识别不仅取决于最终复合物的结构互补性，还取决于其形成的动力学途径。多聚泛素链是这一挑战的例证，其中序列相同的结构域共价连接，但必须由专用受体区分以编码不同的细胞信号。对于此类系统的 NMR 弛豫色散研究，相同域之间的光谱重叠阻止了传统的统一同位素标记来解决每个域交换的贡献。在这里，我们使用域选择性 15N 标记与 R2 松弛分散相结合，表明线性（Met1 连接的）二泛素与 HOIL-1L NZF 的结合通过松弛分散检测到的明显三态途径进行，其中快速配体依赖性预平衡填充构象预组织中间体，该中间体在较慢的链型选择性步骤中被 NZF 选择性捕获。这种动力学层次结构为理解线性泛素链和 Lys63 连接泛素链之间的区别提供了机制基础，而静态结构无法揭示这一点。这种策略应该广泛适用于多域识别系统——包括表观遗传阅读器复合物和多价信号转接器——其中已知结构端点之间的通路仍然是隐藏的。</w:t>
      </w:r>
    </w:p>
    <w:p>
      <w:pPr>
        <w:spacing w:before="0" w:after="200" w:lineRule="auto" w:line="276"/>
      </w:pPr>
      <w:r>
        <w:rPr>
          <w:b/>
        </w:rPr>
        <w:t xml:space="preserve">Abstract (EN): </w:t>
      </w:r>
      <w:r>
        <w:t>Molecular recognition is governed not only by the structural complementarity of the final complex, but by the kinetic pathway through which it forms. Polyubiquitin chains, in which sequence-identical domains are covalently linked yet must be discriminated by dedicated receptors to encode distinct cellular signals, exemplify this challenge. For NMR relaxation dispersion studies of such systems, spectral overlap between identical domains prevents conventional uniform isotope labeling from resolving the per-domain exchange contributions. Here we show, using domain-selective 15N labeling combined with R2 relaxation dispersion, that the binding of linear (Met1-linked) diubiquitin to HOIL-1L NZF proceeds through an apparent three-state pathway as detected by relaxation dispersion, in which rapid ligand-dependent pre-equilibration populates a conformationally preorganized intermediate that is selectively captured by NZF in a slower, chain-type-selective step. This kinetic hierarchy offers a mechanistic basis for understanding the discrimination between linear and Lys63-linked ubiquitin chains that static structures alone cannot reveal. This strategy should be broadly applicable to multidomain recognition systems─including epigenetic reader complexes and multivalent signaling adaptors─where the pathway between known structural end points remains hidden.</w:t>
      </w:r>
    </w:p>
    <w:p>
      <w:pPr>
        <w:spacing w:before="120" w:after="120"/>
      </w:pPr>
      <w:r>
        <w:rPr>
          <w:sz w:val="18"/>
        </w:rPr>
        <w:t>——————————————————————————————————————————————————————————————————————</w:t>
      </w:r>
    </w:p>
    <w:p>
      <w:pPr>
        <w:spacing w:before="160" w:after="40" w:line="240" w:lineRule="auto"/>
      </w:pPr>
      <w:r>
        <w:rPr>
          <w:b/>
        </w:rPr>
        <w:t xml:space="preserve">[527] </w:t>
      </w:r>
      <w:hyperlink r:id="rId1323">
        <w:r>
          <w:rPr>
            <w:color w:val="1155CC"/>
            <w:u w:val="single"/>
          </w:rPr>
          <w:t>用于术后疼痛控制的无线生物可吸收摩擦电系统</w:t>
        </w:r>
      </w:hyperlink>
    </w:p>
    <w:p>
      <w:pPr>
        <w:spacing w:before="0" w:after="80"/>
      </w:pPr>
      <w:r>
        <w:rPr>
          <w:i/>
          <w:sz w:val="20"/>
        </w:rPr>
        <w:t>EN: A wireless bioresorbable triboelectric system for postoperative pain control</w:t>
      </w:r>
    </w:p>
    <w:p>
      <w:pPr>
        <w:spacing w:before="0" w:after="120"/>
      </w:pPr>
      <w:r>
        <w:rPr>
          <w:b/>
        </w:rPr>
        <w:t xml:space="preserve">Source: </w:t>
      </w:r>
      <w:r>
        <w:t>National Science Review Advance Access</w:t>
      </w:r>
      <w:r>
        <w:t xml:space="preserve">    </w:t>
      </w:r>
      <w:r>
        <w:rPr>
          <w:b/>
        </w:rPr>
        <w:t xml:space="preserve">Pub date: </w:t>
      </w:r>
      <w:r>
        <w:t>2026-07-16 00:00:00+00:00</w:t>
      </w:r>
      <w:r>
        <w:t xml:space="preserve">    </w:t>
      </w:r>
      <w:r>
        <w:rPr>
          <w:b/>
        </w:rPr>
        <w:t xml:space="preserve">DOI: </w:t>
      </w:r>
      <w:hyperlink r:id="rId1324">
        <w:r>
          <w:rPr>
            <w:color w:val="1155CC"/>
            <w:u w:val="single"/>
          </w:rPr>
          <w:t>10.1093/nsr/nwag439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[528] </w:t>
      </w:r>
      <w:hyperlink r:id="rId1325">
        <w:r>
          <w:rPr>
            <w:color w:val="1155CC"/>
            <w:u w:val="single"/>
          </w:rPr>
          <w:t>硝基烷烃的光催化脱硝同构和交叉偶联合成烯烃</w:t>
        </w:r>
      </w:hyperlink>
    </w:p>
    <w:p>
      <w:pPr>
        <w:spacing w:before="0" w:after="80"/>
      </w:pPr>
      <w:r>
        <w:rPr>
          <w:i/>
          <w:sz w:val="20"/>
        </w:rPr>
        <w:t>EN: Photocatalytic Denitrative Homo- and Cross-Coupling of Nitroalkanes toward the Synthesis of Alkenes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26">
        <w:r>
          <w:rPr>
            <w:color w:val="1155CC"/>
            <w:u w:val="single"/>
          </w:rPr>
          <w:t>10.1021/jacs.6c06459</w:t>
        </w:r>
      </w:hyperlink>
    </w:p>
    <w:p>
      <w:pPr>
        <w:spacing w:before="0" w:after="120"/>
      </w:pPr>
      <w:r>
        <w:rPr>
          <w:b/>
        </w:rPr>
        <w:t xml:space="preserve">Notes: </w:t>
      </w:r>
      <w:r>
        <w:t>abstract_source=pubmed</w:t>
      </w:r>
    </w:p>
    <w:p>
      <w:pPr>
        <w:spacing w:before="0" w:after="80" w:lineRule="auto" w:line="276"/>
      </w:pPr>
      <w:r>
        <w:rPr>
          <w:b/>
        </w:rPr>
        <w:t xml:space="preserve">摘要（ZH）: </w:t>
      </w:r>
      <w:r>
        <w:t>烯烃是天然产物和合成分子的基本主题，但高效、温和且多功能的烯化策略仍然存在需求。硝基烷烃以其作为亲核试剂或相应自由基的广泛反应性而闻名，在光催化方面仍然具有未开发的潜力。在这里，我们报告了通过简单的非预官能化硝基化合物的氧化，然后添加到另一种硝基化合物（形式均聚或交叉偶联）以及随后的双脱硝以提供烯烃的统一的光催化生成α-硝基烷基自由基。这种转化利用了硝基烷烃的亲核性和亲电性，挑战了经典的 McMurry 型偶联方案。此外，合成歧管具有可扩展性，并通过合成医学相关的康布他汀和木脂素型核心来证明其适用性。</w:t>
      </w:r>
    </w:p>
    <w:p>
      <w:pPr>
        <w:spacing w:before="0" w:after="200" w:lineRule="auto" w:line="276"/>
      </w:pPr>
      <w:r>
        <w:rPr>
          <w:b/>
        </w:rPr>
        <w:t xml:space="preserve">Abstract (EN): </w:t>
      </w:r>
      <w:r>
        <w:t>Alkenes serve as fundamental motifs across natural products and synthetic molecules, yet efficient, mild, and versatile olefination strategies remain in demand. Nitroalkanes, renowned for their broad reactivity as nucleophiles or corresponding radicals, still offer untapped potential in photocatalysis. Here, we report a unified, photocatalyzed generation of α-nitroalkyl radicals via oxidation of simple, nonprefunctionalized nitronates, followed by addition to another nitronate (formal homo- or cross-coupling) and subsequent double denitration to furnish alkenes. This transformation leverages both the pro-nucleophilic and pro-electrophilic nature of nitroalkanes, challenging the classic McMurry-type coupling protocol. Moreover, the synthetic manifold is scalable and demonstrates its applicability by synthesizing medicinally relevant Combretastatin and lignan-type cores.</w:t>
      </w:r>
    </w:p>
    <w:p>
      <w:pPr>
        <w:spacing w:before="120" w:after="120"/>
      </w:pPr>
      <w:r>
        <w:rPr>
          <w:sz w:val="18"/>
        </w:rPr>
        <w:t>——————————————————————————————————————————————————————————————————————</w:t>
      </w:r>
    </w:p>
    <w:p>
      <w:pPr>
        <w:spacing w:before="160" w:after="40" w:line="240" w:lineRule="auto"/>
      </w:pPr>
      <w:r>
        <w:rPr>
          <w:b/>
        </w:rPr>
        <w:t xml:space="preserve">[529] </w:t>
      </w:r>
      <w:hyperlink r:id="rId1327">
        <w:r>
          <w:rPr>
            <w:color w:val="1155CC"/>
            <w:u w:val="single"/>
          </w:rPr>
          <w:t>配位环境在协同催化中的作用：M 1 M 2 N 6 催化剂的分子轨道视角</w:t>
        </w:r>
      </w:hyperlink>
    </w:p>
    <w:p>
      <w:pPr>
        <w:spacing w:before="0" w:after="80"/>
      </w:pPr>
      <w:r>
        <w:rPr>
          <w:i/>
          <w:sz w:val="20"/>
        </w:rPr>
        <w:t>EN: Role of Coordination Environment in Synergistic Catalysis: A Molecular Orbital Perspective on M 1 M 2 N 6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28">
        <w:r>
          <w:rPr>
            <w:color w:val="1155CC"/>
            <w:u w:val="single"/>
          </w:rPr>
          <w:t>10.1021/jacs.6c08871</w:t>
        </w:r>
      </w:hyperlink>
    </w:p>
    <w:p>
      <w:pPr>
        <w:spacing w:before="0" w:after="120"/>
      </w:pPr>
      <w:r>
        <w:rPr>
          <w:b/>
        </w:rPr>
        <w:t xml:space="preserve">Notes: </w:t>
      </w:r>
      <w:r>
        <w:t>abstract_source=pubmed</w:t>
      </w:r>
    </w:p>
    <w:p>
      <w:pPr>
        <w:spacing w:before="0" w:after="80" w:lineRule="auto" w:line="276"/>
      </w:pPr>
      <w:r>
        <w:rPr>
          <w:b/>
        </w:rPr>
        <w:t xml:space="preserve">摘要（ZH）: </w:t>
      </w:r>
      <w:r>
        <w:t>可视化控制双原子催化剂（DAC）的结构稳定性和吸附行为的配位环境依赖的协同机制对于精确的催化剂设计至关重要。然而，在分子轨道水平上对这些机制的深入了解仍然难以捉摸。在此，我们提出大规模密度泛函理论计算，以阐明 d 原子轨道与 M1 和 M2 位点之间的分子轨道的组合如何产生协同效应，从 M1-N3-M2-N3-C 到 M1-N4-M2-N4-C 观察到显着的变化。我们发现，相对于 M1-N4-M2-N4-C，M1-N3-M2-N3-C 中的 M1/M2-N 键强度平均减弱，这是由于从直接 dx2-y2 轨道重叠到涉及桥氮 2p 轨道杂化的氮介导相互作用的转变。使用氢作为模型吸附物，我们证明了 M1-N3-M2-N3-C 上的氢吸附从通过桥配置的狂野调制转变为通过端接配置的温和调制，这意味着从 dx2-y2 到 dz2 轨道的选择性轨道耦合。相比之下，M1-N4-M2-N4-C 上的氢吸附仅通过端部构型表现出轻微的调节。这种行为归因于费米能级附近反键 (d-d/d*)-p* 分子轨道的对称约束，由氮介导的 dz2-dz2* 分子轨道介导。此外，机器学习分析证实了这些依赖于协调环境的协同机制。我们的研究结果提供了对相互作用如何相互作用的全面的分子轨道水平的理解</w:t>
      </w:r>
    </w:p>
    <w:p>
      <w:pPr>
        <w:spacing w:before="0" w:after="200" w:lineRule="auto" w:line="276"/>
      </w:pPr>
      <w:r>
        <w:rPr>
          <w:b/>
        </w:rPr>
        <w:t xml:space="preserve">Abstract (EN): </w:t>
      </w:r>
      <w:r>
        <w:t>Visualizing the coordination environment-dependent synergistic mechanisms that govern the structural stability and adsorption behavior of dual-atom catalysts (DACs) is pivotal for precise catalyst design. However, insights into these mechanisms at the molecular orbital level remain elusive. Herein, we present large-scale density functional theory calculations to elucidate how synergistic effects arise from the combination of d atomic orbitals into molecular orbitals between M1 and M2 sites, with notable variations observed from M1-N3-M2-N3-C to M1-N4-M2-N4-C. We identify an average weakening of M1/M2-N bond strength in M1-N3-M2-N3-C relative to M1-N4-M2-N4-C, which is attributed to a shift from direct dx2-y2 orbital overlap to nitrogen-mediated interactions involving the hybridization of bridge nitrogen 2p orbitals. Using hydrogen as a model adsorbate, we demonstrate that hydrogen adsorption on M1-N3-M2-N3-C shifts from wild modulation via a bridge configuration to mild modulation through an end-on configuration, signifying a selective orbital coupling from dx2-y2 to dz2 orbitals. In contrast, hydrogen adsorption on M1-N4-M2-N4-C exhibits only mild modulation via an end-on configuration. This behavior is ascribed to the symmetry constraints of antibonding (d-d/d*)-p* molecular orbitals near the Fermi level, mediated by nitrogen-mediated dz2-dz2* molecular orbitals. Furthermore, machine learning analyses corroborate these coordination environment-dependent synergistic mechanisms. Our findings provide a comprehensive molecular orbital-level understanding of how the interplay between coordination environments and electronic structures influences the properties of M1M2N6 catalysts, thereby establishing a theoretical framework for enhanced DACs design.</w:t>
      </w:r>
    </w:p>
    <w:p>
      <w:pPr>
        <w:spacing w:before="120" w:after="120"/>
      </w:pPr>
      <w:r>
        <w:rPr>
          <w:sz w:val="18"/>
        </w:rPr>
        <w:t>——————————————————————————————————————————————————————————————————————</w:t>
      </w:r>
    </w:p>
    <w:p>
      <w:pPr>
        <w:spacing w:before="160" w:after="40" w:line="240" w:lineRule="auto"/>
      </w:pPr>
      <w:r>
        <w:rPr>
          <w:b/>
        </w:rPr>
        <w:t xml:space="preserve">[530] </w:t>
      </w:r>
      <w:hyperlink r:id="rId1329">
        <w:r>
          <w:rPr>
            <w:color w:val="1155CC"/>
            <w:u w:val="single"/>
          </w:rPr>
          <w:t>铌氧氧化物团簇材料中的零间接带隙和平带</w:t>
        </w:r>
      </w:hyperlink>
    </w:p>
    <w:p>
      <w:pPr>
        <w:spacing w:before="0" w:after="80"/>
      </w:pPr>
      <w:r>
        <w:rPr>
          <w:i/>
          <w:sz w:val="20"/>
        </w:rPr>
        <w:t>EN: Zero Indirect Band Gap and Flat Bands in a Niobium Oxyiodide Cluster Material</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30">
        <w:r>
          <w:rPr>
            <w:color w:val="1155CC"/>
            <w:u w:val="single"/>
          </w:rPr>
          <w:t>10.1021/jacs.6c03891</w:t>
        </w:r>
      </w:hyperlink>
    </w:p>
    <w:p>
      <w:pPr>
        <w:spacing w:before="0" w:after="120"/>
      </w:pPr>
      <w:r>
        <w:rPr>
          <w:b/>
        </w:rPr>
        <w:t xml:space="preserve">Notes: </w:t>
      </w:r>
      <w:r>
        <w:t>abstract_source=pubmed</w:t>
      </w:r>
    </w:p>
    <w:p>
      <w:pPr>
        <w:spacing w:before="0" w:after="80" w:lineRule="auto" w:line="276"/>
      </w:pPr>
      <w:r>
        <w:rPr>
          <w:b/>
        </w:rPr>
        <w:t xml:space="preserve">摘要（ZH）: </w:t>
      </w:r>
      <w:r>
        <w:t>由 NbI4、Li2(CN2) 和 Li2O 组成的反应体系中的探索化学发现了许多铌氧碘簇化合物。在此反应过程中，在气相的同时检测到固相的形成，从而产生了一系列具有不同形状的簇核的产物。在该反应体系中鉴定出几种铌氧碘化物簇化合物后，又发现了两种化合物 Nb6O3I15 和 Nb11O6I24，并通过单晶 X 射线衍射对其结构进行了表征。这两种结构均基于蝴蝶形、氧封端的铌簇[Nb4O]，该簇可扩展为更大的簇碎片。 Nb6O3I15 中的 [Nb4O] 簇核由两个 [NbO] 单元延伸形成三维框架，Nb11O6I24 包含两个连接的 [Nb4O] 单元，在反铁手性六方堆积的串中形成手性单元。对 Nb11O6I24 的显着弦状特征进行了电子结构和性能方面的研究。 DFT 计算表明 Nb11O6I24 具有零间接带隙，费米能级周围有一对 3 维平带。电子能带结构的这些不寻常的特征表明存在强相关的簇间单线态电子态，这是由簇的螺旋形状、弦的六边形堆积以及簇电子波函数的离域性质引起的。</w:t>
      </w:r>
    </w:p>
    <w:p>
      <w:pPr>
        <w:spacing w:before="0" w:after="200" w:lineRule="auto" w:line="276"/>
      </w:pPr>
      <w:r>
        <w:rPr>
          <w:b/>
        </w:rPr>
        <w:t xml:space="preserve">Abstract (EN): </w:t>
      </w:r>
      <w:r>
        <w:t>Explorative chemistry in a reaction system composed of NbI4, Li2(CN2), and Li2O has led to the discovery of a number of niobium oxyiodide cluster compounds. During this reaction, the formation of solid phases was detected alongside gaseous phases, resulting in a range of products with cluster cores of varying shapes. After several niobium oxyiodide cluster compounds have already been identified within this reaction system, two additional compounds, Nb6O3I15 and Nb11O6I24, are discovered and structurally characterized by single-crystal X-ray diffraction. Both structures are based on the butterfly-shaped, oxygen-capped niobium cluster [Nb4O], which is extended to larger cluster fragments. The [Nb4O] cluster core in Nb6O3I15 is extended by two [NbO] units to form a three-dimensional framework, and Nb11O6I24 contains two connected [Nb4O] units, which form chiral units within an antiferrochiral hexagonal packing of strings. The striking string-like character of Nb11O6I24 was investigated in terms of its electronic structure and properties. DFT calculations showed Nb11O6I24 to possess a zero indirect band gap, with a pair of 3-dimensional flat bands surrounding the Fermi level. These unusual features of the electronic band structure suggest the presence of strongly correlated intercluster singlet electron states, arising from the helical shape of the clusters, the hexagonal packing of the strings, and the delocalized nature of cluster electron wave functions.</w:t>
      </w:r>
    </w:p>
    <w:p>
      <w:pPr>
        <w:spacing w:before="120" w:after="120"/>
      </w:pPr>
      <w:r>
        <w:rPr>
          <w:sz w:val="18"/>
        </w:rPr>
        <w:t>——————————————————————————————————————————————————————————————————————</w:t>
      </w:r>
    </w:p>
    <w:p>
      <w:pPr>
        <w:spacing w:before="160" w:after="40" w:line="240" w:lineRule="auto"/>
      </w:pPr>
      <w:r>
        <w:rPr>
          <w:b/>
        </w:rPr>
        <w:t xml:space="preserve">[531] </w:t>
      </w:r>
      <w:hyperlink r:id="rId1331">
        <w:r>
          <w:rPr>
            <w:color w:val="1155CC"/>
            <w:u w:val="single"/>
          </w:rPr>
          <w:t>综合能源系统混合储能优化配置</w:t>
        </w:r>
      </w:hyperlink>
    </w:p>
    <w:p>
      <w:pPr>
        <w:spacing w:before="0" w:after="80"/>
      </w:pPr>
      <w:r>
        <w:rPr>
          <w:i/>
          <w:sz w:val="20"/>
        </w:rPr>
        <w:t>EN: Optimization configuration of hybrid energy storage in integrated energy systems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[532] </w:t>
      </w:r>
      <w:hyperlink r:id="rId1332">
        <w:r>
          <w:rPr>
            <w:color w:val="1155CC"/>
            <w:u w:val="single"/>
          </w:rPr>
          <w:t>选择性氨基酸电合成的反应网络分叉编程</w:t>
        </w:r>
      </w:hyperlink>
    </w:p>
    <w:p>
      <w:pPr>
        <w:spacing w:before="0" w:after="80"/>
      </w:pPr>
      <w:r>
        <w:rPr>
          <w:i/>
          <w:sz w:val="20"/>
        </w:rPr>
        <w:t>EN: Programming Reaction-Network Bifurcations for Selective Amino Acid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33">
        <w:r>
          <w:rPr>
            <w:color w:val="1155CC"/>
            <w:u w:val="single"/>
          </w:rPr>
          <w:t>10.1021/jacs.6c09696</w:t>
        </w:r>
      </w:hyperlink>
    </w:p>
    <w:p>
      <w:pPr>
        <w:spacing w:before="0" w:after="120"/>
      </w:pPr>
      <w:r>
        <w:rPr>
          <w:b/>
        </w:rPr>
        <w:t xml:space="preserve">Notes: </w:t>
      </w:r>
      <w:r>
        <w:t>abstract_source=pubmed</w:t>
      </w:r>
    </w:p>
    <w:p>
      <w:pPr>
        <w:spacing w:before="0" w:after="80" w:lineRule="auto" w:line="276"/>
      </w:pPr>
      <w:r>
        <w:rPr>
          <w:b/>
        </w:rPr>
        <w:t xml:space="preserve">摘要（ZH）: </w:t>
      </w:r>
      <w:r>
        <w:t>从无机氮原料电合成有机氨基酸为扩大生物相关 C-N 分子的合成边界提供了一条新途径。然而，所需的有机 C-N 偶联途径在动力学上受到竞争性无机氨 (NH3) 途径的抑制，这使得选择性氨基酸电合成具有内在的挑战性。在这里，我们发现这个瓶颈源自于决定性分支点上不可控的把关中间体羟胺（*NH2OH）。为了应对这一挑战，我们开发了一种新的可编程反应网络分叉（PRNB）策略，该策略由原子级精确的双位金属烯实现，可引导 *NH2OH 的反应分叉从氢化到 C-N 偶联。结果，系统逆转了产物选择性，使偶联产物的性能比 NH3 好 28.5 倍。这一转变进一步实现了甘氨酸合成，法拉第效率高达 83.2%，形成速率超过 885 mmol/gcat/h，持续超过 225 小时，并实现克级合成。机理研究表明，双位点重新编程 *NH2OH 的相对键合偏好，使得 C-N 偶联在肟形成中占主导地位。原位光谱和动力学同位素测量进一步表明，双位点重组了有序的界面 H2O 网络，将氢转移势垒降低了一半以上，从而实现了快速肟氢化和高速率甘氨酸生产。包括丙氨酸、谷氨酸和亮氨酸在内的多种氨基酸的有效合成，进一步强调了</w:t>
      </w:r>
    </w:p>
    <w:p>
      <w:pPr>
        <w:spacing w:before="0" w:after="200" w:lineRule="auto" w:line="276"/>
      </w:pPr>
      <w:r>
        <w:rPr>
          <w:b/>
        </w:rPr>
        <w:t xml:space="preserve">Abstract (EN): </w:t>
      </w:r>
      <w:r>
        <w:t>Electrosynthesis of organic amino acids from inorganic nitrogen feedstocks offers a new route to expand the synthetic boundaries of biologically relevant C-N molecules. However, the desired organic C-N coupling pathway is kinetically suppressed by the competing inorganic ammonia (NH3) pathway, rendering selective amino acid electrosynthesis intrinsically challenging. Here, we uncover that this bottleneck originates from the uncontrollable gatekeeping intermediate, hydroxylamine (*NH2OH), at the decisive branching point. To address this challenge, we develop a new programmable reaction-network bifurcation (PRNB) strategy, enabled by an atomically precise dual-site metallene, which directs the reaction bifurcation of *NH2OH from hydrogenation to C-N coupling. As a result, the system reverses the product selectivity, allowing the coupling product to outperform NH3 by a factor of 28.5. This shift further achieves glycine synthesis with a high Faradaic efficiency of 83.2% and a formation rate exceeding 885 mmol/gcat/h, sustained over 225 h and enabling gram-scale synthesis. Mechanistic studies reveal that dual sites reprogram the relative bonding preference of *NH2OH, making C-N coupling dominant for oxime formation. In situ spectroscopy and kinetic isotope measurements further reveal that dual sites reorganize an ordered interfacial H2O network that lowers the hydrogen-transfer barrier by more than half, enabling rapid oxime hydrogenation and high-rate glycine production. The efficient synthesis of diverse amino acids, including alanine, glutamate, and leucine, further underscores PRNB as a general paradigm for controlling reaction-network bifurcations in complex chemical synthesis.</w:t>
      </w:r>
    </w:p>
    <w:p>
      <w:pPr>
        <w:spacing w:before="120" w:after="120"/>
      </w:pPr>
      <w:r>
        <w:rPr>
          <w:sz w:val="18"/>
        </w:rPr>
        <w:t>——————————————————————————————————————————————————————————————————————</w:t>
      </w:r>
    </w:p>
    <w:p>
      <w:pPr>
        <w:spacing w:before="160" w:after="40" w:line="240" w:lineRule="auto"/>
      </w:pPr>
      <w:r>
        <w:rPr>
          <w:b/>
        </w:rPr>
        <w:t xml:space="preserve">[533] </w:t>
      </w:r>
      <w:hyperlink r:id="rId1334">
        <w:r>
          <w:rPr>
            <w:color w:val="1155CC"/>
            <w:u w:val="single"/>
          </w:rPr>
          <w:t>广域电动汽车充电需求时空预测误差的可解释因果分析方法</w:t>
        </w:r>
      </w:hyperlink>
    </w:p>
    <w:p>
      <w:pPr>
        <w:spacing w:before="0" w:after="80"/>
      </w:pPr>
      <w:r>
        <w:rPr>
          <w:i/>
          <w:sz w:val="20"/>
        </w:rPr>
        <w:t>EN: An explainable causal analysis method for spatiotemporal prediction errors of wide-area electric vehicle charging demand</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[534] </w:t>
      </w:r>
      <w:hyperlink r:id="rId1335">
        <w:r>
          <w:rPr>
            <w:color w:val="1155CC"/>
            <w:u w:val="single"/>
          </w:rPr>
          <w:t>预测然后优化：LM-MTSF 为主动配电网络的分布式稳健运行优化提供数据驱动的支持</w:t>
        </w:r>
      </w:hyperlink>
    </w:p>
    <w:p>
      <w:pPr>
        <w:spacing w:before="0" w:after="80"/>
      </w:pPr>
      <w:r>
        <w:rPr>
          <w:i/>
          <w:sz w:val="20"/>
        </w:rPr>
        <w:t>EN: Predict-then-optimize: LM-MTSF provides data-driven support for distributionally robust operation optimization of active distribution networks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[535] </w:t>
      </w:r>
      <w:hyperlink r:id="rId1336">
        <w:r>
          <w:rPr>
            <w:color w:val="1155CC"/>
            <w:u w:val="single"/>
          </w:rPr>
          <w:t>3,5-双(2-六氟异丙氧基)苯基：具有良好水溶性和可修饰性的超氟化部分，适用于 19 F 磁共振成像</w:t>
        </w:r>
      </w:hyperlink>
    </w:p>
    <w:p>
      <w:pPr>
        <w:spacing w:before="0" w:after="80"/>
      </w:pPr>
      <w:r>
        <w:rPr>
          <w:i/>
          <w:sz w:val="20"/>
        </w:rPr>
        <w:t>EN: 3,5-Bis(2-hexafluoro-isopropoxyl)phenyl: A Super-Fluorinated Moiety with Favorable Water-Solubility and Modifiability for 19 F Magnetic Resonance Imaging</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37">
        <w:r>
          <w:rPr>
            <w:color w:val="1155CC"/>
            <w:u w:val="single"/>
          </w:rPr>
          <w:t>10.1021/jacs.6c08707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1338">
        <w:r>
          <w:rPr>
            <w:color w:val="1155CC"/>
            <w:u w:val="single"/>
          </w:rPr>
          <w:t>苯酚 A 的全合成：名义和实际天然产物</w:t>
        </w:r>
      </w:hyperlink>
    </w:p>
    <w:p>
      <w:pPr>
        <w:spacing w:before="0" w:after="80"/>
      </w:pPr>
      <w:r>
        <w:rPr>
          <w:i/>
          <w:sz w:val="20"/>
        </w:rPr>
        <w:t>EN: Total Synthesis of Benthol A: The Nominal and the Actual Natural Product</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39">
        <w:r>
          <w:rPr>
            <w:color w:val="1155CC"/>
            <w:u w:val="single"/>
          </w:rPr>
          <w:t>10.1021/jacs.6c05583</w:t>
        </w:r>
      </w:hyperlink>
    </w:p>
    <w:p>
      <w:pPr>
        <w:spacing w:before="0" w:after="120"/>
      </w:pPr>
      <w:r>
        <w:rPr>
          <w:b/>
        </w:rPr>
        <w:t xml:space="preserve">Notes: </w:t>
      </w:r>
      <w:r>
        <w:t>abstract_source=pubmed</w:t>
      </w:r>
    </w:p>
    <w:p>
      <w:pPr>
        <w:spacing w:before="0" w:after="80" w:lineRule="auto" w:line="276"/>
      </w:pPr>
      <w:r>
        <w:rPr>
          <w:b/>
        </w:rPr>
        <w:t xml:space="preserve">摘要（ZH）: </w:t>
      </w:r>
      <w:r>
        <w:t>甲藻衍生的“超碳链化合物”benthol A 的全合成严格证实了对所需结构单元之一的分析所预测的结果，即 C40 处的二级 -OH 基团的构型已被分离团队错误分配为装饰该多元醇/聚醚衍生物主链的总共 35 个立体中心中的唯一一个。这个结论具有重要意义，因为最初的作业完全基于计算数据，这导致了 99.93% 的极高分数，最终具有误导性。成功方法背后的多重收敛蓝图说明了这样一个事实：32 个步骤的最长线性序列足以达到这种复杂的海洋天然产物。固有的灵活性也应该有助于未来的研究，旨在详细绘制这种具有显着抗疟原虫活性的化合物的药效团。</w:t>
      </w:r>
    </w:p>
    <w:p>
      <w:pPr>
        <w:spacing w:before="0" w:after="200" w:lineRule="auto" w:line="276"/>
      </w:pPr>
      <w:r>
        <w:rPr>
          <w:b/>
        </w:rPr>
        <w:t xml:space="preserve">Abstract (EN): </w:t>
      </w:r>
      <w:r>
        <w:t>The total synthesis of the dinoflagellate-derived "super-carbon-chain compound" benthol A rigorously confirmed what the analysis of one of the required building blocks had forecasted, namely that the configuration of the secondary -OH group at C40 had been misassigned by the isolation team as the only one of a total of 35 stereogenic centers decorating the backbone of this polyol/polyether derivative. This conclusion bears implications because the original assignment had been solely based on computational data, which had resulted in a remarkably high score of 99.93% that was ultimately misleading. The multiconvergent blueprint underlying the successful approach accounts for the fact that alongest linear sequence of 32 steps sufficed to reach this intricate marine natural product. The inherent flexibility should also empower future studies aiming at a detailed mapping of the pharmacophore of this compound endowed with significant antiplasmodial activity.</w:t>
      </w:r>
    </w:p>
    <w:p>
      <w:pPr>
        <w:spacing w:before="120" w:after="120"/>
      </w:pPr>
      <w:r>
        <w:rPr>
          <w:sz w:val="18"/>
        </w:rPr>
        <w:t>——————————————————————————————————————————————————————————————————————</w:t>
      </w:r>
    </w:p>
    <w:p>
      <w:pPr>
        <w:spacing w:before="160" w:after="40" w:line="240" w:lineRule="auto"/>
      </w:pPr>
      <w:r>
        <w:rPr>
          <w:b/>
        </w:rPr>
        <w:t xml:space="preserve">[537] </w:t>
      </w:r>
      <w:hyperlink r:id="rId1340">
        <w:r>
          <w:rPr>
            <w:color w:val="1155CC"/>
            <w:u w:val="single"/>
          </w:rPr>
          <w:t>多维红外光谱作为生物分析技术</w:t>
        </w:r>
      </w:hyperlink>
    </w:p>
    <w:p>
      <w:pPr>
        <w:spacing w:before="0" w:after="80"/>
      </w:pPr>
      <w:r>
        <w:rPr>
          <w:i/>
          <w:sz w:val="20"/>
        </w:rPr>
        <w:t>EN: Multidimensional Infrared Spectroscopy as a Bioanalytical Technique</w:t>
      </w:r>
    </w:p>
    <w:p>
      <w:pPr>
        <w:spacing w:before="0" w:after="120"/>
      </w:pPr>
      <w:r>
        <w:rPr>
          <w:b/>
        </w:rPr>
        <w:t xml:space="preserve">Source: </w:t>
      </w:r>
      <w:r>
        <w:t>Chemical Reviews: Latest Articles (ACS Publications)</w:t>
      </w:r>
      <w:r>
        <w:t xml:space="preserve">    </w:t>
      </w:r>
      <w:r>
        <w:rPr>
          <w:b/>
        </w:rPr>
        <w:t xml:space="preserve">Pub date: </w:t>
      </w:r>
      <w:r>
        <w:t>2026-07-16 00:00:00+00:00</w:t>
      </w:r>
      <w:r>
        <w:t xml:space="preserve">    </w:t>
      </w:r>
      <w:r>
        <w:rPr>
          <w:b/>
        </w:rPr>
        <w:t xml:space="preserve">DOI: </w:t>
      </w:r>
      <w:hyperlink r:id="rId1341">
        <w:r>
          <w:rPr>
            <w:color w:val="1155CC"/>
            <w:u w:val="single"/>
          </w:rPr>
          <w:t>10.1021/acs.chemrev.6c00244</w:t>
        </w:r>
      </w:hyperlink>
    </w:p>
    <w:p>
      <w:pPr>
        <w:spacing w:before="0" w:after="120"/>
      </w:pPr>
      <w:r>
        <w:rPr>
          <w:b/>
        </w:rPr>
        <w:t xml:space="preserve">Notes: </w:t>
      </w:r>
      <w:r>
        <w:t>abstract_source=pubmed</w:t>
      </w:r>
    </w:p>
    <w:p>
      <w:pPr>
        <w:spacing w:before="0" w:after="80" w:lineRule="auto" w:line="276"/>
      </w:pPr>
      <w:r>
        <w:rPr>
          <w:b/>
        </w:rPr>
        <w:t xml:space="preserve">摘要（ZH）: </w:t>
      </w:r>
      <w:r>
        <w:t>自上世纪末诞生以来，二维红外光谱技术不断发展成为研究生物分子的结构、动力学和分子间相互作用的既定方法。由于激光器和相关技术的并行进步，现在可以在生理相关条件下使用最少的样本量在几分钟内获取 2D-IR 数据集。这一进展为二维红外光谱作为分析工具发挥作用打开了大门，可以进行测量来表征样品并为从药物设计到生物医学诊断等领域的决策提供信息。在这里，我们在讨论二维红外光谱分析应用的最新技术之前，先简要回顾一下导致这种情况的开创性发展。我们考虑使用 2D-IR 光谱来测量无标记蛋白质结构、生物分子相互作用，并使用 2D-IR 来询问复杂的混合物和生物组织。我们纳入了通过提高测量灵敏度和数据质量来扩展 2D-IR 光谱范围的策略，并强调了机器学习等新兴方法可能对 2D-IR 发展产生的潜在影响。最后，我们展望了 2D-IR 在成为强大且广泛使用的生物分析工具的道路上面临的挑战和机遇。</w:t>
      </w:r>
    </w:p>
    <w:p>
      <w:pPr>
        <w:spacing w:before="0" w:after="200" w:lineRule="auto" w:line="276"/>
      </w:pPr>
      <w:r>
        <w:rPr>
          <w:b/>
        </w:rPr>
        <w:t xml:space="preserve">Abstract (EN): </w:t>
      </w:r>
      <w:r>
        <w:t>Since its inception at the end of the last century, 2D-IR spectroscopy has undergone continuous development into an established method for studying the structure, dynamics and intermolecular interactions of biomolecules. Thanks to parallel advances in lasers and related technology, 2D-IR data sets can now be acquired in minutes, using minimal sample quantities and under physiologically relevant conditions. This progress has opened the door for 2D-IR spectroscopy to play a role as an analytical tool, making measurements that characterize samples and inform decisions in arenas ranging from drug design to biomedical diagnostics. Here, we briefly review the pioneering developments that have brought about this scenario before discussing the current state of the art in analytical applications of 2D-IR spectroscopy. We consider the implementation of 2D-IR spectroscopy to measure label free protein structure, biomolecular interactions and the use of 2D-IR to interrogate complex mixtures and biological tissues. We include strategies that have extended the reach of 2D-IR spectroscopy through advances in measurement sensitivity and data quality and highlight the potential impact that emerging methods such as machine learning could have on the development of 2D-IR. Finally, we look ahead to the challenges and opportunities facing 2D-IR on its path toward a robust and widely used bioanalytical tool.</w:t>
      </w:r>
    </w:p>
    <w:p>
      <w:pPr>
        <w:spacing w:before="120" w:after="120"/>
      </w:pPr>
      <w:r>
        <w:rPr>
          <w:sz w:val="18"/>
        </w:rPr>
        <w:t>——————————————————————————————————————————————————————————————————————</w:t>
      </w:r>
    </w:p>
    <w:p>
      <w:pPr>
        <w:spacing w:before="160" w:after="40" w:line="240" w:lineRule="auto"/>
      </w:pPr>
      <w:r>
        <w:rPr>
          <w:b/>
        </w:rPr>
        <w:t xml:space="preserve">[538] </w:t>
      </w:r>
      <w:hyperlink r:id="rId1342">
        <w:r>
          <w:rPr>
            <w:color w:val="1155CC"/>
            <w:u w:val="single"/>
          </w:rPr>
          <w:t>通过核苷酸-磷酸-ADP-核糖基探针的精确合成和酶促分析破译可逆 DNA-磷酸 ADP-核糖基化的特异性</w:t>
        </w:r>
      </w:hyperlink>
    </w:p>
    <w:p>
      <w:pPr>
        <w:spacing w:before="0" w:after="80"/>
      </w:pPr>
      <w:r>
        <w:rPr>
          <w:i/>
          <w:sz w:val="20"/>
        </w:rPr>
        <w:t>EN: Deciphering the Specificity of Reversible DNA-Phosphate ADP-Ribosylation via the Precise Synthesis and Enzymatic Profiling of Nucleotide-Phospho-ADP-Ribosyl Probes</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43">
        <w:r>
          <w:rPr>
            <w:color w:val="1155CC"/>
            <w:u w:val="single"/>
          </w:rPr>
          <w:t>10.1021/jacs.6c02874</w:t>
        </w:r>
      </w:hyperlink>
    </w:p>
    <w:p>
      <w:pPr>
        <w:spacing w:before="0" w:after="120"/>
      </w:pPr>
      <w:r>
        <w:rPr>
          <w:b/>
        </w:rPr>
        <w:t xml:space="preserve">Notes: </w:t>
      </w:r>
      <w:r>
        <w:t>abstract_source=pubmed</w:t>
      </w:r>
    </w:p>
    <w:p>
      <w:pPr>
        <w:spacing w:before="0" w:after="80" w:lineRule="auto" w:line="276"/>
      </w:pPr>
      <w:r>
        <w:rPr>
          <w:b/>
        </w:rPr>
        <w:t xml:space="preserve">摘要（ZH）: </w:t>
      </w:r>
      <w:r>
        <w:t>ADP-核糖基化 (ADPr) 长期以来被认为是一种典型的蛋白质翻译后修饰，最近已扩展到包括靶向核酸，揭示了非典型生物功能的多样化景观。新出现的证据表明，DNA 5'-磷酸末端的 ADPr 与 DNA 损伤反应有关，但由于缺乏结构明确的化学探针，对其精确分子功能的理解受到了阻碍。在这里，我们报告了脱氧核苷酸磷酸化 ADPr (dN-P-ADPr) 探针的立体选择性合成，代表末端 DNA-ADPr 的天然片段。我们的策略利用温和的立体控制糖基化来构建具有挑战性的核糖基-磷酸键，然后通过 P(III)-P(V) 偶联来建立焦磷酸桥。这个强大的工具包能够对不同生命王国的 DNA-ADPr 水解酶进行系统的生化分析。值得注意的是，利用这些新开发的探针，我们发现了生命多样性中的水解酶，能够逆转磷酸化 DNA 末端的 ADPr 修饰。我们进一步表明，这些酶表现出对类似天然 α-端基异构体的绝对偏好，与相邻 DNA 核碱基的身份无关，这表明底物识别主要由 ADPr-磷酸键而不是局部核碱基背景控制。这些合成探针和生化见解共同为破译非典型 ADPr 的生物景观提供了重要基础。</w:t>
      </w:r>
    </w:p>
    <w:p>
      <w:pPr>
        <w:spacing w:before="0" w:after="200" w:lineRule="auto" w:line="276"/>
      </w:pPr>
      <w:r>
        <w:rPr>
          <w:b/>
        </w:rPr>
        <w:t xml:space="preserve">Abstract (EN): </w:t>
      </w:r>
      <w:r>
        <w:t>ADP-ribosylation (ADPr), long recognized as a canonical protein post-translational modification, has recently expanded to include targeting nucleic acids, uncovering a diverse landscape of noncanonical biological functions. Emerging evidence suggests that ADPr at the 5'-phosphate terminus of DNA is implicated in the DNA damage response, yet understanding its precise molecular function has been hampered by the lack of structurally defined chemical probes. Here, we report the stereoselective synthesis of deoxynucleotide-phospho-ADPr (dN-P-ADPr) probes, representing native fragments of terminal DNA-ADPr. Our strategy leverages a mild, stereocontrolled glycosylation to construct the challenging ribosyl-phosphate linkage, followed by P(III)-P(V) coupling to establish the pyrophosphate bridge. This robust toolkit enabled the systematic biochemical profiling of DNA-ADPr hydrolases across diverse kingdoms of life. Remarkably, using these newly developed probes, we uncover hydrolases across the diversity of life capable of reversing ADPr modifications at phosphorylated DNA ends. We further show that these enzymes exhibit an absolute preference for the native-like α-anomer, independent of the identity of the adjacent DNA nucleobase, suggesting that substrate recognition is governed primarily by the ADPr-phosphate linkages rather than the local nucleobase context. Together, these synthetic probes and biochemical insights provide an essential foundation for deciphering the biological landscape of noncanonical ADPr.</w:t>
      </w:r>
    </w:p>
    <w:p>
      <w:pPr>
        <w:spacing w:before="120" w:after="120"/>
      </w:pPr>
      <w:r>
        <w:rPr>
          <w:sz w:val="18"/>
        </w:rPr>
        <w:t>——————————————————————————————————————————————————————————————————————</w:t>
      </w:r>
    </w:p>
    <w:p>
      <w:pPr>
        <w:spacing w:before="160" w:after="40" w:line="240" w:lineRule="auto"/>
      </w:pPr>
      <w:r>
        <w:rPr>
          <w:b/>
        </w:rPr>
        <w:t xml:space="preserve">[539] </w:t>
      </w:r>
      <w:hyperlink r:id="rId1344">
        <w:r>
          <w:rPr>
            <w:color w:val="1155CC"/>
            <w:u w:val="single"/>
          </w:rPr>
          <w:t>Benthol A 的全合成：结构修改的证据</w:t>
        </w:r>
      </w:hyperlink>
    </w:p>
    <w:p>
      <w:pPr>
        <w:spacing w:before="0" w:after="80"/>
      </w:pPr>
      <w:r>
        <w:rPr>
          <w:i/>
          <w:sz w:val="20"/>
        </w:rPr>
        <w:t>EN: Total Synthesis of Benthol A: Evidence for a Structure Revision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45">
        <w:r>
          <w:rPr>
            <w:color w:val="1155CC"/>
            <w:u w:val="single"/>
          </w:rPr>
          <w:t>10.1021/jacs.6c05580</w:t>
        </w:r>
      </w:hyperlink>
    </w:p>
    <w:p>
      <w:pPr>
        <w:spacing w:before="0" w:after="120"/>
      </w:pPr>
      <w:r>
        <w:rPr>
          <w:b/>
        </w:rPr>
        <w:t xml:space="preserve">Notes: </w:t>
      </w:r>
      <w:r>
        <w:t>abstract_source=pubmed</w:t>
      </w:r>
    </w:p>
    <w:p>
      <w:pPr>
        <w:spacing w:before="0" w:after="80" w:lineRule="auto" w:line="276"/>
      </w:pPr>
      <w:r>
        <w:rPr>
          <w:b/>
        </w:rPr>
        <w:t xml:space="preserve">摘要（ZH）: </w:t>
      </w:r>
      <w:r>
        <w:t>Benthol A 是一种源自甲藻的多元醇/聚醚海洋天然产物，具有有效的抗疟疾和显着的抗病毒活性，由具有 35 个立体中心和四个立体烯烃的 72 C 原子线性主链组成。这种有趣的“超级碳链化合物”的构成和构型是由分离团队通过光谱、化学和计算手段的结合确定的。本文和随附的论文概述了这一具有挑战性的目标的首次全面综合，并进行了微妙的结构修订。在构建模块的合成过程中，注意到光谱不规则性，因为合成样品的 13C NMR 化学位移以及一些 3JH,H 耦合常数与对应于四氢吡喃 E 环及其附近的 Benthol A 整个 C31-C41 区域报告的数据显着偏离。系统化的方法可以将可能的错误位点缩小到单个错误指定的立体中心，即 C40 位置；有趣的是，该站点的配置是由隔离小组仅通过计算手段确定的。从化学角度来看，我们的研究表明，正确选择炔丙基保护基团如何能够控制金催化的螺缩醛化反应的区域化学过程。此外，通过将原位生成的高度官能化但完全不稳定的重氮衍生物添加到同样高度官能化的醛中进行羰基同系化，证明足以进行偶联</w:t>
      </w:r>
    </w:p>
    <w:p>
      <w:pPr>
        <w:spacing w:before="0" w:after="200" w:lineRule="auto" w:line="276"/>
      </w:pPr>
      <w:r>
        <w:rPr>
          <w:b/>
        </w:rPr>
        <w:t xml:space="preserve">Abstract (EN): </w:t>
      </w:r>
      <w:r>
        <w:t>Benthol A, a dinoflagellate-derived polyol/polyether marine natural product endowed with potent antimalaria and appreciable antiviral activity, consists of a 72 C atom linear backbone featuring 35 stereogenic centers and four stereogenic alkenes. The constitution and configuration of this intriguing "super-carbon-chain compound" had been assigned by the isolation team by a combination of spectroscopic, chemical, and computational means. Outlined in this and the accompanying paper is the first total synthesis of this challenging target, which came along with a subtle structure revision. During the synthesis of the building blocks, a spectral irregularity was noticed in that the 13C NMR chemical shifts as well as some of the 3JH,H coupling constants of the synthetic samples deviated notably from the data reported for the entire C31-C41 region of benthol A corresponding to the tetrahydropyran E-ring and its vicinity. A systematic approach made it possible to narrow down the likely site of error to a single, incorrectly assigned stereocenter, i.e., the C40 position; interestingly, the configuration of this site had been determined by the isolation team solely by computational means. In chemical terms, our studies showed how the proper choice of a propargylic protecting group allows the regiochemical course of a gold-catalyzed spiroacetalization reaction to be steered. Moreover, carbonyl homologation by the addition of a highly functionalized but entirely unstabilized diazo derivative generated in situ to an equally highly functionalized aldehyde proved adequate for the coupling of elaborate building blocks (Buchner-Curtius-Schlotterbeck reaction).</w:t>
      </w:r>
    </w:p>
    <w:p>
      <w:pPr>
        <w:spacing w:before="120" w:after="120"/>
      </w:pPr>
      <w:r>
        <w:rPr>
          <w:sz w:val="18"/>
        </w:rPr>
        <w:t>——————————————————————————————————————————————————————————————————————</w:t>
      </w:r>
    </w:p>
    <w:p>
      <w:pPr>
        <w:spacing w:before="160" w:after="40" w:line="240" w:lineRule="auto"/>
      </w:pPr>
      <w:r>
        <w:rPr>
          <w:b/>
        </w:rPr>
        <w:t xml:space="preserve">[540] </w:t>
      </w:r>
      <w:hyperlink r:id="rId1346">
        <w:r>
          <w:rPr>
            <w:color w:val="1155CC"/>
            <w:u w:val="single"/>
          </w:rPr>
          <w:t>单机成本不确定下的鲁棒多目标风电场布局优化</w:t>
        </w:r>
      </w:hyperlink>
    </w:p>
    <w:p>
      <w:pPr>
        <w:spacing w:before="0" w:after="80"/>
      </w:pPr>
      <w:r>
        <w:rPr>
          <w:i/>
          <w:sz w:val="20"/>
        </w:rPr>
        <w:t>EN: Robust multi-objective wind farm layout optimisation under per-turbine cost uncertainty</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1347">
        <w:r>
          <w:rPr>
            <w:color w:val="1155CC"/>
            <w:u w:val="single"/>
          </w:rPr>
          <w:t>评估不同转型背景下的电气化、能源安全和公平：对 123 个国家进行聚类分析</w:t>
        </w:r>
      </w:hyperlink>
    </w:p>
    <w:p>
      <w:pPr>
        <w:spacing w:before="0" w:after="80"/>
      </w:pPr>
      <w:r>
        <w:rPr>
          <w:i/>
          <w:sz w:val="20"/>
        </w:rPr>
        <w:t>EN: Assessing electrification, energy security, and equity in diverse transition contexts: a cluster-based analysis of 123 countries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[542] </w:t>
      </w:r>
      <w:hyperlink r:id="rId1348">
        <w:r>
          <w:rPr>
            <w:color w:val="1155CC"/>
            <w:u w:val="single"/>
          </w:rPr>
          <w:t>针对具有预测信息的可访问窗口和累积任务时间不确定性的物联网海上风电场的面向弹性的维护计划和路线优化</w:t>
        </w:r>
      </w:hyperlink>
    </w:p>
    <w:p>
      <w:pPr>
        <w:spacing w:before="0" w:after="80"/>
      </w:pPr>
      <w:r>
        <w:rPr>
          <w:i/>
          <w:sz w:val="20"/>
        </w:rPr>
        <w:t>EN: Resilience-oriented maintenance scheduling and routing optimization for IoT-enabled offshore wind farms with forecast-informed accessibility windows and cumulative task-time uncertainty</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[543] </w:t>
      </w:r>
      <w:hyperlink r:id="rId1349">
        <w:r>
          <w:rPr>
            <w:color w:val="1155CC"/>
            <w:u w:val="single"/>
          </w:rPr>
          <w:t>使用变分不等式和合作博弈的分布式最优电力和天然气调度</w:t>
        </w:r>
      </w:hyperlink>
    </w:p>
    <w:p>
      <w:pPr>
        <w:spacing w:before="0" w:after="80"/>
      </w:pPr>
      <w:r>
        <w:rPr>
          <w:i/>
          <w:sz w:val="20"/>
        </w:rPr>
        <w:t>EN: Distributed optimal power and gas dispatch using variational inequalities and cooperative games</w:t>
      </w:r>
    </w:p>
    <w:p>
      <w:pPr>
        <w:spacing w:before="0" w:after="120"/>
      </w:pPr>
      <w:r>
        <w:rPr>
          <w:b/>
        </w:rPr>
        <w:t xml:space="preserve">Source: </w:t>
      </w:r>
      <w:r>
        <w:t>ScienceDirect Publication: Applied Energy</w:t>
      </w:r>
      <w:r>
        <w:t xml:space="preserve">    </w:t>
      </w:r>
      <w:r>
        <w:rPr>
          <w:b/>
        </w:rPr>
        <w:t xml:space="preserve">Pub date: </w:t>
      </w:r>
      <w:r>
        <w:t>2026-07-16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1350">
        <w:r>
          <w:rPr>
            <w:color w:val="1155CC"/>
            <w:u w:val="single"/>
          </w:rPr>
          <w:t>玻璃中的传输解耦始于高温活化环境</w:t>
        </w:r>
      </w:hyperlink>
    </w:p>
    <w:p>
      <w:pPr>
        <w:spacing w:before="0" w:after="80"/>
      </w:pPr>
      <w:r>
        <w:rPr>
          <w:i/>
          <w:sz w:val="20"/>
        </w:rPr>
        <w:t>EN: Transport decoupling in glasses begins in the high-temperature activation landscape</w:t>
      </w:r>
    </w:p>
    <w:p>
      <w:pPr>
        <w:spacing w:before="0" w:after="120"/>
      </w:pPr>
      <w:r>
        <w:rPr>
          <w:b/>
        </w:rPr>
        <w:t xml:space="preserve">Source: </w:t>
      </w:r>
      <w:r>
        <w:t>National Science Review Advance Access</w:t>
      </w:r>
      <w:r>
        <w:t xml:space="preserve">    </w:t>
      </w:r>
      <w:r>
        <w:rPr>
          <w:b/>
        </w:rPr>
        <w:t xml:space="preserve">Pub date: </w:t>
      </w:r>
      <w:r>
        <w:t>2026-07-16 00:00:00+00:00</w:t>
      </w:r>
      <w:r>
        <w:t xml:space="preserve">    </w:t>
      </w:r>
      <w:r>
        <w:rPr>
          <w:b/>
        </w:rPr>
        <w:t xml:space="preserve">DOI: </w:t>
      </w:r>
      <w:hyperlink r:id="rId1351">
        <w:r>
          <w:rPr>
            <w:color w:val="1155CC"/>
            <w:u w:val="single"/>
          </w:rPr>
          <w:t>10.1093/nsr/nwag436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[545] </w:t>
      </w:r>
      <w:hyperlink r:id="rId1352">
        <w:r>
          <w:rPr>
            <w:color w:val="1155CC"/>
            <w:u w:val="single"/>
          </w:rPr>
          <w:t>通过化学对称性破缺设计二维金属有机框架中的交变磁转变</w:t>
        </w:r>
      </w:hyperlink>
    </w:p>
    <w:p>
      <w:pPr>
        <w:spacing w:before="0" w:after="80"/>
      </w:pPr>
      <w:r>
        <w:rPr>
          <w:i/>
          <w:sz w:val="20"/>
        </w:rPr>
        <w:t>EN: Engineering Altermagnetic Transitions in Two-Dimensional Metal–Organic Frameworks via Chemical Symmetry Breaking</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53">
        <w:r>
          <w:rPr>
            <w:color w:val="1155CC"/>
            <w:u w:val="single"/>
          </w:rPr>
          <w:t>10.1021/jacs.5c22635</w:t>
        </w:r>
      </w:hyperlink>
    </w:p>
    <w:p>
      <w:pPr>
        <w:spacing w:before="0" w:after="120"/>
      </w:pPr>
      <w:r>
        <w:rPr>
          <w:b/>
        </w:rPr>
        <w:t xml:space="preserve">Notes: </w:t>
      </w:r>
      <w:r>
        <w:t>abstract_source=pubmed</w:t>
      </w:r>
    </w:p>
    <w:p>
      <w:pPr>
        <w:spacing w:before="0" w:after="80" w:lineRule="auto" w:line="276"/>
      </w:pPr>
      <w:r>
        <w:rPr>
          <w:b/>
        </w:rPr>
        <w:t xml:space="preserve">摘要（ZH）: </w:t>
      </w:r>
      <w:r>
        <w:t>交替磁体是对称定义的磁相，它将动量相关的自旋分裂与零净磁化相结合，为自旋电子学提供了有前景的机会。然而，它们的实现受到严格的对称性要求的强烈限制。利用反铁磁体和交变磁体之间共享的反平行磁序和消失的净磁化强度，我们提出了一种基于不对称配体修饰的通用化学驱动策略，将原始二维反铁磁金属有机框架转化为交变磁体候选物。使用铬酞菁 (CrPc) 作为概念验证模型，我们表明，不对称修饰降低了磁性 Cr 中心的局部位点对称性，并产生动量相关的自旋分裂和各向异性自旋密度，正如第一性原理计算所揭示的那样。氧改性的 CrPc 衍生物进一步说明了这种对称控制原理的化学可调性。我们的工作扩展了有机交变磁候选物的设计空间，并为网状材料中对称控制的磁功能的工程建立了化学接地途径。</w:t>
      </w:r>
    </w:p>
    <w:p>
      <w:pPr>
        <w:spacing w:before="0" w:after="200" w:lineRule="auto" w:line="276"/>
      </w:pPr>
      <w:r>
        <w:rPr>
          <w:b/>
        </w:rPr>
        <w:t xml:space="preserve">Abstract (EN): </w:t>
      </w:r>
      <w:r>
        <w:t>Altermagnets are symmetry-defined magnetic phases that combine momentum-dependent spin splitting with zero net magnetization, offering promising opportunities for spintronics. However, their realization is strongly constrained by rigorous symmetry requirements. Exploiting the shared antiparallel magnetic order and vanishing net magnetization between antiferromagnets and altermagnets, we propose a general chemically driven strategy based on asymmetric ligand modification to transform pristine two-dimensional antiferromagnetic metal-organic frameworks into altermagnetic candidates. Using chromium phthalocyanine (CrPc) as a proof-of-concept model, we show that asymmetric modification lowers the local site symmetry at magnetic Cr centers and generates momentum-dependent spin splitting and anisotropic spin densities, as revealed by first-principles calculations. Oxygen-modified CrPc derivatives further illustrate the chemical tunability of this symmetry-control principle. Our work expands the design space of organic altermagnetic candidates and establishes a chemically grounded route for engineering symmetry-governed magnetic functionality in reticular materials.</w:t>
      </w:r>
    </w:p>
    <w:p>
      <w:pPr>
        <w:spacing w:before="120" w:after="120"/>
      </w:pPr>
      <w:r>
        <w:rPr>
          <w:sz w:val="18"/>
        </w:rPr>
        <w:t>——————————————————————————————————————————————————————————————————————</w:t>
      </w:r>
    </w:p>
    <w:p>
      <w:pPr>
        <w:spacing w:before="160" w:after="40" w:line="240" w:lineRule="auto"/>
      </w:pPr>
      <w:r>
        <w:rPr>
          <w:b/>
        </w:rPr>
        <w:t xml:space="preserve">[546] </w:t>
      </w:r>
      <w:hyperlink r:id="rId1354">
        <w:r>
          <w:rPr>
            <w:color w:val="1155CC"/>
            <w:u w:val="single"/>
          </w:rPr>
          <w:t>“爆炸性腹泻”爆发席卷美国：研究人员如何寻找其来源</w:t>
        </w:r>
      </w:hyperlink>
    </w:p>
    <w:p>
      <w:pPr>
        <w:spacing w:before="0" w:after="80"/>
      </w:pPr>
      <w:r>
        <w:rPr>
          <w:i/>
          <w:sz w:val="20"/>
        </w:rPr>
        <w:t>EN: ‘Explosive diarrhoea’ outbreak grips US: how researchers are hunting its source</w:t>
      </w:r>
    </w:p>
    <w:p>
      <w:pPr>
        <w:spacing w:before="0" w:after="120"/>
      </w:pPr>
      <w:r>
        <w:rPr>
          <w:b/>
        </w:rPr>
        <w:t xml:space="preserve">Source: </w:t>
      </w:r>
      <w:r>
        <w:t>Nature</w:t>
      </w:r>
      <w:r>
        <w:t xml:space="preserve">    </w:t>
      </w:r>
      <w:r>
        <w:rPr>
          <w:b/>
        </w:rPr>
        <w:t xml:space="preserve">Pub date: </w:t>
      </w:r>
      <w:r>
        <w:t>2026-07-16 00:00:00+00:00</w:t>
      </w:r>
      <w:r>
        <w:t xml:space="preserve">    </w:t>
      </w:r>
      <w:r>
        <w:rPr>
          <w:b/>
        </w:rPr>
        <w:t xml:space="preserve">DOI: </w:t>
      </w:r>
      <w:hyperlink r:id="rId1355">
        <w:r>
          <w:rPr>
            <w:color w:val="1155CC"/>
            <w:u w:val="single"/>
          </w:rPr>
          <w:t>10.1038/d41586-026-02225-w</w:t>
        </w:r>
      </w:hyperlink>
    </w:p>
    <w:p>
      <w:pPr>
        <w:spacing w:before="0" w:after="120"/>
      </w:pPr>
      <w:r>
        <w:rPr>
          <w:b/>
        </w:rPr>
        <w:t xml:space="preserve">Notes: </w:t>
      </w:r>
      <w:r>
        <w:t>abstract_source=nature_html</w:t>
      </w:r>
    </w:p>
    <w:p>
      <w:pPr>
        <w:spacing w:before="0" w:after="80" w:lineRule="auto" w:line="276"/>
      </w:pPr>
      <w:r>
        <w:rPr>
          <w:b/>
        </w:rPr>
        <w:t xml:space="preserve">摘要（ZH）: </w:t>
      </w:r>
      <w:r>
        <w:t>病例已达到创纪录水平，科学家们正在竞相查明环孢子虫寄生虫进入食品供应的位置。病例已达到创纪录水平，科学家们正在竞相查明环孢子虫寄生虫进入食品供应的位置。</w:t>
      </w:r>
    </w:p>
    <w:p>
      <w:pPr>
        <w:spacing w:before="0" w:after="200" w:lineRule="auto" w:line="276"/>
      </w:pPr>
      <w:r>
        <w:rPr>
          <w:b/>
        </w:rPr>
        <w:t xml:space="preserve">Abstract (EN): </w:t>
      </w:r>
      <w:r>
        <w:t>Cases have hit record levels, and scientists are racing to pinpoint where the Cyclospora parasite entered the food supply. Cases have hit record levels, and scientists are racing to pinpoint where the Cyclospora parasite entered the food supply.</w:t>
      </w:r>
    </w:p>
    <w:p>
      <w:pPr>
        <w:spacing w:before="120" w:after="120"/>
      </w:pPr>
      <w:r>
        <w:rPr>
          <w:sz w:val="18"/>
        </w:rPr>
        <w:t>——————————————————————————————————————————————————————————————————————</w:t>
      </w:r>
    </w:p>
    <w:p>
      <w:pPr>
        <w:spacing w:before="160" w:after="40" w:line="240" w:lineRule="auto"/>
      </w:pPr>
      <w:r>
        <w:rPr>
          <w:b/>
        </w:rPr>
        <w:t xml:space="preserve">[547] </w:t>
      </w:r>
      <w:hyperlink r:id="rId1356">
        <w:r>
          <w:rPr>
            <w:color w:val="1155CC"/>
            <w:u w:val="single"/>
          </w:rPr>
          <w:t>全球人工智能安全之都正在兴起——但它并不在硅谷</w:t>
        </w:r>
      </w:hyperlink>
    </w:p>
    <w:p>
      <w:pPr>
        <w:spacing w:before="0" w:after="80"/>
      </w:pPr>
      <w:r>
        <w:rPr>
          <w:i/>
          <w:sz w:val="20"/>
        </w:rPr>
        <w:t>EN: A global capital for AI safety is emerging — and it's not in Silicon Valley</w:t>
      </w:r>
    </w:p>
    <w:p>
      <w:pPr>
        <w:spacing w:before="0" w:after="120"/>
      </w:pPr>
      <w:r>
        <w:rPr>
          <w:b/>
        </w:rPr>
        <w:t xml:space="preserve">Source: </w:t>
      </w:r>
      <w:r>
        <w:t>Nature</w:t>
      </w:r>
      <w:r>
        <w:t xml:space="preserve">    </w:t>
      </w:r>
      <w:r>
        <w:rPr>
          <w:b/>
        </w:rPr>
        <w:t xml:space="preserve">Pub date: </w:t>
      </w:r>
      <w:r>
        <w:t>2026-07-16 00:00:00+00:00</w:t>
      </w:r>
      <w:r>
        <w:t xml:space="preserve">    </w:t>
      </w:r>
      <w:r>
        <w:rPr>
          <w:b/>
        </w:rPr>
        <w:t xml:space="preserve">DOI: </w:t>
      </w:r>
      <w:hyperlink r:id="rId1357">
        <w:r>
          <w:rPr>
            <w:color w:val="1155CC"/>
            <w:u w:val="single"/>
          </w:rPr>
          <w:t>10.1038/d41586-026-01389-9</w:t>
        </w:r>
      </w:hyperlink>
    </w:p>
    <w:p>
      <w:pPr>
        <w:spacing w:before="0" w:after="120"/>
      </w:pPr>
      <w:r>
        <w:rPr>
          <w:b/>
        </w:rPr>
        <w:t xml:space="preserve">Notes: </w:t>
      </w:r>
      <w:r>
        <w:t>abstract_source=nature_html</w:t>
      </w:r>
    </w:p>
    <w:p>
      <w:pPr>
        <w:spacing w:before="0" w:after="80" w:lineRule="auto" w:line="276"/>
      </w:pPr>
      <w:r>
        <w:rPr>
          <w:b/>
        </w:rPr>
        <w:t xml:space="preserve">摘要（ZH）: </w:t>
      </w:r>
      <w:r>
        <w:t>英国正在通过其不断发展的人工智能安全生态系统获得影响力。英国正在通过其不断发展的人工智能安全生态系统获得影响力。</w:t>
      </w:r>
    </w:p>
    <w:p>
      <w:pPr>
        <w:spacing w:before="0" w:after="200" w:lineRule="auto" w:line="276"/>
      </w:pPr>
      <w:r>
        <w:rPr>
          <w:b/>
        </w:rPr>
        <w:t xml:space="preserve">Abstract (EN): </w:t>
      </w:r>
      <w:r>
        <w:t>The United Kingdom is gaining influence through its growing AI-safety ecosystem. The United Kingdom is gaining influence through its growing AI-safety ecosystem.</w:t>
      </w:r>
    </w:p>
    <w:p>
      <w:pPr>
        <w:spacing w:before="120" w:after="120"/>
      </w:pPr>
      <w:r>
        <w:rPr>
          <w:sz w:val="18"/>
        </w:rPr>
        <w:t>——————————————————————————————————————————————————————————————————————</w:t>
      </w:r>
    </w:p>
    <w:p>
      <w:pPr>
        <w:spacing w:before="160" w:after="40" w:line="240" w:lineRule="auto"/>
      </w:pPr>
      <w:r>
        <w:rPr>
          <w:b/>
        </w:rPr>
        <w:t xml:space="preserve">[548] </w:t>
      </w:r>
      <w:hyperlink r:id="rId1358">
        <w:r>
          <w:rPr>
            <w:color w:val="1155CC"/>
            <w:u w:val="single"/>
          </w:rPr>
          <w:t>人工智能将彻底改变网络安全——研究人员必须做好以下准备</w:t>
        </w:r>
      </w:hyperlink>
    </w:p>
    <w:p>
      <w:pPr>
        <w:spacing w:before="0" w:after="80"/>
      </w:pPr>
      <w:r>
        <w:rPr>
          <w:i/>
          <w:sz w:val="20"/>
        </w:rPr>
        <w:t>EN: AI is set to completely transform cybersecurity — here’s how researchers must prepare</w:t>
      </w:r>
    </w:p>
    <w:p>
      <w:pPr>
        <w:spacing w:before="0" w:after="120"/>
      </w:pPr>
      <w:r>
        <w:rPr>
          <w:b/>
        </w:rPr>
        <w:t xml:space="preserve">Source: </w:t>
      </w:r>
      <w:r>
        <w:t>Nature</w:t>
      </w:r>
      <w:r>
        <w:t xml:space="preserve">    </w:t>
      </w:r>
      <w:r>
        <w:rPr>
          <w:b/>
        </w:rPr>
        <w:t xml:space="preserve">Pub date: </w:t>
      </w:r>
      <w:r>
        <w:t>2026-07-16 00:00:00+00:00</w:t>
      </w:r>
      <w:r>
        <w:t xml:space="preserve">    </w:t>
      </w:r>
      <w:r>
        <w:rPr>
          <w:b/>
        </w:rPr>
        <w:t xml:space="preserve">DOI: </w:t>
      </w:r>
      <w:hyperlink r:id="rId1359">
        <w:r>
          <w:rPr>
            <w:color w:val="1155CC"/>
            <w:u w:val="single"/>
          </w:rPr>
          <w:t>10.1038/d41586-026-02214-z</w:t>
        </w:r>
      </w:hyperlink>
    </w:p>
    <w:p>
      <w:pPr>
        <w:spacing w:before="0" w:after="120"/>
      </w:pPr>
      <w:r>
        <w:rPr>
          <w:b/>
        </w:rPr>
        <w:t xml:space="preserve">Notes: </w:t>
      </w:r>
      <w:r>
        <w:t>abstract_source=nature_html</w:t>
      </w:r>
    </w:p>
    <w:p>
      <w:pPr>
        <w:spacing w:before="0" w:after="80" w:lineRule="auto" w:line="276"/>
      </w:pPr>
      <w:r>
        <w:rPr>
          <w:b/>
        </w:rPr>
        <w:t xml:space="preserve">摘要（ZH）: </w:t>
      </w:r>
      <w:r>
        <w:t>随着自动化工具加速软件漏洞的发现和利用，组织必须重新设计其防御和工作流程以跟上步伐。随着自动化工具加速软件漏洞的发现和利用，组织必须重新设计其防御和工作流程以跟上步伐。</w:t>
      </w:r>
    </w:p>
    <w:p>
      <w:pPr>
        <w:spacing w:before="0" w:after="200" w:lineRule="auto" w:line="276"/>
      </w:pPr>
      <w:r>
        <w:rPr>
          <w:b/>
        </w:rPr>
        <w:t xml:space="preserve">Abstract (EN): </w:t>
      </w:r>
      <w:r>
        <w:t>As automated tools accelerate both the discovery and the exploitation of software vulnerabilities, organizations must redesign their defences and workflows to keep pace. As automated tools accelerate both the discovery and the exploitation of software vulnerabilities, organizations must redesign their defences and workflows to keep pace.</w:t>
      </w:r>
    </w:p>
    <w:p>
      <w:pPr>
        <w:spacing w:before="120" w:after="120"/>
      </w:pPr>
      <w:r>
        <w:rPr>
          <w:sz w:val="18"/>
        </w:rPr>
        <w:t>——————————————————————————————————————————————————————————————————————</w:t>
      </w:r>
    </w:p>
    <w:p>
      <w:pPr>
        <w:spacing w:before="160" w:after="40" w:line="240" w:lineRule="auto"/>
      </w:pPr>
      <w:r>
        <w:rPr>
          <w:b/>
        </w:rPr>
        <w:t xml:space="preserve">[549] </w:t>
      </w:r>
      <w:hyperlink r:id="rId1360">
        <w:r>
          <w:rPr>
            <w:color w:val="1155CC"/>
            <w:u w:val="single"/>
          </w:rPr>
          <w:t>为什么宇航员的身体会消瘦？空间站研究指出线粒体</w:t>
        </w:r>
      </w:hyperlink>
    </w:p>
    <w:p>
      <w:pPr>
        <w:spacing w:before="0" w:after="80"/>
      </w:pPr>
      <w:r>
        <w:rPr>
          <w:i/>
          <w:sz w:val="20"/>
        </w:rPr>
        <w:t>EN: Why do astronauts’ bodies waste away? Space-station study points to mitochondria</w:t>
      </w:r>
    </w:p>
    <w:p>
      <w:pPr>
        <w:spacing w:before="0" w:after="120"/>
      </w:pPr>
      <w:r>
        <w:rPr>
          <w:b/>
        </w:rPr>
        <w:t xml:space="preserve">Source: </w:t>
      </w:r>
      <w:r>
        <w:t>Nature</w:t>
      </w:r>
      <w:r>
        <w:t xml:space="preserve">    </w:t>
      </w:r>
      <w:r>
        <w:rPr>
          <w:b/>
        </w:rPr>
        <w:t xml:space="preserve">Pub date: </w:t>
      </w:r>
      <w:r>
        <w:t>2026-07-16 00:00:00+00:00</w:t>
      </w:r>
      <w:r>
        <w:t xml:space="preserve">    </w:t>
      </w:r>
      <w:r>
        <w:rPr>
          <w:b/>
        </w:rPr>
        <w:t xml:space="preserve">DOI: </w:t>
      </w:r>
      <w:hyperlink r:id="rId1361">
        <w:r>
          <w:rPr>
            <w:color w:val="1155CC"/>
            <w:u w:val="single"/>
          </w:rPr>
          <w:t>10.1038/d41586-026-02089-0</w:t>
        </w:r>
      </w:hyperlink>
    </w:p>
    <w:p>
      <w:pPr>
        <w:spacing w:before="0" w:after="120"/>
      </w:pPr>
      <w:r>
        <w:rPr>
          <w:b/>
        </w:rPr>
        <w:t xml:space="preserve">Notes: </w:t>
      </w:r>
      <w:r>
        <w:t>abstract_source=nature_html</w:t>
      </w:r>
    </w:p>
    <w:p>
      <w:pPr>
        <w:spacing w:before="0" w:after="80" w:lineRule="auto" w:line="276"/>
      </w:pPr>
      <w:r>
        <w:rPr>
          <w:b/>
        </w:rPr>
        <w:t xml:space="preserve">摘要（ZH）: </w:t>
      </w:r>
      <w:r>
        <w:t>在微重力下培养的人类细胞产生的线粒体蛋白较少。在微重力下培养的人类细胞产生的线粒体蛋白较少。</w:t>
      </w:r>
    </w:p>
    <w:p>
      <w:pPr>
        <w:spacing w:before="0" w:after="200" w:lineRule="auto" w:line="276"/>
      </w:pPr>
      <w:r>
        <w:rPr>
          <w:b/>
        </w:rPr>
        <w:t xml:space="preserve">Abstract (EN): </w:t>
      </w:r>
      <w:r>
        <w:t>Human cells cultured in microgravity produced fewer mitochondrial proteins. Human cells cultured in microgravity produced fewer mitochondrial proteins.</w:t>
      </w:r>
    </w:p>
    <w:p>
      <w:pPr>
        <w:spacing w:before="120" w:after="120"/>
      </w:pPr>
      <w:r>
        <w:rPr>
          <w:sz w:val="18"/>
        </w:rPr>
        <w:t>——————————————————————————————————————————————————————————————————————</w:t>
      </w:r>
    </w:p>
    <w:p>
      <w:pPr>
        <w:spacing w:before="160" w:after="40" w:line="240" w:lineRule="auto"/>
      </w:pPr>
      <w:r>
        <w:rPr>
          <w:b/>
        </w:rPr>
        <w:t xml:space="preserve">[550] </w:t>
      </w:r>
      <w:hyperlink r:id="rId1362">
        <w:r>
          <w:rPr>
            <w:color w:val="1155CC"/>
            <w:u w:val="single"/>
          </w:rPr>
          <w:t>出版商更正：哈伯德激子的量子控制</w:t>
        </w:r>
      </w:hyperlink>
    </w:p>
    <w:p>
      <w:pPr>
        <w:spacing w:before="0" w:after="80"/>
      </w:pPr>
      <w:r>
        <w:rPr>
          <w:i/>
          <w:sz w:val="20"/>
        </w:rPr>
        <w:t>EN: Publisher Correction: Quantum control of Hubbard excitons</w:t>
      </w:r>
    </w:p>
    <w:p>
      <w:pPr>
        <w:spacing w:before="0" w:after="120"/>
      </w:pPr>
      <w:r>
        <w:rPr>
          <w:b/>
        </w:rPr>
        <w:t xml:space="preserve">Source: </w:t>
      </w:r>
      <w:r>
        <w:t>Nature Materials</w:t>
      </w:r>
      <w:r>
        <w:t xml:space="preserve">    </w:t>
      </w:r>
      <w:r>
        <w:rPr>
          <w:b/>
        </w:rPr>
        <w:t xml:space="preserve">Pub date: </w:t>
      </w:r>
      <w:r>
        <w:t>2026-07-16 00:00:00+00:00</w:t>
      </w:r>
      <w:r>
        <w:t xml:space="preserve">    </w:t>
      </w:r>
      <w:r>
        <w:rPr>
          <w:b/>
        </w:rPr>
        <w:t xml:space="preserve">DOI: </w:t>
      </w:r>
      <w:hyperlink r:id="rId1363">
        <w:r>
          <w:rPr>
            <w:color w:val="1155CC"/>
            <w:u w:val="single"/>
          </w:rPr>
          <w:t>10.1038/s41563-026-02697-1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[551] </w:t>
      </w:r>
      <w:hyperlink r:id="rId1364">
        <w:r>
          <w:rPr>
            <w:color w:val="1155CC"/>
            <w:u w:val="single"/>
          </w:rPr>
          <w:t>地球丰富的 3d 过渡金属催化的对映选择性 C–H 官能化</w:t>
        </w:r>
      </w:hyperlink>
    </w:p>
    <w:p>
      <w:pPr>
        <w:spacing w:before="0" w:after="80"/>
      </w:pPr>
      <w:r>
        <w:rPr>
          <w:i/>
          <w:sz w:val="20"/>
        </w:rPr>
        <w:t>EN: Earth-Abundant 3d Transition Metal-Catalyzed Enantioselective C–H Functionalization</w:t>
      </w:r>
    </w:p>
    <w:p>
      <w:pPr>
        <w:spacing w:before="0" w:after="120"/>
      </w:pPr>
      <w:r>
        <w:rPr>
          <w:b/>
        </w:rPr>
        <w:t xml:space="preserve">Source: </w:t>
      </w:r>
      <w:r>
        <w:t>Chemical Reviews: Latest Articles (ACS Publications)</w:t>
      </w:r>
      <w:r>
        <w:t xml:space="preserve">    </w:t>
      </w:r>
      <w:r>
        <w:rPr>
          <w:b/>
        </w:rPr>
        <w:t xml:space="preserve">Pub date: </w:t>
      </w:r>
      <w:r>
        <w:t>2026-07-16 00:00:00+00:00</w:t>
      </w:r>
      <w:r>
        <w:t xml:space="preserve">    </w:t>
      </w:r>
      <w:r>
        <w:rPr>
          <w:b/>
        </w:rPr>
        <w:t xml:space="preserve">DOI: </w:t>
      </w:r>
      <w:hyperlink r:id="rId1365">
        <w:r>
          <w:rPr>
            <w:color w:val="1155CC"/>
            <w:u w:val="single"/>
          </w:rPr>
          <w:t>10.1021/acs.chemrev.6c00255</w:t>
        </w:r>
      </w:hyperlink>
    </w:p>
    <w:p>
      <w:pPr>
        <w:spacing w:before="0" w:after="120"/>
      </w:pPr>
      <w:r>
        <w:rPr>
          <w:b/>
        </w:rPr>
        <w:t xml:space="preserve">Notes: </w:t>
      </w:r>
      <w:r>
        <w:t>abstract_source=pubmed</w:t>
      </w:r>
    </w:p>
    <w:p>
      <w:pPr>
        <w:spacing w:before="0" w:after="80" w:lineRule="auto" w:line="276"/>
      </w:pPr>
      <w:r>
        <w:rPr>
          <w:b/>
        </w:rPr>
        <w:t xml:space="preserve">摘要（ZH）: </w:t>
      </w:r>
      <w:r>
        <w:t>过渡金属催化的对映选择性C-H官能化已成为下一代合成范例，为复杂分子结构的从头构建和后期修饰提供了众多机会。与成熟的贵金属催化剂同时，越来越多的研究工作已转向使用地球上丰富的 3d 过渡金属，这是由于其独特的内在性质和反应性特征所驱动。本综述总结了截至 2025 年 3 月 3d 金属催化对映选择性 C-H 官能化的快速进展，涵盖内球和外球机制。重点放在促成这些发展的根本挑战和核心战略解决方案上。为了提供全面的视角，这些进展根据不同的金属/配体催化系统进行了分类，并根据 C-H 官能化反应的类型进行了细分。在适当的地方详细讨论了配体设计、反应开发、机理见解、合成应用和当前限制等关键方面。</w:t>
      </w:r>
    </w:p>
    <w:p>
      <w:pPr>
        <w:spacing w:before="0" w:after="200" w:lineRule="auto" w:line="276"/>
      </w:pPr>
      <w:r>
        <w:rPr>
          <w:b/>
        </w:rPr>
        <w:t xml:space="preserve">Abstract (EN): </w:t>
      </w:r>
      <w:r>
        <w:t>Transition metal-catalyzed enantioselective C-H functionalization has emerged as a next-generation synthetic paradigm, offering numerous opportunities for the de novo construction and late-stage modification of complex molecular architectures. In parallel with well-established precious metal catalysts, increasing research efforts have shifted toward the use of earth-abundant 3d transition metals, driven by their distinctive intrinsic properties and reactivity profiles. This review summarizes the rapid progress in 3d metal-catalyzed enantioselective C-H functionalization up to March 2025, encompassing both inner-sphere and outer-sphere mechanisms. Emphasis is placed on the underlying challenges and core strategic solutions that have enabled these developments. To provide a comprehensive perspective, the advancements are categorized based on distinct metal/ligand catalytic systems and subcategorized according to the type of C-H functionalization reactions. Key aspects such as ligand design, reaction development, mechanistic insights, synthetic applications, and current limitations are discussed in detail where appropriate.</w:t>
      </w:r>
    </w:p>
    <w:p>
      <w:pPr>
        <w:spacing w:before="120" w:after="120"/>
      </w:pPr>
      <w:r>
        <w:rPr>
          <w:sz w:val="18"/>
        </w:rPr>
        <w:t>——————————————————————————————————————————————————————————————————————</w:t>
      </w:r>
    </w:p>
    <w:p>
      <w:pPr>
        <w:spacing w:before="160" w:after="40" w:line="240" w:lineRule="auto"/>
      </w:pPr>
      <w:r>
        <w:rPr>
          <w:b/>
        </w:rPr>
        <w:t xml:space="preserve">[552] </w:t>
      </w:r>
      <w:hyperlink r:id="rId1366">
        <w:r>
          <w:rPr>
            <w:color w:val="1155CC"/>
            <w:u w:val="single"/>
          </w:rPr>
          <w:t>微滴中酚类物质的加速自光聚合有助于棕碳的形成</w:t>
        </w:r>
      </w:hyperlink>
    </w:p>
    <w:p>
      <w:pPr>
        <w:spacing w:before="0" w:after="80"/>
      </w:pPr>
      <w:r>
        <w:rPr>
          <w:i/>
          <w:sz w:val="20"/>
        </w:rPr>
        <w:t>EN: Accelerated Self-Photopolymerization of Phenolics in Microdroplets Contributes to the Brown Carbon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2026-07-16 00:00:00+00:00</w:t>
      </w:r>
      <w:r>
        <w:t xml:space="preserve">    </w:t>
      </w:r>
      <w:r>
        <w:rPr>
          <w:b/>
        </w:rPr>
        <w:t xml:space="preserve">DOI: </w:t>
      </w:r>
      <w:hyperlink r:id="rId1367">
        <w:r>
          <w:rPr>
            <w:color w:val="1155CC"/>
            <w:u w:val="single"/>
          </w:rPr>
          <w:t>10.1021/jacs.6c10186</w:t>
        </w:r>
      </w:hyperlink>
    </w:p>
    <w:p>
      <w:pPr>
        <w:spacing w:before="0" w:after="120"/>
      </w:pPr>
      <w:r>
        <w:rPr>
          <w:b/>
        </w:rPr>
        <w:t xml:space="preserve">Notes: </w:t>
      </w:r>
      <w:r>
        <w:t>abstract_source=pubmed</w:t>
      </w:r>
    </w:p>
    <w:p>
      <w:pPr>
        <w:spacing w:before="0" w:after="80" w:lineRule="auto" w:line="276"/>
      </w:pPr>
      <w:r>
        <w:rPr>
          <w:b/>
        </w:rPr>
        <w:t xml:space="preserve">摘要（ZH）: </w:t>
      </w:r>
      <w:r>
        <w:t>虽然酚类化合物被认为是棕碳 (BrC) 的关键大气前体，但控制其界面转化为 BrC 气溶胶的机制，特别是在微滴空气-水界面 (AWI) 处，仍不完全表征。这项研究研究了紫外线照射下微滴中酚类化合物的光解作用，结果表明其转化效率比本体溶液高 2 个数量级。通过集成傅里叶变换离子回旋共振质谱、液相色谱-质谱和荧光激发-发射矩阵光谱，我们确定界面限制低聚是产生具有低聚物特征的 BrC 的主要途径。多尺度理论模拟揭示了AWI通过协同机制发挥关键介体的作用：它不仅驱动苯酚在界面处的自发积累，而且还通过不对称界面H-π氢键增强其光子吸收效率，298 nm处摩尔消光系数临界增加24.7%证明了这一点。总之，这些双重效应协同促进光子捕获和随后的苯氧基自由基的产生。我们的结果将 AWI 确立为光化学纳米反应器，从根本上改变大气 BrC 形成动力学，提供了一个机制框架来协调潮湿条件下气溶胶快速老化的现场观察，同时挑战当前关于酚类转化时间尺度的模型假设。</w:t>
      </w:r>
    </w:p>
    <w:p>
      <w:pPr>
        <w:spacing w:before="0" w:after="200" w:lineRule="auto" w:line="276"/>
      </w:pPr>
      <w:r>
        <w:rPr>
          <w:b/>
        </w:rPr>
        <w:t xml:space="preserve">Abstract (EN): </w:t>
      </w:r>
      <w:r>
        <w:t>While phenolic compounds are recognized as key atmospheric precursors of brown carbon (BrC), the mechanisms governing their interfacial transformation into BrC aerosols, particularly at the microdroplet air-water interface (AWI), remain incompletely characterized. This study investigated the photolysis of phenolic compounds in microdroplets under UV irradiation, revealing a transformation efficiency 2 orders of magnitude higher than that in bulk solutions. Through integrated Fourier transform ion cyclotron resonance mass spectrometry, liquid chromatography-mass spectrometry, and fluorescence excitation-emission matrix spectrum, we identified interfacial-confined oligomerization as the dominant pathway generating BrC with oligomer characteristics. Multiscale theoretical simulations unveiled that the AWI functions as a key mediator through a synergistic mechanism: it not only drives the spontaneous accumulation of phenols at the interface, but also enhances their photon absorption efficiency via asymmetric interfacial H-π hydrogen bonding, as evidenced by a critical 24.7% increase in the molar extinction coefficient at 298 nm. Together, these dual effects synergistically facilitate photon capture and subsequent phenoxy radical generation. Our results establish the AWI as photochemical nanoreactors that fundamentally alter atmospheric BrC formation kinetics, providing a mechanistic framework to reconcile field observations of rapid aerosol aging under humid conditions, while challenging current model assumptions about phenolic transformation time scales.</w:t>
      </w:r>
    </w:p>
    <w:p>
      <w:pPr>
        <w:spacing w:before="120" w:after="120"/>
      </w:pPr>
      <w:r>
        <w:rPr>
          <w:sz w:val="18"/>
        </w:rPr>
        <w:t>——————————————————————————————————————————————————————————————————————</w:t>
      </w:r>
    </w:p>
    <w:p>
      <w:pPr>
        <w:spacing w:before="160" w:after="40" w:line="240" w:lineRule="auto"/>
      </w:pPr>
      <w:r>
        <w:rPr>
          <w:b/>
        </w:rPr>
        <w:t xml:space="preserve">[553] </w:t>
      </w:r>
      <w:hyperlink r:id="rId1368">
        <w:r>
          <w:rPr>
            <w:color w:val="1155CC"/>
            <w:u w:val="single"/>
          </w:rPr>
          <w:t>气动智能纺织品驱动</w:t>
        </w:r>
      </w:hyperlink>
    </w:p>
    <w:p>
      <w:pPr>
        <w:spacing w:before="0" w:after="80"/>
      </w:pPr>
      <w:r>
        <w:rPr>
          <w:i/>
          <w:sz w:val="20"/>
        </w:rPr>
        <w:t>EN: Pneumatic smart textile actuation</w:t>
      </w:r>
    </w:p>
    <w:p>
      <w:pPr>
        <w:spacing w:before="0" w:after="120"/>
      </w:pPr>
      <w:r>
        <w:rPr>
          <w:b/>
        </w:rPr>
        <w:t xml:space="preserve">Source: </w:t>
      </w:r>
      <w:r>
        <w:t>Matter</w:t>
      </w:r>
      <w:r>
        <w:t xml:space="preserve">    </w:t>
      </w:r>
      <w:r>
        <w:rPr>
          <w:b/>
        </w:rPr>
        <w:t xml:space="preserve">Pub date: </w:t>
      </w:r>
      <w:r>
        <w:t>2026-07-16 00:00:00+00:00</w:t>
      </w:r>
      <w:r>
        <w:t xml:space="preserve">    </w:t>
      </w:r>
      <w:r>
        <w:rPr>
          <w:b/>
        </w:rPr>
        <w:t xml:space="preserve">DOI: </w:t>
      </w:r>
      <w:hyperlink r:id="rId1369">
        <w:r>
          <w:rPr>
            <w:color w:val="1155CC"/>
            <w:u w:val="single"/>
          </w:rPr>
          <w:t>10.1016/j.matt.2026.102904</w:t>
        </w:r>
      </w:hyperlink>
    </w:p>
    <w:p>
      <w:pPr>
        <w:spacing w:before="0" w:after="120"/>
      </w:pPr>
      <w:r>
        <w:rPr>
          <w:b/>
        </w:rPr>
        <w:t xml:space="preserve">Notes: </w:t>
      </w:r>
      <w:r>
        <w:t>abstract_source=rss_cell</w:t>
      </w:r>
    </w:p>
    <w:p>
      <w:pPr>
        <w:spacing w:before="0" w:after="80" w:lineRule="auto" w:line="276"/>
      </w:pPr>
      <w:r>
        <w:rPr>
          <w:b/>
        </w:rPr>
        <w:t xml:space="preserve">摘要（ZH）: </w:t>
      </w:r>
      <w:r>
        <w:t>气动纺织执行器利用气压使织物移动。这篇评论解释了这些柔软的可穿戴系统是如何设计、制造、传感和应用的，并强调了它们在触摸反馈、康复和身体辅助方面的潜力，同时概述了更智能、更舒适的可穿戴技术的未来方向。</w:t>
      </w:r>
    </w:p>
    <w:p>
      <w:pPr>
        <w:spacing w:before="0" w:after="200" w:lineRule="auto" w:line="276"/>
      </w:pPr>
      <w:r>
        <w:rPr>
          <w:b/>
        </w:rPr>
        <w:t xml:space="preserve">Abstract (EN): </w:t>
      </w:r>
      <w:r>
        <w:t>Pneumatic textile actuators make fabrics move by using air pressure. This review explains how these soft, wearable systems are designed, made, sensed, and applied, and it highlights their potential in touch feedback, rehabilitation, and physical assistance while outlining future directions for smarter and more comfortable wearable technologies.</w:t>
      </w:r>
    </w:p>
    <w:p>
      <w:pPr>
        <w:spacing w:before="120" w:after="120"/>
      </w:pPr>
      <w:r>
        <w:rPr>
          <w:sz w:val="18"/>
        </w:rPr>
        <w:t>——————————————————————————————————————————————————————————————————————</w:t>
      </w:r>
    </w:p>
    <w:p>
      <w:pPr>
        <w:spacing w:before="160" w:after="40" w:line="240" w:lineRule="auto"/>
      </w:pPr>
      <w:r>
        <w:rPr>
          <w:b/>
        </w:rPr>
        <w:t xml:space="preserve">[554] </w:t>
      </w:r>
      <w:hyperlink r:id="rId1370">
        <w:r>
          <w:rPr>
            <w:color w:val="1155CC"/>
            <w:u w:val="single"/>
          </w:rPr>
          <w:t>让“复制研究”更容易找到有助于科学的自我纠正吗？</w:t>
        </w:r>
      </w:hyperlink>
    </w:p>
    <w:p>
      <w:pPr>
        <w:spacing w:before="0" w:after="80"/>
      </w:pPr>
      <w:r>
        <w:rPr>
          <w:i/>
          <w:sz w:val="20"/>
        </w:rPr>
        <w:t>EN: Will making ‘replication studies’ easier to find help science self-correct?</w:t>
      </w:r>
    </w:p>
    <w:p>
      <w:pPr>
        <w:spacing w:before="0" w:after="120"/>
      </w:pPr>
      <w:r>
        <w:rPr>
          <w:b/>
        </w:rPr>
        <w:t xml:space="preserve">Source: </w:t>
      </w:r>
      <w:r>
        <w:t>Nature</w:t>
      </w:r>
      <w:r>
        <w:t xml:space="preserve">    </w:t>
      </w:r>
      <w:r>
        <w:rPr>
          <w:b/>
        </w:rPr>
        <w:t xml:space="preserve">Pub date: </w:t>
      </w:r>
      <w:r>
        <w:t>2026-07-16 00:00:00+00:00</w:t>
      </w:r>
      <w:r>
        <w:t xml:space="preserve">    </w:t>
      </w:r>
      <w:r>
        <w:rPr>
          <w:b/>
        </w:rPr>
        <w:t xml:space="preserve">DOI: </w:t>
      </w:r>
      <w:hyperlink r:id="rId1371">
        <w:r>
          <w:rPr>
            <w:color w:val="1155CC"/>
            <w:u w:val="single"/>
          </w:rPr>
          <w:t>10.1038/d41586-026-02175-3</w:t>
        </w:r>
      </w:hyperlink>
    </w:p>
    <w:p>
      <w:pPr>
        <w:spacing w:before="0" w:after="120"/>
      </w:pPr>
      <w:r>
        <w:rPr>
          <w:b/>
        </w:rPr>
        <w:t xml:space="preserve">Notes: </w:t>
      </w:r>
      <w:r>
        <w:t>abstract_source=nature_html</w:t>
      </w:r>
    </w:p>
    <w:p>
      <w:pPr>
        <w:spacing w:before="0" w:after="80" w:lineRule="auto" w:line="276"/>
      </w:pPr>
      <w:r>
        <w:rPr>
          <w:b/>
        </w:rPr>
        <w:t xml:space="preserve">摘要（ZH）: </w:t>
      </w:r>
      <w:r>
        <w:t>同行评审平台 Pubpeer 上的项目旨在使复制研究更加可见。同行评审平台 Pubpeer 上的项目旨在使复制研究更加可见。</w:t>
      </w:r>
    </w:p>
    <w:p>
      <w:pPr>
        <w:spacing w:before="0" w:after="200" w:lineRule="auto" w:line="276"/>
      </w:pPr>
      <w:r>
        <w:rPr>
          <w:b/>
        </w:rPr>
        <w:t xml:space="preserve">Abstract (EN): </w:t>
      </w:r>
      <w:r>
        <w:t>Project on peer-review platform Pubpeer aims to make replication studies more visible. Project on peer-review platform Pubpeer aims to make replication studies more visible.</w:t>
      </w:r>
    </w:p>
    <w:p>
      <w:pPr>
        <w:spacing w:before="120" w:after="120"/>
      </w:pPr>
      <w:r>
        <w:rPr>
          <w:sz w:val="18"/>
        </w:rPr>
        <w:t>——————————————————————————————————————————————————————————————————————</w:t>
      </w:r>
    </w:p>
    <w:p>
      <w:pPr>
        <w:spacing w:before="160" w:after="40" w:line="240" w:lineRule="auto"/>
      </w:pPr>
      <w:r>
        <w:rPr>
          <w:b/>
        </w:rPr>
        <w:t xml:space="preserve">[555] </w:t>
      </w:r>
      <w:hyperlink r:id="rId1372">
        <w:r>
          <w:rPr>
            <w:color w:val="1155CC"/>
            <w:u w:val="single"/>
          </w:rPr>
          <w:t>交互式可寻址有机元设备</w:t>
        </w:r>
      </w:hyperlink>
    </w:p>
    <w:p>
      <w:pPr>
        <w:spacing w:before="0" w:after="80"/>
      </w:pPr>
      <w:r>
        <w:rPr>
          <w:i/>
          <w:sz w:val="20"/>
        </w:rPr>
        <w:t>EN: Interactively addressable organic metadevices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主动的像素级可寻址性是实现具有可编程波前控制的元设备的核心。然而，可见光波长下的二维操作仍然具有挑战性，因为减小超表面像素尺寸对电气互连设计和局部可调谐性施加了越来越多的限制。在这里，我们展示了交互式可寻址有机元器件，其中超薄聚苯胺与等离子体纳米天线共形集成，以产生具有局部电化学调制的单独可切换超表面像素。使用平面扇出架构，我们实现了二维超表面阵列，其中每个像素都是电子隔离的，并以亚伏电压驱动，从而实现毫秒级的开关动态。该平台嵌入在用户驱动的电子控制环路中，将用户输入转换为像素级电压模式，以生成可重新配置的全息投影，支持从字母数字字符渲染到交互式游戏等功能。像素分辨测量揭示了均匀的电化学行为、可忽略的电串扰以及在动态变化的全息场景中的稳定运行。我们的研究结果表明，有机超表面是实现用户可编程和交互式可寻址光子系统的一条有前途的途径。</w:t>
      </w:r>
    </w:p>
    <w:p>
      <w:pPr>
        <w:spacing w:before="0" w:after="200" w:lineRule="auto" w:line="276"/>
      </w:pPr>
      <w:r>
        <w:rPr>
          <w:b/>
        </w:rPr>
        <w:t xml:space="preserve">Abstract (EN): </w:t>
      </w:r>
      <w:r>
        <w:t>Active, pixel-level addressability is central to the realization of metadevices with programmable wavefront control. However, two-dimensional operation at visible wavelengths remains challenging, as reducing metasurface pixel dimensions imposes increasing constraints on electrical interconnect design and local tunability. Here, we demonstrate interactively addressable organic metadevices, in which ultrathin polyaniline is conformally integrated with plasmonic nanoantennas to yield individually switchable metasurface pixels with localized electrochemical modulation. Using a planar fan-out architecture, we realize two-dimensional metasurface arrays, in which each pixel is electronically isolated and driven at sub-volt voltages, enabling millisecond-scale switching dynamics. Embedded within a user-driven electronic control loop, the platform converts user inputs into pixel-level voltage patterns to generate reconfigurable holographic projections, supporting functionalities ranging from alphanumeric character rendering to interactive gaming. Pixel-resolved measurements reveal uniform electrochemical behaviour, negligible electrical crosstalk, and stable operation across dynamically evolving holographic scenes. Our results establish organic metasurfaces as a promising route toward user-programmable and interactively addressable photonic systems.</w:t>
      </w:r>
    </w:p>
    <w:p>
      <w:pPr>
        <w:spacing w:before="120" w:after="120"/>
      </w:pPr>
      <w:r>
        <w:rPr>
          <w:sz w:val="18"/>
        </w:rPr>
        <w:t>——————————————————————————————————————————————————————————————————————</w:t>
      </w:r>
    </w:p>
    <w:p>
      <w:pPr>
        <w:spacing w:before="160" w:after="40" w:line="240" w:lineRule="auto"/>
      </w:pPr>
      <w:r>
        <w:rPr>
          <w:b/>
        </w:rPr>
        <w:t xml:space="preserve">[556] </w:t>
      </w:r>
      <w:hyperlink r:id="rId1373">
        <w:r>
          <w:rPr>
            <w:color w:val="1155CC"/>
            <w:u w:val="single"/>
          </w:rPr>
          <w:t>次要剪接体成分 U4atac 调节 JAK/STAT 信号传导以调节果蝇的造血和免疫反应</w:t>
        </w:r>
      </w:hyperlink>
    </w:p>
    <w:p>
      <w:pPr>
        <w:spacing w:before="0" w:after="80"/>
      </w:pPr>
      <w:r>
        <w:rPr>
          <w:i/>
          <w:sz w:val="20"/>
        </w:rPr>
        <w:t>EN: The minor spliceosome component U4atac regulates JAK/STAT signaling to modulate hematopoiesis and immune responses in Drosophila melanogaster</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小核 RNA U4atac 是小剪接体的核心成分。在人类中，U4atac 的纯合或复合杂合点突变会导致罕见的发育障碍，例如 Roifman 综合征，其特征是生长受限、大脑异常和免疫缺陷。为了更好地定义 U4atac 突变的病理生理学作用，我们在这里通过在高度保守的干 II 区域生成果蝇 CRISPR/Cas9 诱导的 U4atac 突变体，建立了轻微剪接体功能障碍的模型。 U4atac 纯合突变体表现出生长和神经发育缺陷、免疫缺陷和胃肠道症状。通过大量 RNA 测序和功能分析，我们发现 U4atac 的突变会影响涉及先天免疫、造血和肠细胞功能的大量转录本的剪接，包括果蝇 Janus 激酶 (JAK) 同源物跳房子 (hop)。重要的是，U4atac 缺乏会降低 Hop 表达并导致胚胎和幼虫阶段与 Hop 相关的造血缺陷。值得注意的是，我们还观察到 Roifman 综合征患者中 Jak1 表达减少以及下游信号传导减弱。因此，我们的工作将 Jak 信号传导的改变确定为 RNU4atac 病发病机制的一部分。</w:t>
      </w:r>
    </w:p>
    <w:p>
      <w:pPr>
        <w:spacing w:before="0" w:after="200" w:lineRule="auto" w:line="276"/>
      </w:pPr>
      <w:r>
        <w:rPr>
          <w:b/>
        </w:rPr>
        <w:t xml:space="preserve">Abstract (EN): </w:t>
      </w:r>
      <w:r>
        <w:t>The small nuclear RNA U4atac is a core component of the minor spliceosome. In humans, homozygous or compound heterozygous point mutations in U4atac cause rare developmental disorders, such as Roifman syndrome, characterized by growth restriction, brain anomalies, and immune deficiency. To better define the pathophysiological role of U4atac mutations, we here establish a model of minor spliceosome dysfunction by generating a Drosophila melanogaster CRISPR/Cas9-induced U4atac mutant in the highly conserved stem II region. U4atac homozygous mutants exhibit growth and neurodevelopmental defects, immunodeficiency, and gastrointestinal symptoms. Using bulk RNA-sequencing and functional assays, we reveal that mutations in U4atac affect the splicing of a large set of transcripts involved in innate immunity, hematopoiesis, and intestinal cell functions, including the Drosophila Janus kinase (JAK) homolog hopscotch (hop). Importantly, U4atac deficiency reduces Hop expression and causes Hop-related hematopoietic defects at the embryonic and larval stages. Notably, we also observe reduced expression of Jak1 and attenuated activation of downstream signaling in patients with Roifman syndrome. Thus, our work identifies alterations of Jak signaling as part of the pathogenesis of RNU4atac-opathy.</w:t>
      </w:r>
    </w:p>
    <w:p>
      <w:pPr>
        <w:spacing w:before="120" w:after="120"/>
      </w:pPr>
      <w:r>
        <w:rPr>
          <w:sz w:val="18"/>
        </w:rPr>
        <w:t>——————————————————————————————————————————————————————————————————————</w:t>
      </w:r>
    </w:p>
    <w:p>
      <w:pPr>
        <w:spacing w:before="160" w:after="40" w:line="240" w:lineRule="auto"/>
      </w:pPr>
      <w:r>
        <w:rPr>
          <w:b/>
        </w:rPr>
        <w:t xml:space="preserve">[557] </w:t>
      </w:r>
      <w:hyperlink r:id="rId1374">
        <w:r>
          <w:rPr>
            <w:color w:val="1155CC"/>
            <w:u w:val="single"/>
          </w:rPr>
          <w:t>配位多样的 Fe-N 4 单原子催化剂调节超快类芬顿反应的高价铁-氧化生成</w:t>
        </w:r>
      </w:hyperlink>
    </w:p>
    <w:p>
      <w:pPr>
        <w:spacing w:before="0" w:after="80"/>
      </w:pPr>
      <w:r>
        <w:rPr>
          <w:i/>
          <w:sz w:val="20"/>
        </w:rPr>
        <w:t>EN: Coordination-Diverse Fe-N 4 Single-Atom Catalysts Regulate High-Valent Iron–Oxo Generation for Ultrafast Fenton-like Reactions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75">
        <w:r>
          <w:rPr>
            <w:color w:val="1155CC"/>
            <w:u w:val="single"/>
          </w:rPr>
          <w:t>10.1021/acsami.6c08069</w:t>
        </w:r>
      </w:hyperlink>
    </w:p>
    <w:p>
      <w:pPr>
        <w:spacing w:before="0" w:after="120"/>
      </w:pPr>
      <w:r>
        <w:rPr>
          <w:b/>
        </w:rPr>
        <w:t xml:space="preserve">Notes: </w:t>
      </w:r>
      <w:r>
        <w:t>abstract_source=pubmed</w:t>
      </w:r>
    </w:p>
    <w:p>
      <w:pPr>
        <w:spacing w:before="0" w:after="80" w:lineRule="auto" w:line="276"/>
      </w:pPr>
      <w:r>
        <w:rPr>
          <w:b/>
        </w:rPr>
        <w:t xml:space="preserve">摘要（ZH）: </w:t>
      </w:r>
      <w:r>
        <w:t>在实际的催化剂合成中，单原子催化剂（SAC）通常具有复杂的配位环境，其中多种配位构型共存于单个催化剂中。然而，这些不同的配位结构在氧化剂激活和活性氧（ROS）生成过程中的机制仍不清楚，这阻碍了具有可控ROS途径的SAC的合理设计。在此，我们开发了一种基于污泥活性炭（SBAC-SAC）的SAC，它可以同时稳定三种Fe配位构型（Fe-N4、Fe2N6和2Fe-N4），以实现有效的过乙酸（PAA）活化。优化后的SBAC-SAC/PAA系统实现了苯酚的快速降解，表观速率常数为1.9829 min-1，PAA利用效率为86.12%。理论计算进一步表明，与其他构型相比，具有窄带隙和高Fe自旋态的Fe2N6构型在吸附强度和电子转移之间实现了最佳平衡，从而形成高价铁氧物种。长期稳定运行在连续流应用中表现出出色的稳定性，可在 312 小时内保持 100% 的去除效率，铁浸出可忽略不计。生命周期评估（LCA）显示了该催化剂用于实际废水处理的可行性和环境前景。这项工作提供了对配位多样化 Fe-N4 位点催化作用的基本见解，并为设计 SAC 以实现有效的环境修复提供了可持续的策略。</w:t>
      </w:r>
    </w:p>
    <w:p>
      <w:pPr>
        <w:spacing w:before="0" w:after="200" w:lineRule="auto" w:line="276"/>
      </w:pPr>
      <w:r>
        <w:rPr>
          <w:b/>
        </w:rPr>
        <w:t xml:space="preserve">Abstract (EN): </w:t>
      </w:r>
      <w:r>
        <w:t>In practical catalyst synthesis, single-atom catalysts (SACs) typically possess complex coordination environments, where multiple coordination configurations coexist within a single catalyst. However, the mechanisms of these diverse coordination structures during oxidant activation and reactive oxygen species (ROS) generation remain largely unclear, hindering the rational design of SACs with controllable ROS pathways. Herein, we developed a SAC based on sludge-based activated carbon (SBAC-SAC) that simultaneously stabilized three Fe coordination configurations (Fe-N4, Fe2N6, and 2Fe-N4) for efficient peracetic acid (PAA) activation. The optimized SBAC-SAC/PAA system achieved rapid phenol degradation with an apparent rate constant of 1.9829 min-1 and 86.12% PAA utilization efficiency. Theoretical calculations further revealed that the Fe2N6 configuration, with a narrowed band gap and high Fe spin states, achieved an optimal balance between adsorption strength and electron transfer for the formation of high-valent iron-oxo species compared with other configurations. The long-term steady operation demonstrated outstanding stability in continuous-flow applications, maintaining 100% removal efficiency for 312 h with negligible iron leaching. Life cycle assessment (LCA) showed the feasibility and environmental promise of this catalyst for practical wastewater treatment. This work provides fundamental insights into the catalytic roles of coordination-diverse Fe-N4 sites and offers a sustainable strategy for designing SACs toward efficient environmental remediation.</w:t>
      </w:r>
    </w:p>
    <w:p>
      <w:pPr>
        <w:spacing w:before="120" w:after="120"/>
      </w:pPr>
      <w:r>
        <w:rPr>
          <w:sz w:val="18"/>
        </w:rPr>
        <w:t>——————————————————————————————————————————————————————————————————————</w:t>
      </w:r>
    </w:p>
    <w:p>
      <w:pPr>
        <w:spacing w:before="160" w:after="40" w:line="240" w:lineRule="auto"/>
      </w:pPr>
      <w:r>
        <w:rPr>
          <w:b/>
        </w:rPr>
        <w:t xml:space="preserve">[558] </w:t>
      </w:r>
      <w:hyperlink r:id="rId1376">
        <w:r>
          <w:rPr>
            <w:color w:val="1155CC"/>
            <w:u w:val="single"/>
          </w:rPr>
          <w:t>海草 Posidonia oceanica 光系统 I 对海底光的结构和光谱适应</w:t>
        </w:r>
      </w:hyperlink>
    </w:p>
    <w:p>
      <w:pPr>
        <w:spacing w:before="0" w:after="80"/>
      </w:pPr>
      <w:r>
        <w:rPr>
          <w:i/>
          <w:sz w:val="20"/>
        </w:rPr>
        <w:t>EN: Structural and spectral adaptation of the seagrass Posidonia oceanica photosystem I to seabed light</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海草是重新适应水下生活的海洋被子植物，形成富有成效的生态系统和长期碳汇。 Posidonia oceanica 生长在 50 m 深处，那里光线稀少且光谱发生偏移；然而，其光合适应的分子基础仍不清楚。在这里，我们报告说，P. oceanica 通过增强光系统天线尺寸和减少激子捕获时间，在遗传上适应弱光下高效光子的使用。我们通过冷冻电子显微镜确定了 P. oceanica PSI 超复合物的结构，揭示了由 PSI-LHCI、三聚磷酸-LHCII 和额外的 LHCI 异二聚体组成的扩展天线系统。与 LHCI 相关的低能叶绿素形式丢失。超快光谱表明，这种损失与更快的激子俘获相关，从而补偿天线膨胀并提高弱光下的光利用效率。我们确定了导致低能形式损失的关键残基。恢复陆地植物直系同源序列可恢复红移发射，为提高作物的光利用效率提供策略。</w:t>
      </w:r>
    </w:p>
    <w:p>
      <w:pPr>
        <w:spacing w:before="0" w:after="200" w:lineRule="auto" w:line="276"/>
      </w:pPr>
      <w:r>
        <w:rPr>
          <w:b/>
        </w:rPr>
        <w:t xml:space="preserve">Abstract (EN): </w:t>
      </w:r>
      <w:r>
        <w:t>Seagrasses are marine angiosperms re-adapted to underwater life, forming productive ecosystems and long-term carbon sinks. Posidonia oceanica thrives up to 50 m depth, where light is scarce and spectrally shifted; yet, the molecular basis of its photosynthetic adaptation remains unclear. Here, we report that P. oceanica genetically adapts for highly efficient photon use under dim light by enhancing photosystem antenna size and reducing exciton trapping time. We determine the structures of P. oceanica PSI supercomplexes by cryo-electron microscopy, revealing an expanded antenna system composed of PSI-LHCI, a trimeric phospho-LHCII, and an additional LHCI heterodimer. Low-energy chlorophyll forms associated with LHCI are lost. Ultrafast spectroscopy shows that this loss correlates with faster exciton trapping, which compensates for antenna expansion and enhances light-use efficiency under dim light. We identify key residues responsible for the loss of low-energy forms. Reversion to land-plant ortholog sequences restores red-shifted emission, providing strategies to enhance light-use efficiency in crops.</w:t>
      </w:r>
    </w:p>
    <w:p>
      <w:pPr>
        <w:spacing w:before="120" w:after="120"/>
      </w:pPr>
      <w:r>
        <w:rPr>
          <w:sz w:val="18"/>
        </w:rPr>
        <w:t>——————————————————————————————————————————————————————————————————————</w:t>
      </w:r>
    </w:p>
    <w:p>
      <w:pPr>
        <w:spacing w:before="160" w:after="40" w:line="240" w:lineRule="auto"/>
      </w:pPr>
      <w:r>
        <w:rPr>
          <w:b/>
        </w:rPr>
        <w:t xml:space="preserve">[559] </w:t>
      </w:r>
      <w:hyperlink r:id="rId1377">
        <w:r>
          <w:rPr>
            <w:color w:val="1155CC"/>
            <w:u w:val="single"/>
          </w:rPr>
          <w:t>PeptiVerse：治疗性肽特性预测的统一平台</w:t>
        </w:r>
      </w:hyperlink>
    </w:p>
    <w:p>
      <w:pPr>
        <w:spacing w:before="0" w:after="80"/>
      </w:pPr>
      <w:r>
        <w:rPr>
          <w:i/>
          <w:sz w:val="20"/>
        </w:rPr>
        <w:t>EN: PeptiVerse: A unified platform for therapeutic peptide property prediction</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治疗性肽结合了小分子和抗体的优点，提供靶点灵活性和低免疫原性，但其成功翻译需要仔细评估除单独结合之外的多种可开发特性。随着化学修饰肽在药物设计中变得越来越普遍，目前没有统一的平台支持跨规范序列和基于 SMILES 的表示的系统属性评估。利用在蛋白质和化学数据上训练的大型基础模型的通用性，我们推出了 PeptiVerse，一个通用的治疗性肽特性预测平台。 PeptiVerse 接受氨基酸序列或化学修饰的肽 SMILES，在不同的性质预测任务中提供最先进的性能，并提供网络界面和开源实现，以实现快速、可访问且可扩展的肽可开发性分析。通过统一跨表征的属性预测，PeptiVerse 直接支持早期肽治疗开发活动和属性感知生成设计工作流程。</w:t>
      </w:r>
    </w:p>
    <w:p>
      <w:pPr>
        <w:spacing w:before="0" w:after="200" w:lineRule="auto" w:line="276"/>
      </w:pPr>
      <w:r>
        <w:rPr>
          <w:b/>
        </w:rPr>
        <w:t xml:space="preserve">Abstract (EN): </w:t>
      </w:r>
      <w:r>
        <w:t>Therapeutic peptides combine the advantages of small molecules and antibodies, offering target flexibility and low immunogenicity, yet their successful translation requires careful evaluation of multiple developability properties beyond binding alone. As chemically modified peptides become increasingly common in drug design, no unified platform currently supports systematic property assessment across both canonical sequences and SMILES-based representations. Leveraging the generalizability of large foundational models trained on protein and chemical data, we introduce PeptiVerse, a universal therapeutic peptide property prediction platform. PeptiVerse accepts either amino acid sequences or chemically modified peptide SMILES, delivers state-of-the-art performance across diverse property prediction tasks, and provides both a web interface and open-source implementation for rapid, accessible, and scalable peptide developability analysis. By unifying property prediction across representations, PeptiVerse directly supports early-stage peptide therapeutic development campaigns and property-aware generative design workflows.</w:t>
      </w:r>
    </w:p>
    <w:p>
      <w:pPr>
        <w:spacing w:before="120" w:after="120"/>
      </w:pPr>
      <w:r>
        <w:rPr>
          <w:sz w:val="18"/>
        </w:rPr>
        <w:t>——————————————————————————————————————————————————————————————————————</w:t>
      </w:r>
    </w:p>
    <w:p>
      <w:pPr>
        <w:spacing w:before="160" w:after="40" w:line="240" w:lineRule="auto"/>
      </w:pPr>
      <w:r>
        <w:rPr>
          <w:b/>
        </w:rPr>
        <w:t xml:space="preserve">[560] </w:t>
      </w:r>
      <w:hyperlink r:id="rId1378">
        <w:r>
          <w:rPr>
            <w:color w:val="1155CC"/>
            <w:u w:val="single"/>
          </w:rPr>
          <w:t>用于海洋生物污垢防御的具有协同除垢和接触杀灭作用的无氟水性聚氨酯涂料</w:t>
        </w:r>
      </w:hyperlink>
    </w:p>
    <w:p>
      <w:pPr>
        <w:spacing w:before="0" w:after="80"/>
      </w:pPr>
      <w:r>
        <w:rPr>
          <w:i/>
          <w:sz w:val="20"/>
        </w:rPr>
        <w:t>EN: Fluorine-Free Waterborne Polyurethane Coatings with Synergistic Fouling-Release and Contact-Killing for Marine Biofouling Defense</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79">
        <w:r>
          <w:rPr>
            <w:color w:val="1155CC"/>
            <w:u w:val="single"/>
          </w:rPr>
          <w:t>10.1021/acsami.6c09642</w:t>
        </w:r>
      </w:hyperlink>
    </w:p>
    <w:p>
      <w:pPr>
        <w:spacing w:before="0" w:after="120"/>
      </w:pPr>
      <w:r>
        <w:rPr>
          <w:b/>
        </w:rPr>
        <w:t xml:space="preserve">Notes: </w:t>
      </w:r>
      <w:r>
        <w:t>abstract_source=pubmed</w:t>
      </w:r>
    </w:p>
    <w:p>
      <w:pPr>
        <w:spacing w:before="0" w:after="80" w:lineRule="auto" w:line="276"/>
      </w:pPr>
      <w:r>
        <w:rPr>
          <w:b/>
        </w:rPr>
        <w:t xml:space="preserve">摘要（ZH）: </w:t>
      </w:r>
      <w:r>
        <w:t>本研究通过将聚二甲基硅氧烷（PDMS）作为侧链并在主链上共价接枝季铵盐，创新开发了一种具有双重作用（动态和静态）防污功效的新型水性聚氨酯涂料（BV-PDx）。高柔性的PDMS侧链不仅降低了材料的表面能和弹性模量，而且赋予涂层在流体动力剪切力下优异的动态去垢性能。同时，掺入的阳离子活性基团通过非浸出的“接触杀伤”机制有效地解决了纯硅氧烷系统在静态环境中的局限性。该涂层对大肠杆菌、金黄色葡萄球菌和三角褐指藻具有广谱防污作用。此外，通过系统地调节PDMS链段的分子量可以有效地调节机械性能。这项研究为开发适应复杂水下环境的环保耐用海洋防污材料提供了创新的结构设计策略。</w:t>
      </w:r>
    </w:p>
    <w:p>
      <w:pPr>
        <w:spacing w:before="0" w:after="200" w:lineRule="auto" w:line="276"/>
      </w:pPr>
      <w:r>
        <w:rPr>
          <w:b/>
        </w:rPr>
        <w:t xml:space="preserve">Abstract (EN): </w:t>
      </w:r>
      <w:r>
        <w:t>In this study, a novel waterborne polyurethane coating (BV-PDx) with dual-action (dynamic and static) antifouling efficacy was innovatively developed by incorporating polydimethylsiloxane (PDMS) as side chains and covalently grafting quaternary ammonium salts into the backbone. The highly flexible PDMS side chains not only reduce the surface energy and elastic modulus of the material but also endow the coating with superior dynamic fouling-release performance under hydrodynamic shear force. Simultaneously, the incorporated cationic active groups effectively address the limitations of pure siloxane systems in static environments through a nonleaching "contact-killing" mechanism. The coatings demonstrate broad-spectrum antifouling against Escherichia coli, Staphylococcus aureus, and Phaeodactylum tricornutum. Moreover, the mechanical properties can be effectively tuned by systematically adjusting the molecular weight of the PDMS segments. This research offers an innovative structural design strategy for the development of eco-friendly and durable marine antifouling materials adaptable to complex underwater environments.</w:t>
      </w:r>
    </w:p>
    <w:p>
      <w:pPr>
        <w:spacing w:before="120" w:after="120"/>
      </w:pPr>
      <w:r>
        <w:rPr>
          <w:sz w:val="18"/>
        </w:rPr>
        <w:t>——————————————————————————————————————————————————————————————————————</w:t>
      </w:r>
    </w:p>
    <w:p>
      <w:pPr>
        <w:spacing w:before="160" w:after="40" w:line="240" w:lineRule="auto"/>
      </w:pPr>
      <w:r>
        <w:rPr>
          <w:b/>
        </w:rPr>
        <w:t xml:space="preserve">[561] </w:t>
      </w:r>
      <w:hyperlink r:id="rId1380">
        <w:r>
          <w:rPr>
            <w:color w:val="1155CC"/>
            <w:u w:val="single"/>
          </w:rPr>
          <w:t>用于耦合癌症干细胞的快速干细胞诱导、原位途径监测和直接药物评价的工程肽水凝胶界面</w:t>
        </w:r>
      </w:hyperlink>
    </w:p>
    <w:p>
      <w:pPr>
        <w:spacing w:before="0" w:after="80"/>
      </w:pPr>
      <w:r>
        <w:rPr>
          <w:i/>
          <w:sz w:val="20"/>
        </w:rPr>
        <w:t>EN: Engineered Peptide Hydrogel Interface for Coupling Rapid Stemness Induction, In Situ Pathway Monitoring, and Direct Drug Evaluation of Cancer Stem Cells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81">
        <w:r>
          <w:rPr>
            <w:color w:val="1155CC"/>
            <w:u w:val="single"/>
          </w:rPr>
          <w:t>10.1021/acsami.6c08163</w:t>
        </w:r>
      </w:hyperlink>
    </w:p>
    <w:p>
      <w:pPr>
        <w:spacing w:before="0" w:after="120"/>
      </w:pPr>
      <w:r>
        <w:rPr>
          <w:b/>
        </w:rPr>
        <w:t xml:space="preserve">Notes: </w:t>
      </w:r>
      <w:r>
        <w:t>abstract_source=pubmed</w:t>
      </w:r>
    </w:p>
    <w:p>
      <w:pPr>
        <w:spacing w:before="0" w:after="80" w:lineRule="auto" w:line="276"/>
      </w:pPr>
      <w:r>
        <w:rPr>
          <w:b/>
        </w:rPr>
        <w:t xml:space="preserve">摘要（ZH）: </w:t>
      </w:r>
      <w:r>
        <w:t>癌症干细胞（CSC）模型对于了解肿瘤进展和评估靶向治疗至关重要。然而，传统方法依赖于球体形成、破坏性表征和重新培养步骤，导致工作流程延长且重现性有限（15-30 天）。在此，我们报告了一种工程化的功能性肽水凝胶界面，它将快速 CSC 诱导与原位途径监测和药物评估无缝集成。自组装的Fmoc-二苯丙氨酸（Fmoc-FF）水凝胶提供了3D微环境，而与Fmoc-RGD肽的共组装激活了整合素介导的信号传导，在3天内诱导MCF-7细胞的高效干性重编程。通过加入锰卟啉作为催化识别元件，水凝胶-电极界面能够电化学检测一氧化氮（NO），作为通路激活的功能读数。该设计允许在 CSC 诱导过程中实时、原位监测动态信号传导过程。此外，NO 响应电化学传感平台能够在同一 3D 系统中直接评估 CSC 靶向药物，从而无需进行球体转移和基于裂解的测定。与传统方法相比，该集成策略将实验工作流程显着缩短至6-8天，同时提高了操作简单性和功能读出能力。这项工作建立了一种材料驱动的策略，将细胞状态编程与电化学信号转导耦合起来，从而实现 CS 的集成询问</w:t>
      </w:r>
    </w:p>
    <w:p>
      <w:pPr>
        <w:spacing w:before="0" w:after="200" w:lineRule="auto" w:line="276"/>
      </w:pPr>
      <w:r>
        <w:rPr>
          <w:b/>
        </w:rPr>
        <w:t xml:space="preserve">Abstract (EN): </w:t>
      </w:r>
      <w:r>
        <w:t>Cancer stem cell (CSC) models are essential for understanding tumor progression and evaluating targeted therapies. However, conventional approaches rely on sphere formation, destructive characterization, and re-culture steps, resulting in prolonged workflows and limited reproducibility (15-30 days). Herein, we report an engineered functional peptide hydrogel interface that seamlessly integrates rapid CSC induction with in situ pathway monitoring and drug evaluation. The self-assembled Fmoc-diphenylalanine (Fmoc-FF) hydrogel provides a 3D microenvironment, while co-assembly with Fmoc-RGD peptides activates integrin-mediated signaling, inducing highly efficient stemness reprogramming of MCF-7 cells within 3 days. By incorporating a manganese porphyrin as a catalytic recognition element, the hydrogel-electrode interface enables electrochemical detection of nitric oxide (NO) as a functional readout of pathway activation. This design allows real-time, in situ monitoring of dynamic signaling processes during CSC induction. Furthermore, the NO-responsive electrochemical sensing platform enables direct evaluation of CSC-targeting drugs within the same 3D system, eliminating the need for sphere transfer and lysis-based assays. Compared with conventional methods, the integrated strategy significantly shortens the experimental workflow to 6-8 days while improving operational simplicity and functional readout capability. This work establishes a materials-driven strategy for coupling cell state programming with electrochemical signal transduction, enabling integrated interrogation of CSC biology and therapeutic response.</w:t>
      </w:r>
    </w:p>
    <w:p>
      <w:pPr>
        <w:spacing w:before="120" w:after="120"/>
      </w:pPr>
      <w:r>
        <w:rPr>
          <w:sz w:val="18"/>
        </w:rPr>
        <w:t>——————————————————————————————————————————————————————————————————————</w:t>
      </w:r>
    </w:p>
    <w:p>
      <w:pPr>
        <w:spacing w:before="160" w:after="40" w:line="240" w:lineRule="auto"/>
      </w:pPr>
      <w:r>
        <w:rPr>
          <w:b/>
        </w:rPr>
        <w:t xml:space="preserve">[562] </w:t>
      </w:r>
      <w:hyperlink r:id="rId1382">
        <w:r>
          <w:rPr>
            <w:color w:val="1155CC"/>
            <w:u w:val="single"/>
          </w:rPr>
          <w:t>用于健康监测的可穿戴传感器的进展和挑战</w:t>
        </w:r>
      </w:hyperlink>
    </w:p>
    <w:p>
      <w:pPr>
        <w:spacing w:before="0" w:after="80"/>
      </w:pPr>
      <w:r>
        <w:rPr>
          <w:i/>
          <w:sz w:val="20"/>
        </w:rPr>
        <w:t>EN: Advances and Challenges in Wearable Sensors for Health Monitoring</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83">
        <w:r>
          <w:rPr>
            <w:color w:val="1155CC"/>
            <w:u w:val="single"/>
          </w:rPr>
          <w:t>10.1021/acsami.6c04520</w:t>
        </w:r>
      </w:hyperlink>
    </w:p>
    <w:p>
      <w:pPr>
        <w:spacing w:before="0" w:after="120"/>
      </w:pPr>
      <w:r>
        <w:rPr>
          <w:b/>
        </w:rPr>
        <w:t xml:space="preserve">Notes: </w:t>
      </w:r>
      <w:r>
        <w:t>abstract_source=pubmed</w:t>
      </w:r>
    </w:p>
    <w:p>
      <w:pPr>
        <w:spacing w:before="0" w:after="80" w:lineRule="auto" w:line="276"/>
      </w:pPr>
      <w:r>
        <w:rPr>
          <w:b/>
        </w:rPr>
        <w:t xml:space="preserve">摘要（ZH）: </w:t>
      </w:r>
      <w:r>
        <w:t>分析工具可以通过实现可访问、快速和分散的测试来彻底改变医疗保健。特别是可穿戴（生物）传感器，通过非侵入性或微创测量提供频繁或连续的患者监测。这种方法产生了前所未有的大量健康相关信息，从而导致更明智的临床决策和更密切的患者随访。在这篇大型评论文章中，我们汇集了该领域的领先研究人员，讨论用于健康监测的可穿戴设备的最新技术。我们首先通过引文网络分析提供该领域的广泛概述。然后，我们回顾了化学（生物）传感器在生物体液（例如汗液、唾液、眼泪、间质液和脑脊液）中的应用，强调了与每种传感器相关的挑战和优势。随后，我们讨论可穿戴设备的构造及其主要形式（例如智能隐形眼镜、纺织品、护齿套、手表/腕带和可植入系统）。物理传感器在专门的部分中讨论，重点是心率、血压和体温的评估。软电子在可穿戴设备中的作用也得到了研究，因为这些技术对于提高用户舒适度和传感器可靠性至关重要，而这需要材料科学的进步。此外，我们还提出了信号采集和传输的策略，以及体内能量收集和设备自供电的方法。然后讨论人工智能和机器学习的使用作为一种手段</w:t>
      </w:r>
    </w:p>
    <w:p>
      <w:pPr>
        <w:spacing w:before="0" w:after="200" w:lineRule="auto" w:line="276"/>
      </w:pPr>
      <w:r>
        <w:rPr>
          <w:b/>
        </w:rPr>
        <w:t xml:space="preserve">Abstract (EN): </w:t>
      </w:r>
      <w:r>
        <w:t>Analytical tools may revolutionize healthcare by enabling accessible, rapid, and decentralized testing. Wearable (bio)sensors, in particular, provide frequent or continuous patient monitoring through non- to minimally invasive measurements. This approach yields unprecedented amounts of health-related information, leading to more informed clinical decision-making and closer patient follow-up. In this mega-review article, we bring together leading researchers in the field to discuss the state of the art in wearable devices for health monitoring. We begin by providing a broad overview of the field through citation network analysis. We then review the application of chemical (bio)sensors in biofluids (e.g., sweat, saliva, tears, interstitial fluid, and cerebrospinal fluid), highlighting the challenges and advantages associated with each. Subsequently, we discuss the construction of wearable devices and their main formats (e.g., smart contact lenses, textiles, mouthguards, watches/wristbands, and implantable systems). Physical sensors are addressed in a dedicated section focusing on the assessment of heart rate, blood pressure, and body temperature. The role of soft electronics in wearable devices is also examined, as these technologies are essential for enhancing user comfort and sensor reliability, which demands advances in materials science. Furthermore, we present strategies for signal acquisition and transmission, as well as approaches for on-body energy harvesting and device self-powering. The use of artificial intelligence and machine learning is then discussed as a means of enhancing analytical performance and managing the large volumes of data generated by wearable devices. Finally, business, regulatory, and ethical considerations are examined. We expect that this review will provide an overview of sensing and biosensing technologies for health-related applications, identify promising research directions, and inspire future developments.</w:t>
      </w:r>
    </w:p>
    <w:p>
      <w:pPr>
        <w:spacing w:before="120" w:after="120"/>
      </w:pPr>
      <w:r>
        <w:rPr>
          <w:sz w:val="18"/>
        </w:rPr>
        <w:t>——————————————————————————————————————————————————————————————————————</w:t>
      </w:r>
    </w:p>
    <w:p>
      <w:pPr>
        <w:spacing w:before="160" w:after="40" w:line="240" w:lineRule="auto"/>
      </w:pPr>
      <w:r>
        <w:rPr>
          <w:b/>
        </w:rPr>
        <w:t xml:space="preserve">[563] </w:t>
      </w:r>
      <w:hyperlink r:id="rId1384">
        <w:r>
          <w:rPr>
            <w:color w:val="1155CC"/>
            <w:u w:val="single"/>
          </w:rPr>
          <w:t>外延 BiFeO 3 /KTaO 3 系统中反相边界和带电畴壁之间的原子尺度相互作用</w:t>
        </w:r>
      </w:hyperlink>
    </w:p>
    <w:p>
      <w:pPr>
        <w:spacing w:before="0" w:after="80"/>
      </w:pPr>
      <w:r>
        <w:rPr>
          <w:i/>
          <w:sz w:val="20"/>
        </w:rPr>
        <w:t>EN: Atomic-Scale Interplay between Antiphase Boundaries and Charged Domain Walls in Epitaxial BiFeO 3 /KTaO 3 Systems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85">
        <w:r>
          <w:rPr>
            <w:color w:val="1155CC"/>
            <w:u w:val="single"/>
          </w:rPr>
          <w:t>10.1021/acsami.6c07737</w:t>
        </w:r>
      </w:hyperlink>
    </w:p>
    <w:p>
      <w:pPr>
        <w:spacing w:before="0" w:after="120"/>
      </w:pPr>
      <w:r>
        <w:rPr>
          <w:b/>
        </w:rPr>
        <w:t xml:space="preserve">Notes: </w:t>
      </w:r>
      <w:r>
        <w:t>abstract_source=pubmed</w:t>
      </w:r>
    </w:p>
    <w:p>
      <w:pPr>
        <w:spacing w:before="0" w:after="80" w:lineRule="auto" w:line="276"/>
      </w:pPr>
      <w:r>
        <w:rPr>
          <w:b/>
        </w:rPr>
        <w:t xml:space="preserve">摘要（ZH）: </w:t>
      </w:r>
      <w:r>
        <w:t>氧化物界面以不同晶格、轨道、电荷和自旋的相互作用为特征，表现出丰富的新兴现象，例如超导性、二维电子气和磁电耦合，这些现象为下一代集成功能器件带来了巨大的前景。在这里，我们证明了通过脉冲激光沉积制备的 BiFeO3/KTaO3 界面附近反相边界（APB）的形成，这进一步改变了局部偏振特征并促进 BiFeO3 中带电畴壁的形成。利用高角度环形暗场扫描透射电子显微镜与原子分辨率能量色散X射线光谱相结合，阐明了这些APB的原子结构和化学成分，具有平面和阶梯结构。 KTaO3衬底的高温预处理有利于在表面形成受控的K+离子耗尽，从而进一步驱动Bi3+扩散到衬底中，有助于APB的成核和稳定。此外，这些带电 APB 产生的内置电场极大地改变了局部极化，导致 APB 上方形成带电畴壁。我们的研究结果不仅揭示了在特定条件下创建 APB 配置的机制，而且还提供了有关如何利用界面化学来操纵微观结构的见解。</w:t>
      </w:r>
    </w:p>
    <w:p>
      <w:pPr>
        <w:spacing w:before="0" w:after="200" w:lineRule="auto" w:line="276"/>
      </w:pPr>
      <w:r>
        <w:rPr>
          <w:b/>
        </w:rPr>
        <w:t xml:space="preserve">Abstract (EN): </w:t>
      </w:r>
      <w:r>
        <w:t>Oxide interfaces, characterized by the interplay of dissimilar lattices, orbitals, charges, and spins, exhibit a wealth of emergent phenomena, such as superconductivity, two-dimensional electron gases, and magnetoelectric coupling, which hold great promise for next-generation integrated functional devices. Here, we demonstrate the formation of antiphase boundaries (APBs) near a BiFeO3/KTaO3 interface prepared by pulsed laser deposition, which further alters the local polarization features and promotes the formation of charged domain walls in BiFeO3. Using high-angle annular dark-field scanning transmission electron microscopy combined with atomic-resolution energy-dispersive X-ray spectroscopy, the atomic structures and chemical compositions of these APBs were elucidated, featuring both planar and stepped configurations. High-temperature pretreatment of KTaO3 substrate facilitates a formation of controlled depletion of K+ ions at the surface, which further drives the diffusion of Bi3+ into the substrate and helps the nucleation and stabilization of APBs. Furthermore, the built-in electric field generated by these charged APBs profoundly alters the local polarization, inducing the formation of charged domain walls above the APBs. Our findings not only reveal a mechanism for creating APB configurations under defined conditions but also offer insights into how interfacial chemistry can be leveraged to manipulate microstructures.</w:t>
      </w:r>
    </w:p>
    <w:p>
      <w:pPr>
        <w:spacing w:before="120" w:after="120"/>
      </w:pPr>
      <w:r>
        <w:rPr>
          <w:sz w:val="18"/>
        </w:rPr>
        <w:t>——————————————————————————————————————————————————————————————————————</w:t>
      </w:r>
    </w:p>
    <w:p>
      <w:pPr>
        <w:spacing w:before="160" w:after="40" w:line="240" w:lineRule="auto"/>
      </w:pPr>
      <w:r>
        <w:rPr>
          <w:b/>
        </w:rPr>
        <w:t xml:space="preserve">[564] </w:t>
      </w:r>
      <w:hyperlink r:id="rId1386">
        <w:r>
          <w:rPr>
            <w:color w:val="1155CC"/>
            <w:u w:val="single"/>
          </w:rPr>
          <w:t>调整铝前驱体以区域选择性渗透到聚合物中以实现高精度图案转移</w:t>
        </w:r>
      </w:hyperlink>
    </w:p>
    <w:p>
      <w:pPr>
        <w:spacing w:before="0" w:after="80"/>
      </w:pPr>
      <w:r>
        <w:rPr>
          <w:i/>
          <w:sz w:val="20"/>
        </w:rPr>
        <w:t>EN: Tuning Aluminum Precursors for Area-Selective Infiltration into Polymers for High-Precision Pattern Transfer</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87">
        <w:r>
          <w:rPr>
            <w:color w:val="1155CC"/>
            <w:u w:val="single"/>
          </w:rPr>
          <w:t>10.1021/acsami.6c05488</w:t>
        </w:r>
      </w:hyperlink>
    </w:p>
    <w:p>
      <w:pPr>
        <w:spacing w:before="0" w:after="120"/>
      </w:pPr>
      <w:r>
        <w:rPr>
          <w:b/>
        </w:rPr>
        <w:t xml:space="preserve">Notes: </w:t>
      </w:r>
      <w:r>
        <w:t>abstract_source=pubmed</w:t>
      </w:r>
    </w:p>
    <w:p>
      <w:pPr>
        <w:spacing w:before="0" w:after="80" w:lineRule="auto" w:line="276"/>
      </w:pPr>
      <w:r>
        <w:rPr>
          <w:b/>
        </w:rPr>
        <w:t xml:space="preserve">摘要（ZH）: </w:t>
      </w:r>
      <w:r>
        <w:t>近几十年来，半导体行业在实现纳米级器件尺寸方面取得了显着进展，但由于抗蚀剂性能和图案精度的限制，持续缩小尺寸仍然具有挑战性。尽管极紫外 (EUV) 光刻技术能够制造 10 nm 以下的特征，但随机变化和覆盖不准确越来越阻碍这些尺寸上可靠的图案转移。这些问题主要源于当前抗蚀剂材料的有限蚀刻选择性和化学稳定性。将无机材料集成到有机抗蚀剂中可以增强其在图案转移过程中的蚀刻选择性。在这项工作中，我们探索了一种在单层聚合物刷上进行高精度图案化的途径，使用区域选择性沉积（ASD）与气相渗透（VPI）相结合，在表面改性层内创建薄金属氧化物图案，该表面改性层包括多肽（PPd）和聚苯乙烯（PS）单层刷的图案化交替区域。对于区域选择性气相渗透 (AS-VPI)，PPd 充当生长促进剂，而 PS 充当沉积抑制剂。与传统 ALD 工艺相比，AS-VPI 在 PPd 上形成的 AlOx 大约增加了四倍。使用四种铝 (Al) 前体：三甲基铝 (TMA)、三乙基铝 (TEA)、三异丁基铝 (TIBA) 和二甲基异丙醇铝 (DMAI)，系统地研究了前体分子大小和配体类型对选择性渗透的影响。 X射线光电子能谱揭示前体结构和配体化学家</w:t>
      </w:r>
    </w:p>
    <w:p>
      <w:pPr>
        <w:spacing w:before="0" w:after="200" w:lineRule="auto" w:line="276"/>
      </w:pPr>
      <w:r>
        <w:rPr>
          <w:b/>
        </w:rPr>
        <w:t xml:space="preserve">Abstract (EN): </w:t>
      </w:r>
      <w:r>
        <w:t>Over recent decades, the semiconductor industry has made remarkable progress in achieving nanoscale device dimensions, yet continuous downscaling remains challenging due to limitations in resist performance and patterning precision. Although extreme ultraviolet (EUV) lithography enables the fabrication of sub-10 nm features, stochastic variations and overlay inaccuracies increasingly hinder reliable pattern transfer at these dimensions. These issues primarily stem from the limited etch selectivity and chemical stability of current resist materials. Integrating inorganic materials into organic resists can enhance their etch selectivity during pattern transfer. In this work, we explore a pathway for high-precision patterning on monolayer polymer brushes using area-selective deposition (ASD) coupled with vapor phase infiltration (VPI) to create thin metal oxide patterns within surface modification layers comprising patterned alternating regions of polypeptoid (PPd) and polystyrene (PS) monolayer brushes. For area-selective vapor phase infiltration (AS-VPI), PPd acts as a growth promoter while PS serves as a deposition inhibitor. AS-VPI achieves approximately fourfold greater AlOx formation on PPd compared to a conventional ALD process. Precursor molecular size and ligand type effects on selective infiltration are systematically investigated using four aluminum (Al) precursors: trimethylaluminum (TMA), triethylaluminum (TEA), triisobutylaluminum (TIBA), and dimethylaluminum isopropoxide (DMAI). X-ray photoelectron spectroscopy reveals that precursor structure and ligand chemistry play critical roles in determining infiltration selectivity via their influence on precursor-polymer interactions. TMA exhibits higher differentiation of AlOx growth between PPd and PS, leading to dense and uniform oxide films on PPd, while TEA shows partial miscibility within PS, resulting in less continuous oxide formation. The bulkier TIBA and DMAI precursors show limited infiltration due to steric hindrance and dimerization, producing negligible AlOx growth. These findings highlight precursor-polymer interactions during AS-VPI. The resulting AlOx films deposited from TMA and TEA enable successful pattern transfer, demonstrating a viable bottom-up strategy for improving pattern transfer performance.</w:t>
      </w:r>
    </w:p>
    <w:p>
      <w:pPr>
        <w:spacing w:before="120" w:after="120"/>
      </w:pPr>
      <w:r>
        <w:rPr>
          <w:sz w:val="18"/>
        </w:rPr>
        <w:t>——————————————————————————————————————————————————————————————————————</w:t>
      </w:r>
    </w:p>
    <w:p>
      <w:pPr>
        <w:spacing w:before="160" w:after="40" w:line="240" w:lineRule="auto"/>
      </w:pPr>
      <w:r>
        <w:rPr>
          <w:b/>
        </w:rPr>
        <w:t xml:space="preserve">[565] </w:t>
      </w:r>
      <w:hyperlink r:id="rId1388">
        <w:r>
          <w:rPr>
            <w:color w:val="1155CC"/>
            <w:u w:val="single"/>
          </w:rPr>
          <w:t>通过大分子纳米聚集掩盖疏水性可改善毒性，同时保留优异的抗菌功效</w:t>
        </w:r>
      </w:hyperlink>
    </w:p>
    <w:p>
      <w:pPr>
        <w:spacing w:before="0" w:after="80"/>
      </w:pPr>
      <w:r>
        <w:rPr>
          <w:i/>
          <w:sz w:val="20"/>
        </w:rPr>
        <w:t>EN: Masking of Hydrophobicity through Macromolecular Nanoaggregation Ameliorates Toxicity while Retaining Excellent Antibacterial Efficacy</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89">
        <w:r>
          <w:rPr>
            <w:color w:val="1155CC"/>
            <w:u w:val="single"/>
          </w:rPr>
          <w:t>10.1021/acsami.6c09342</w:t>
        </w:r>
      </w:hyperlink>
    </w:p>
    <w:p>
      <w:pPr>
        <w:spacing w:before="0" w:after="120"/>
      </w:pPr>
      <w:r>
        <w:rPr>
          <w:b/>
        </w:rPr>
        <w:t xml:space="preserve">Notes: </w:t>
      </w:r>
      <w:r>
        <w:t>abstract_source=pubmed</w:t>
      </w:r>
    </w:p>
    <w:p>
      <w:pPr>
        <w:spacing w:before="0" w:after="80" w:lineRule="auto" w:line="276"/>
      </w:pPr>
      <w:r>
        <w:rPr>
          <w:b/>
        </w:rPr>
        <w:t xml:space="preserve">摘要（ZH）: </w:t>
      </w:r>
      <w:r>
        <w:t>活性与毒性的权衡仍然是开发膜活性抗菌肽模拟大分子的主要挑战。增加疏水性可增强杀菌效力，但通常会导致宿主细胞毒性升高和选择性丧失，因为疏水部分不加区别地与细菌和哺乳动物脂膜相互作用。在这里，我们引入了一种极性诱导的稳定聚集策略，可以有效地将疏水性与毒性解耦，为选择性大分子抗菌药物建立了新的设计原理。我们设计了基于马来酰亚胺的阳离子大分子，带有不同长度（癸基到二十二烷基）的疏水烷基链。增加烷基链长度可促进纳米聚集，最长链（二十二烷基）大分子经历结构转变，其中非选择性疏水链段被掩蔽在稳定的聚集核心内，而阳离子官能团保持表面暴露，促进与带负电的细菌膜的强静电相互作用。这种拓扑隔离减少了与两性离子哺乳动物膜的非特异性相互作用，从而显着降低了毒性。优化的稳定纳米聚集体（QNpt-22）表现出有效的抗菌活性，包括根除静止期细菌和预形成的生物膜，这是传统抗生素面临的挑战。该纳米聚集体在小鼠体内的多种给药途径中表现出优异的生物相容性，并在以下方面显示出显着的治疗效果：</w:t>
      </w:r>
    </w:p>
    <w:p>
      <w:pPr>
        <w:spacing w:before="0" w:after="200" w:lineRule="auto" w:line="276"/>
      </w:pPr>
      <w:r>
        <w:rPr>
          <w:b/>
        </w:rPr>
        <w:t xml:space="preserve">Abstract (EN): </w:t>
      </w:r>
      <w:r>
        <w:t>The activity-toxicity trade-off remains a central challenge for developing membrane-active antimicrobial peptide-mimicking macromolecules. Increasing hydrophobicity enhances bactericidal potency but often leads to elevated host-cell toxicity and loss of selectivity, as hydrophobic moieties indiscriminately interact with both bacterial and mammalian lipid membranes. Here, we introduce a polarity-induced stable aggregation strategy that effectively decouples hydrophobicity from toxicity, establishing a new design principle for selective macromolecular antibacterials. We engineered maleimide-based cationic macromolecules bearing hydrophobic alkyl chains of varying lengths (decyl to docosyl). Increasing the alkyl chain length promotes nanoaggregation, with the longest chain bearing (docosyl) macromolecule undergoing a structural transition in which the nonselective hydrophobic segments are masked within a stable aggregate core while cationic functionalities remain surface-exposed, facilitating strong electrostatic interactions with negatively charged bacterial membranes. This topological segregation diminishes the nonspecific interactions with zwitterionic mammalian membranes, leading to significantly lower toxicity. The optimized stable nanoaggregate (QNpt-22) exhibits potent antibacterial activity, including eradication of stationary-phase bacteria and preformed biofilms, which are the challenges for conventional antibiotics. The nanoaggregate exhibits excellent biocompatibility across multiple routes of administration in mice and displays significant therapeutic efficacy in an Acinetobacter baumannii superficial skin infection model. Our findings recommend that the spatial segregation of hydrophobic domains via nanoaggregation is a robust strategy to achieve selectivity, offering a new paradigm in membrane-targeting antibacterial design.</w:t>
      </w:r>
    </w:p>
    <w:p>
      <w:pPr>
        <w:spacing w:before="120" w:after="120"/>
      </w:pPr>
      <w:r>
        <w:rPr>
          <w:sz w:val="18"/>
        </w:rPr>
        <w:t>——————————————————————————————————————————————————————————————————————</w:t>
      </w:r>
    </w:p>
    <w:p>
      <w:pPr>
        <w:spacing w:before="160" w:after="40" w:line="240" w:lineRule="auto"/>
      </w:pPr>
      <w:r>
        <w:rPr>
          <w:b/>
        </w:rPr>
        <w:t xml:space="preserve">[566] </w:t>
      </w:r>
      <w:hyperlink r:id="rId1390">
        <w:r>
          <w:rPr>
            <w:color w:val="1155CC"/>
            <w:u w:val="single"/>
          </w:rPr>
          <w:t>仿生选择性渗透膜定制多维调控微环境以增强酶级联催化</w:t>
        </w:r>
      </w:hyperlink>
    </w:p>
    <w:p>
      <w:pPr>
        <w:spacing w:before="0" w:after="80"/>
      </w:pPr>
      <w:r>
        <w:rPr>
          <w:i/>
          <w:sz w:val="20"/>
        </w:rPr>
        <w:t>EN: Biomimetic Permselective Membranes Tailoring Multidimensionally Regulated Microenvironments for Enhanced Enzyme Cascade Catalysis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91">
        <w:r>
          <w:rPr>
            <w:color w:val="1155CC"/>
            <w:u w:val="single"/>
          </w:rPr>
          <w:t>10.1021/acsami.6c13258</w:t>
        </w:r>
      </w:hyperlink>
    </w:p>
    <w:p>
      <w:pPr>
        <w:spacing w:before="0" w:after="120"/>
      </w:pPr>
      <w:r>
        <w:rPr>
          <w:b/>
        </w:rPr>
        <w:t xml:space="preserve">Notes: </w:t>
      </w:r>
      <w:r>
        <w:t>abstract_source=pubmed</w:t>
      </w:r>
    </w:p>
    <w:p>
      <w:pPr>
        <w:spacing w:before="0" w:after="80" w:lineRule="auto" w:line="276"/>
      </w:pPr>
      <w:r>
        <w:rPr>
          <w:b/>
        </w:rPr>
        <w:t xml:space="preserve">摘要（ZH）: </w:t>
      </w:r>
      <w:r>
        <w:t>在多酶级联系统中，整体效率通常受到本体溶液中底物和中间体不受控制的扩散和稀释的限制。受水合细胞区室和选择性渗透膜协同作用的启发，我们报告了一种基于具有多维选择性渗透膜的中空微球的仿生酶固定策略，以调节传质并维持有效的反应微环境。该膜由带电聚电解质组成，充当动态软界面，通过表观尺寸选择性保留和静电相互作用实现协同运输调节。此外，三酶级联反应表明，调节表面电荷可驱动分隔微球的自组装。邻近增强组装减少了中间扩散距离，从而增强了级联活性。这项工作建立了基于聚电解质软界面的膜模拟设计策略，为构建仿生催化系统提供了模块化平台，并为多室人造细胞的合理工程提供了见解。</w:t>
      </w:r>
    </w:p>
    <w:p>
      <w:pPr>
        <w:spacing w:before="0" w:after="200" w:lineRule="auto" w:line="276"/>
      </w:pPr>
      <w:r>
        <w:rPr>
          <w:b/>
        </w:rPr>
        <w:t xml:space="preserve">Abstract (EN): </w:t>
      </w:r>
      <w:r>
        <w:t>In multienzyme cascade systems, overall efficiency is often limited by the uncontrolled diffusion and dilution of substrates and intermediates in bulk solution. Inspired by the cooperative roles of hydrated cellular compartments and selectively permeable membranes, we report a biomimetic enzyme immobilization strategy based on a hollow microsphere with a multidimensionally permselective membrane to regulate mass transfer and sustain an efficient reaction microenvironment. The membrane, composed of charged polyelectrolytes, serves as a dynamic soft interface, enabling cooperative transport regulation through apparent size-selective retention and electrostatic interactions. Furthermore, a three-enzyme cascade reaction demonstrates that tuning the surface charge drives self-assembly of compartmentalized microspheres. The proximity-enhanced assembly reduces intermediate diffusion distances, thereby enhancing cascade activity. This work establishes a membrane-mimetic design strategy based on polyelectrolyte soft interfaces, providing a modular platform for constructing biomimetic catalytic systems and offering insights for rational engineering of multicompartmental artificial cells.</w:t>
      </w:r>
    </w:p>
    <w:p>
      <w:pPr>
        <w:spacing w:before="120" w:after="120"/>
      </w:pPr>
      <w:r>
        <w:rPr>
          <w:sz w:val="18"/>
        </w:rPr>
        <w:t>——————————————————————————————————————————————————————————————————————</w:t>
      </w:r>
    </w:p>
    <w:p>
      <w:pPr>
        <w:spacing w:before="160" w:after="40" w:line="240" w:lineRule="auto"/>
      </w:pPr>
      <w:r>
        <w:rPr>
          <w:b/>
        </w:rPr>
        <w:t xml:space="preserve">[567] </w:t>
      </w:r>
      <w:hyperlink r:id="rId1392">
        <w:r>
          <w:rPr>
            <w:color w:val="1155CC"/>
            <w:u w:val="single"/>
          </w:rPr>
          <w:t>基于并行通道 WSe 2 可重构晶体管的紧凑型单晶体管三态内容寻址存储器</w:t>
        </w:r>
      </w:hyperlink>
    </w:p>
    <w:p>
      <w:pPr>
        <w:spacing w:before="0" w:after="80"/>
      </w:pPr>
      <w:r>
        <w:rPr>
          <w:i/>
          <w:sz w:val="20"/>
        </w:rPr>
        <w:t>EN: Compact Single-Transistor Ternary Content-Addressable Memory Based on Parallel-Channel WSe 2 Reconfigurable Transistors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93">
        <w:r>
          <w:rPr>
            <w:color w:val="1155CC"/>
            <w:u w:val="single"/>
          </w:rPr>
          <w:t>10.1021/acsami.6c08458</w:t>
        </w:r>
      </w:hyperlink>
    </w:p>
    <w:p>
      <w:pPr>
        <w:spacing w:before="0" w:after="120"/>
      </w:pPr>
      <w:r>
        <w:rPr>
          <w:b/>
        </w:rPr>
        <w:t xml:space="preserve">Notes: </w:t>
      </w:r>
      <w:r>
        <w:t>abstract_source=pubmed</w:t>
      </w:r>
    </w:p>
    <w:p>
      <w:pPr>
        <w:spacing w:before="0" w:after="80" w:lineRule="auto" w:line="276"/>
      </w:pPr>
      <w:r>
        <w:rPr>
          <w:b/>
        </w:rPr>
        <w:t xml:space="preserve">摘要（ZH）: </w:t>
      </w:r>
      <w:r>
        <w:t>随着人工智能和网络处理等以数据为中心的应用程序快速增长，传统计算系统由于内存和逻辑的分离而遭受性能瓶颈。三态内容寻址存储器 (TCAM) 通过启用具有三种逻辑状态（“0”、“1”和“不关心”（“X”））的并行搜索操作来提供一种有前途的以存储器为中心的方法，以增强功能。然而，基于传统静态随机存取存储器 (SRAM) 的 TCAM 每个单元至少需要 16 个晶体管，这限制了密度并产生大量功率开销。在这里，我们提出了一种紧凑的单晶体管 TCAM 单元，该单元基于使用大面积单层 WSe2 制造的并行通道可重构场效应晶体管（PC RFET）。平行通道配置能够在大面积 WSe2 中实现稳定的双极传输，其中亚化学计量金属氧化物的选择性电荷转移掺杂将均质 p 型 WSe2 通道转换为平行的 n 型和 p 型通道。三层 Al2O3/HfO2/Al2O3 栅极堆叠可通过栅极脉冲编程实现 p 型、n 型和双极导通状态的非易失性调制。 PC RFET 表现出对称传导（Ion.n/Ion.p ≈ 1.02）、高开/关比（∼105）以及可靠的匹配/失配行为。这种基于 RFET 的单晶体管 (1T) TCAM 单元通过 SPICE 仿真得到进一步验证。 1 × 8 阵列仿真证实了延迟为 ∼5 ns 的可扩展性和电路级可行性。这项工作为未来以数据为中心的c通过紧凑的TCAM实现高密度和快速操作提供了一条有希望的途径</w:t>
      </w:r>
    </w:p>
    <w:p>
      <w:pPr>
        <w:spacing w:before="0" w:after="200" w:lineRule="auto" w:line="276"/>
      </w:pPr>
      <w:r>
        <w:rPr>
          <w:b/>
        </w:rPr>
        <w:t xml:space="preserve">Abstract (EN): </w:t>
      </w:r>
      <w:r>
        <w:t>As data-centric applications such as AI and network processing grow rapidly, conventional computing systems suffer from performance bottlenecks due to the separation of memory and logic. Ternary content-addressable memory (TCAM) offers a promising memory-centric approach by enabling parallel search operations with three logic states-'0', '1', and 'don't care' ('X')-for enhanced functionality. However, conventional static random access memory (SRAM)-based TCAMs require at least 16 transistors per cell, limiting density and incurring significant power overhead. Here, we present a compact single-transistor TCAM cell based on parallel-channel reconfigurable field-effect transistors (PC RFETs) fabricated using large-area monolayer WSe2. The parallel-channel configuration enables stable ambipolar transport in large-area WSe2, where selective charge-transfer doping with sub-stoichiometric metal oxides converts the homogeneous p-type WSe2 channel into parallel n-type and p-type channels. A tri-layer Al2O3/HfO2/Al2O3 gate stack enables nonvolatile modulation of p-type, n-type, and ambipolar conduction states via gate pulse programming. The PC RFETs demonstrates symmetric conduction (Ion.n/Ion.p ≈ 1.02), high on/off ratios (∼105), and reliable match/mismatch behavior. This RFETs-based a single transistor (1T) TCAM cell is further validated through SPICE simulations. An 1 × 8 array simulation confirms scalability and circuit-level feasibility with a latency of ∼5 ns. This work offers a promising pathway toward high-density and fast operation with compact TCAM for future data-centric computing.</w:t>
      </w:r>
    </w:p>
    <w:p>
      <w:pPr>
        <w:spacing w:before="120" w:after="120"/>
      </w:pPr>
      <w:r>
        <w:rPr>
          <w:sz w:val="18"/>
        </w:rPr>
        <w:t>——————————————————————————————————————————————————————————————————————</w:t>
      </w:r>
    </w:p>
    <w:p>
      <w:pPr>
        <w:spacing w:before="160" w:after="40" w:line="240" w:lineRule="auto"/>
      </w:pPr>
      <w:r>
        <w:rPr>
          <w:b/>
        </w:rPr>
        <w:t xml:space="preserve">[568] </w:t>
      </w:r>
      <w:hyperlink r:id="rId1394">
        <w:r>
          <w:rPr>
            <w:color w:val="1155CC"/>
            <w:u w:val="single"/>
          </w:rPr>
          <w:t>通过胆固醇的可裂解交联稳定阴离子 mRNA 脂质纳米颗粒</w:t>
        </w:r>
      </w:hyperlink>
    </w:p>
    <w:p>
      <w:pPr>
        <w:spacing w:before="0" w:after="80"/>
      </w:pPr>
      <w:r>
        <w:rPr>
          <w:i/>
          <w:sz w:val="20"/>
        </w:rPr>
        <w:t>EN: Stabilizing Anionic mRNA Lipid Nanoparticles by Cleavable Crosslinking of Cholesterol</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95">
        <w:r>
          <w:rPr>
            <w:color w:val="1155CC"/>
            <w:u w:val="single"/>
          </w:rPr>
          <w:t>10.1021/acsami.6c06888</w:t>
        </w:r>
      </w:hyperlink>
    </w:p>
    <w:p>
      <w:pPr>
        <w:spacing w:before="0" w:after="120"/>
      </w:pPr>
      <w:r>
        <w:rPr>
          <w:b/>
        </w:rPr>
        <w:t xml:space="preserve">Notes: </w:t>
      </w:r>
      <w:r>
        <w:t>abstract_source=pubmed</w:t>
      </w:r>
    </w:p>
    <w:p>
      <w:pPr>
        <w:spacing w:before="0" w:after="80" w:lineRule="auto" w:line="276"/>
      </w:pPr>
      <w:r>
        <w:rPr>
          <w:b/>
        </w:rPr>
        <w:t xml:space="preserve">摘要（ZH）: </w:t>
      </w:r>
      <w:r>
        <w:t>脂质纳米粒子 (LNP) 是 mRNA 递送的领先平台，其体内性能由脂质成分和胶体稳定性决定。虽然阴离子辅助脂质可以使 LNP 表达偏向于脾脏，但纯化过程中弱的 RNA-脂质相互作用通常会导致纳米颗粒重排并降低活性。这些稳定性限制有效地缩小了可利用的配方设计和筛选空间，使得大面积的阴离子组成空间未被充分探索。在这里，我们扩展了可裂解交联策略来稳定阴离子 LNP，而无需更换母体 LNP 配方的主要脂质成分。通过调整胆固醇衍生的酸可裂解交联剂和 PEG-二胺的长度，我们实现了平衡的结构稳定性。与未交联的 LNP 相比，优化的交联制剂在 12 小时时脾脏 mRNA 表达显着增加。值得注意的是，脾脏中 33.2% 的 CD45+ tdTomato+ 细胞被鉴定为 T 细胞。机制分析表明，控制 mRNA 释放和改变细胞内加工有助于提高转染效率。总之，这些发现定义了一个可调节的交联窗口，扩展了组织和细胞特异性 mRNA 递送的可访问设计范围。</w:t>
      </w:r>
    </w:p>
    <w:p>
      <w:pPr>
        <w:spacing w:before="0" w:after="200" w:lineRule="auto" w:line="276"/>
      </w:pPr>
      <w:r>
        <w:rPr>
          <w:b/>
        </w:rPr>
        <w:t xml:space="preserve">Abstract (EN): </w:t>
      </w:r>
      <w:r>
        <w:t>Lipid nanoparticles (LNPs) are the leading platform for mRNA delivery, with their in vivo performance governed by lipid composition and colloidal stability. While anionic helper lipids can bias LNP expression toward the spleen, weak RNA-lipid interactions during purification often induce nanoparticle rearrangement and reduced activity. These stability limitations effectively narrow the accessible formulation design and screening space, leaving large regions of anionic compositional space underexplored. Here, we extend our cleavable crosslinking strategy to stabilize anionic LNPs without replacing the primary lipid constituents of the parent LNP formulation. By tuning the lengths of the cholesterol-derived acid-cleavable crosslinker and PEG-diamine, we achieved balanced structural stability. The optimized crosslinked formulation exhibited a significant increase in splenic mRNA expression at 12 h compared to the uncrosslinked LNPs. Notably, 33.2% of CD45+ tdTomato+ cells in the spleen were identified as T cells. Mechanistic analyses suggest that controlled mRNA release and altered intracellular processing contribute to the improved transfection efficiency. Together, these findings define a tunable crosslinking window that expands the accessible design landscape for tissue- and cell-specific mRNA delivery.</w:t>
      </w:r>
    </w:p>
    <w:p>
      <w:pPr>
        <w:spacing w:before="120" w:after="120"/>
      </w:pPr>
      <w:r>
        <w:rPr>
          <w:sz w:val="18"/>
        </w:rPr>
        <w:t>——————————————————————————————————————————————————————————————————————</w:t>
      </w:r>
    </w:p>
    <w:p>
      <w:pPr>
        <w:spacing w:before="160" w:after="40" w:line="240" w:lineRule="auto"/>
      </w:pPr>
      <w:r>
        <w:rPr>
          <w:b/>
        </w:rPr>
        <w:t xml:space="preserve">[569] </w:t>
      </w:r>
      <w:hyperlink r:id="rId1396">
        <w:r>
          <w:rPr>
            <w:color w:val="1155CC"/>
            <w:u w:val="single"/>
          </w:rPr>
          <w:t>纳米颗粒诱导的界面导向应变可实现微流控液晶界面的超灵敏分子检测</w:t>
        </w:r>
      </w:hyperlink>
    </w:p>
    <w:p>
      <w:pPr>
        <w:spacing w:before="0" w:after="80"/>
      </w:pPr>
      <w:r>
        <w:rPr>
          <w:i/>
          <w:sz w:val="20"/>
        </w:rPr>
        <w:t>EN: Nanoparticle-Induced Interfacial Director Straining Enables Ultrasensitive Molecular Detection at Microfluidic Liquid Crystal Interfaces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97">
        <w:r>
          <w:rPr>
            <w:color w:val="1155CC"/>
            <w:u w:val="single"/>
          </w:rPr>
          <w:t>10.1021/acsami.6c02354</w:t>
        </w:r>
      </w:hyperlink>
    </w:p>
    <w:p>
      <w:pPr>
        <w:spacing w:before="0" w:after="120"/>
      </w:pPr>
      <w:r>
        <w:rPr>
          <w:b/>
        </w:rPr>
        <w:t xml:space="preserve">Notes: </w:t>
      </w:r>
      <w:r>
        <w:t>abstract_source=pubmed</w:t>
      </w:r>
    </w:p>
    <w:p>
      <w:pPr>
        <w:spacing w:before="0" w:after="80" w:lineRule="auto" w:line="276"/>
      </w:pPr>
      <w:r>
        <w:rPr>
          <w:b/>
        </w:rPr>
        <w:t xml:space="preserve">摘要（ZH）: </w:t>
      </w:r>
      <w:r>
        <w:t>检测水中的痕量污染物是跟踪环境和公共健康的一个挑战。我们报告了纳米粒子装饰的液晶（LC）软接口微流体平台，用于检测痕量水性分析物。使用烷基封端硅烷功能化的二氧化硅纳米粒子来装饰液晶-水界面并诱导液晶应变。通过光学可观察的 LC 有序转变研究了 LC 流量传感器对各种分析物（包括工业染料、药物和持久性化学品）的响应。微流体结果由纳米颗粒集成 LC 液滴传感器支持，显示检测限 (LOD) 为 0.1 ppb，且 LC 界面装饰有浓缩纳米颗粒。降低界面纳米颗粒负载量可使传感器的 LOD 显着降低 4 个数量级。虽然基于液晶液滴的传感器无法达到这一灵敏度极限，但通过利用纳米颗粒定位引起的液晶界面的界面几何形状和局部应变，在微流体传感器平台中惊人地观察到了这种超低响应。我们表明，传感器对具有芳香结构特征的分析物表现出选择性。这些功能具有多种应用的潜力，包括微污染物的连续跟踪和医疗诊断。</w:t>
      </w:r>
    </w:p>
    <w:p>
      <w:pPr>
        <w:spacing w:before="0" w:after="200" w:lineRule="auto" w:line="276"/>
      </w:pPr>
      <w:r>
        <w:rPr>
          <w:b/>
        </w:rPr>
        <w:t xml:space="preserve">Abstract (EN): </w:t>
      </w:r>
      <w:r>
        <w:t>Detecting aqueous trace pollutants is a challenge in tracking environmental and public health. We report nanoparticle-decorated liquid crystal (LC) soft interfaced microfluidic platforms for detecting trace-level aqueous analytes. Silica nanoparticles functionalized with alkyl-terminated silanes were used to decorate the LC-aqueous interfaces and induce LC strain. The response of the LC flow sensor to various analytes, including industrial dyes, pharmaceuticals, and persistent chemicals, was investigated through the optically observable LC ordering transitions. The microfluidic results, supported by nanoparticle-integrated LC droplet-based sensors, showed a limit of detection (LOD) of 0.1 ppb with LC interfaces decorated with concentrated nanoparticles. Lowering the interfacial nanoparticle loading resulted in sensors achieving an impressive 4 orders of magnitude reduction in the LOD. While LC droplet-based sensors were unable to reach this sensitivity limit, such ultralow responses were strikingly observed in microfluidic sensor platforms by leveraging the interface geometry and localized straining at LC interfaces induced by nanoparticle positioning. We show that the sensors demonstrate selectivity for analytes characterized by aromatic structures. These features hold potential for various applications, including continuous tracking of micropollutants and medical diagnostics.</w:t>
      </w:r>
    </w:p>
    <w:p>
      <w:pPr>
        <w:spacing w:before="120" w:after="120"/>
      </w:pPr>
      <w:r>
        <w:rPr>
          <w:sz w:val="18"/>
        </w:rPr>
        <w:t>——————————————————————————————————————————————————————————————————————</w:t>
      </w:r>
    </w:p>
    <w:p>
      <w:pPr>
        <w:spacing w:before="160" w:after="40" w:line="240" w:lineRule="auto"/>
      </w:pPr>
      <w:r>
        <w:rPr>
          <w:b/>
        </w:rPr>
        <w:t xml:space="preserve">[570] </w:t>
      </w:r>
      <w:hyperlink r:id="rId1398">
        <w:r>
          <w:rPr>
            <w:color w:val="1155CC"/>
            <w:u w:val="single"/>
          </w:rPr>
          <w:t>受体-配体介导的多酚量子点锚定到膜片段上，用于阿尔茨海默病治疗中的精确递送</w:t>
        </w:r>
      </w:hyperlink>
    </w:p>
    <w:p>
      <w:pPr>
        <w:spacing w:before="0" w:after="80"/>
      </w:pPr>
      <w:r>
        <w:rPr>
          <w:i/>
          <w:sz w:val="20"/>
        </w:rPr>
        <w:t>EN: Receptor–Ligand-Mediated Anchoring of Polyphenol Quantum Dots to Membrane Fragments for Precision Delivery in Alzheimer's Disease Therapy</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399">
        <w:r>
          <w:rPr>
            <w:color w:val="1155CC"/>
            <w:u w:val="single"/>
          </w:rPr>
          <w:t>10.1021/acsami.6c10322</w:t>
        </w:r>
      </w:hyperlink>
    </w:p>
    <w:p>
      <w:pPr>
        <w:spacing w:before="0" w:after="120"/>
      </w:pPr>
      <w:r>
        <w:rPr>
          <w:b/>
        </w:rPr>
        <w:t xml:space="preserve">Notes: </w:t>
      </w:r>
      <w:r>
        <w:t>abstract_source=pubmed</w:t>
      </w:r>
    </w:p>
    <w:p>
      <w:pPr>
        <w:spacing w:before="0" w:after="80" w:lineRule="auto" w:line="276"/>
      </w:pPr>
      <w:r>
        <w:rPr>
          <w:b/>
        </w:rPr>
        <w:t xml:space="preserve">摘要（ZH）: </w:t>
      </w:r>
      <w:r>
        <w:t>多酚基碳点（PCD）由于其固有的抗氧化活性、超小尺寸和良好的血脑屏障（BBB）渗透性，在阿尔茨海默病（AD）的治疗中具有广阔的前景。然而，快速的免疫清除和较差的病灶靶向性严重阻碍了它们的临床转化。传统的细胞膜涂层与超小型 PCD 相容性较差，导致封装不完全、活性位点掩蔽和膜蛋白失活。在此，我们通过特定的甘露糖-CD206受体-配体相互作用将甘露糖修饰的槲皮素纳米点（MQND）锚定到BV2细胞膜片段（CMF）上，制造了一种新型仿生纳米结构（MQCM）。这种独特的结合策略赋予MQCM较高的锚定效率（84.3%）和更高的结构稳定性。与屏蔽活性位点并损害纳米颗粒功能的传统非特异性膜涂层不同，该设计避免了此类缺点，并完全保留了 MQND 和膜蛋白的固有生物活性。优化后的 MQCM 显示出高 BBB 通透性 (42.35%)、精确的 BV2 靶向性和病变响应性药物释放。 BV2衍生的CMF可延长MQND的血液循环和病灶保留，而释放的MQND通过调节ROS稳态、抑制Aβ颤动和促进Aβ自噬发挥多种抗AD作用。总的来说，这种集成仿生系统提供了精确的 AD 治疗策略，并推进了基于 PCD 的纳米药物的临床转化。</w:t>
      </w:r>
    </w:p>
    <w:p>
      <w:pPr>
        <w:spacing w:before="0" w:after="200" w:lineRule="auto" w:line="276"/>
      </w:pPr>
      <w:r>
        <w:rPr>
          <w:b/>
        </w:rPr>
        <w:t xml:space="preserve">Abstract (EN): </w:t>
      </w:r>
      <w:r>
        <w:t>Polyphenol-based carbon dots (PCDs) hold great promise for Alzheimer's disease (AD) treatment owing to their inherent antioxidant activity, ultrasmall size, and favorable blood-brain barrier (BBB) permeability. Nevertheless, rapid immune clearance and poor lesion targeting severely hinder their clinical translation. Conventional cell membrane coating is poorly compatible with ultrasmall PCDs, causing incomplete encapsulation, active site masking, and membrane protein inactivation. Herein, we fabricated a novel biomimetic nanostructure (MQCM) by anchoring mannose-modified quercetin nanodots (MQNDs) onto BV2 cell membrane fragments (CMFs) via specific mannose-CD206 receptor-ligand interactions. This unique binding strategy endowed MQCM with a high anchoring efficiency (84.3%) and improved structural stability. Distinct from conventional nonspecific membrane coating that shields active sites and impairs nanoparticle functionality, this design avoids such drawbacks and completely preserves the intrinsic bioactivity of MQNDs and membrane proteins. The optimized MQCM displays high BBB permeability (42.35%), precise BV2 targeting, and lesion-responsive drug release. BV2-derived CMFs prolong blood circulation and lesion retention of MQNDs, while the released MQNDs exert multiple anti-AD effects by regulating ROS homeostasis, inhibiting Aβ fibrillation, and promoting Aβ autophagy. Collectively, this integrated biomimetic system offers a precise AD therapeutic strategy and advances the clinical translation of PCD-based nanomedicines.</w:t>
      </w:r>
    </w:p>
    <w:p>
      <w:pPr>
        <w:spacing w:before="120" w:after="120"/>
      </w:pPr>
      <w:r>
        <w:rPr>
          <w:sz w:val="18"/>
        </w:rPr>
        <w:t>——————————————————————————————————————————————————————————————————————</w:t>
      </w:r>
    </w:p>
    <w:p>
      <w:pPr>
        <w:spacing w:before="160" w:after="40" w:line="240" w:lineRule="auto"/>
      </w:pPr>
      <w:r>
        <w:rPr>
          <w:b/>
        </w:rPr>
        <w:t xml:space="preserve">[571] </w:t>
      </w:r>
      <w:hyperlink r:id="rId1400">
        <w:r>
          <w:rPr>
            <w:color w:val="1155CC"/>
            <w:u w:val="single"/>
          </w:rPr>
          <w:t>地形组织的中缝背侧活动调节前脑感觉运动表征并有助于防御行为</w:t>
        </w:r>
      </w:hyperlink>
    </w:p>
    <w:p>
      <w:pPr>
        <w:spacing w:before="0" w:after="80"/>
      </w:pPr>
      <w:r>
        <w:rPr>
          <w:i/>
          <w:sz w:val="20"/>
        </w:rPr>
        <w:t>EN: Topographically organized dorsal raphe activity modulates forebrain sensory-motor representations and contributes to defensive behaviors</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中缝背核 (DRN) 塑造包括情绪和动机在内的行为。 DRN 包含分子上不同且按地形组织的神经元，针对特定的前脑区域。为了了解 DRN 神经元如何处理感觉信息，我们研究了斑马鱼 DRN 神经元、DRN 轴突及其前脑目标的时空活动模式。我们在 DRN 内发现了持续活动和感觉运动反应的显着地形组织。 DRN 神经元的一个子集由运动和感觉刺激驱动。 Gad1 阳性 DRN 神经元在休息和感觉运动刺激期间表现出明显的活动。前脑中的 DRN 轴突表现出对感觉刺激和运动的响应的拓扑组织的兴奋和抑制。 DRN 轴突与前脑神经元活动共变。 DRN 消融降低了前脑神经元的同步性和感觉运动反应，并增强了防御行为。我们揭示了 DRN 神经元的功能多样性及其在通过地形组织的前脑投射传递感觉和运动信号中的作用。</w:t>
      </w:r>
    </w:p>
    <w:p>
      <w:pPr>
        <w:spacing w:before="0" w:after="200" w:lineRule="auto" w:line="276"/>
      </w:pPr>
      <w:r>
        <w:rPr>
          <w:b/>
        </w:rPr>
        <w:t xml:space="preserve">Abstract (EN): </w:t>
      </w:r>
      <w:r>
        <w:t>The dorsal raphe nucleus (DRN) shapes behaviors including mood and motivation. The DRN contains molecularly distinct and topographically organized neurons that target specific forebrain regions. To understand how DRN neurons process sensory information, we investigated the spatiotemporal activity patterns of DRN neurons, DRN axons, and their forebrain targets in zebrafish. We found a remarkable topographic organization of ongoing activity and sensory-motor responses within the DRN. A subset of DRN neurons was driven by locomotion and sensory stimuli. Gad1-positive DRN neurons exhibited distinct activity during rest and sensory-motor stimulation. DRN axons in the forebrain showed topographically organized excitation and inhibition in response to sensory stimulation and locomotion. DRN axons covaried with forebrain neuronal activity. DRN ablation reduced the synchrony and sensory-motor responses of forebrain neurons and enhanced defensive behaviors. We revealed the functional diversity of DRN neurons and their role in transmitting sensory and locomotor signals via topographically organized forebrain projections.</w:t>
      </w:r>
    </w:p>
    <w:p>
      <w:pPr>
        <w:spacing w:before="120" w:after="120"/>
      </w:pPr>
      <w:r>
        <w:rPr>
          <w:sz w:val="18"/>
        </w:rPr>
        <w:t>——————————————————————————————————————————————————————————————————————</w:t>
      </w:r>
    </w:p>
    <w:p>
      <w:pPr>
        <w:spacing w:before="160" w:after="40" w:line="240" w:lineRule="auto"/>
      </w:pPr>
      <w:r>
        <w:rPr>
          <w:b/>
        </w:rPr>
        <w:t xml:space="preserve">[572] </w:t>
      </w:r>
      <w:hyperlink r:id="rId1401">
        <w:r>
          <w:rPr>
            <w:color w:val="1155CC"/>
            <w:u w:val="single"/>
          </w:rPr>
          <w:t>揭示 3D 打印乙烯-醋酸乙烯酯可拉伸泡沫的适印性和性能</w:t>
        </w:r>
      </w:hyperlink>
    </w:p>
    <w:p>
      <w:pPr>
        <w:spacing w:before="0" w:after="80"/>
      </w:pPr>
      <w:r>
        <w:rPr>
          <w:i/>
          <w:sz w:val="20"/>
        </w:rPr>
        <w:t>EN: Unveiling the Printability and Performance of 3D Printed Ethylene-Vinyl Acetate Stretchable Foams</w:t>
      </w:r>
    </w:p>
    <w:p>
      <w:pPr>
        <w:spacing w:before="0" w:after="120"/>
      </w:pPr>
      <w:r>
        <w:rPr>
          <w:b/>
        </w:rPr>
        <w:t xml:space="preserve">Source: </w:t>
      </w:r>
      <w:r>
        <w:t>ACS Applied Materials &amp; Interfaces: Latest Articles (ACS Publications)</w:t>
      </w:r>
      <w:r>
        <w:t xml:space="preserve">    </w:t>
      </w:r>
      <w:r>
        <w:rPr>
          <w:b/>
        </w:rPr>
        <w:t xml:space="preserve">Pub date: </w:t>
      </w:r>
      <w:r>
        <w:t>2026-07-16 00:00:00+00:00</w:t>
      </w:r>
      <w:r>
        <w:t xml:space="preserve">    </w:t>
      </w:r>
      <w:r>
        <w:rPr>
          <w:b/>
        </w:rPr>
        <w:t xml:space="preserve">DOI: </w:t>
      </w:r>
      <w:hyperlink r:id="rId1402">
        <w:r>
          <w:rPr>
            <w:color w:val="1155CC"/>
            <w:u w:val="single"/>
          </w:rPr>
          <w:t>10.1021/acsami.6c10093</w:t>
        </w:r>
      </w:hyperlink>
    </w:p>
    <w:p>
      <w:pPr>
        <w:spacing w:before="0" w:after="120"/>
      </w:pPr>
      <w:r>
        <w:rPr>
          <w:b/>
        </w:rPr>
        <w:t xml:space="preserve">Notes: </w:t>
      </w:r>
      <w:r>
        <w:t>abstract_source=pubmed</w:t>
      </w:r>
    </w:p>
    <w:p>
      <w:pPr>
        <w:spacing w:before="0" w:after="80" w:lineRule="auto" w:line="276"/>
      </w:pPr>
      <w:r>
        <w:rPr>
          <w:b/>
        </w:rPr>
        <w:t xml:space="preserve">摘要（ZH）: </w:t>
      </w:r>
      <w:r>
        <w:t>增材制造的兴起改变了具有复杂几何形状和精确设计的先进材料的发展轨迹。尽管多种材料已适用于 3D 打印，但可打印微孔泡沫的开发仍处于起步阶段。在此，我们首次报道了由可膨胀微球 (EM) 实现的 3D 打印乙烯-醋酸乙烯酯 (EVA) 泡沫。含有 0-10 wt% EM 的 EVA/EM 可膨胀长丝可产生 0.903-0.224 g/cm3 范围内的定制密度。可行的温度范围取决于 EM 含量，其中较高的 EM 负载会导致更宽的打印窗口。泡沫密度进一步表现出与温度的最佳相关性，在 230 °C 时达到最小值，与 EM 含量无关。微观结构分析揭示了均匀的形态，其中泡沫的泡孔密度随着电磁负载的增加而增加，泡孔尺寸略有下降。与传统泡沫相比，杨氏模量和拉伸强度随密度降低的衰减率明显较低，这归因于EM壳材料的增强作用。还讨论了机械性能的应变率和印刷图案依赖性。虽然未发泡 EVA 在循环压缩载荷下表现出应变硬化，但添加 EM 会产生与 EM 含量成比例的抵消应变软化行为。热分析还表明，EM 对 EVA 结晶度的影响可以忽略不计。这项工作的结果凸显了 3D 打印 EVA 泡沫作为轻质且可调节材料的各种应用的潜力</w:t>
      </w:r>
    </w:p>
    <w:p>
      <w:pPr>
        <w:spacing w:before="0" w:after="200" w:lineRule="auto" w:line="276"/>
      </w:pPr>
      <w:r>
        <w:rPr>
          <w:b/>
        </w:rPr>
        <w:t xml:space="preserve">Abstract (EN): </w:t>
      </w:r>
      <w:r>
        <w:t>The rise of additive manufacturing has pivoted the trajectory of advanced materials with intricate geometries and precise design. Although various materials have been adapted to 3D printing, developing printable microcellular foams remains in its infancy. Herein, for the first time, we report 3D printed ethylene-vinyl acetate (EVA) foams enabled by expandable microspheres (EMs). Expandable filaments of EVA/EMs containing 0-10 wt % EM result in a tailored density in the range of 0.903-0.224 g/cm3. The viable temperature spectrum relies upon EM content, where higher EM loading leads to a wider printing window. The foam density further exhibits an optimal correlation with temperature, reaching its minimum at 230 °C, independent of EM content. Microstructural analyses reveal uniform morphologies wherein the foam's cell density increases and cell size slightly drops with EM loading. The decay rate of Young's modulus and tensile strength with density reduction is significantly lower compared to conventional foams, which is attributed to the reinforcing effect of the EM shell material. Strain rate and print pattern dependency of mechanical properties are also discussed. While unfoamed EVA exhibits strain hardening upon cyclic compressive loading, the addition of EMs introduces a counteracting strain-softening behavior proportional to EM content. The thermal analysis furthermore depicts that EM leaves a negligible impact on the crystallinity of EVA. The findings of this work highlight the potential of 3D printed EVA foams as lightweight and tunable materials for various applications.</w:t>
      </w:r>
    </w:p>
    <w:p>
      <w:pPr>
        <w:spacing w:before="120" w:after="120"/>
      </w:pPr>
      <w:r>
        <w:rPr>
          <w:sz w:val="18"/>
        </w:rPr>
        <w:t>——————————————————————————————————————————————————————————————————————</w:t>
      </w:r>
    </w:p>
    <w:p>
      <w:pPr>
        <w:spacing w:before="160" w:after="40" w:line="240" w:lineRule="auto"/>
      </w:pPr>
      <w:r>
        <w:rPr>
          <w:b/>
        </w:rPr>
        <w:t xml:space="preserve">[573] </w:t>
      </w:r>
      <w:hyperlink r:id="rId1403">
        <w:r>
          <w:rPr>
            <w:color w:val="1155CC"/>
            <w:u w:val="single"/>
          </w:rPr>
          <w:t>亲蛤蚌毒素蛋白作为毒素海绵蛋白发挥作用，可以抵消蛤蚌毒素中毒的影响</w:t>
        </w:r>
      </w:hyperlink>
    </w:p>
    <w:p>
      <w:pPr>
        <w:spacing w:before="0" w:after="80"/>
      </w:pPr>
      <w:r>
        <w:rPr>
          <w:i/>
          <w:sz w:val="20"/>
        </w:rPr>
        <w:t>EN: Saxiphilin functions as a toxin sponge protein that counteracts the effects of saxitoxin poisoning</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石房蛤毒素 (STX) 是已知最有效的毒素之一，被归类为化学武器，是由海洋和淡水有害藻华 (HAB) 产生的麻痹性贝类毒素 (PST) 家族的原型。 STX 通过抑制电压门控钠通道 (NaV) 导致瘫痪和死亡，没有解毒剂，并且由于其在海鲜中的积累和增加 HAB 的发生而对公共健康和商业捕鱼构成威胁。尽管 STX 对包括人类在内的多种脊椎动物具有致命性，但某些青蛙对 STX 中毒具有抵抗力。这种表型被认为依赖于可溶性毒素海绵高亲和力 STX 结合蛋白（亲蛤蚌毒素蛋白，Sxphs），其通过不同于经典靶位点离子通道突变机制的竞争机制提供抗性。在这里，我们测试了这个想法，并表明，使用 STX 和 Sxph 一起或以任一顺序依次给药的范例，单剂量的美国牛蛙 (Rana catesbeiana) Sxph (RcSxph) 足以抵消 STX 对雌性小鼠的神经毒性和致死性。重要的是，该功能需要 RcSxph 高亲和力 STX 结合位点。我们的研究结果提供了体内验证，证明 Sxphs 是毒素海绵，可以防止 STX 中毒，并强调了利用此类蛋白质作为 PST 和其他毒素解毒剂的潜力。</w:t>
      </w:r>
    </w:p>
    <w:p>
      <w:pPr>
        <w:spacing w:before="0" w:after="200" w:lineRule="auto" w:line="276"/>
      </w:pPr>
      <w:r>
        <w:rPr>
          <w:b/>
        </w:rPr>
        <w:t xml:space="preserve">Abstract (EN): </w:t>
      </w:r>
      <w:r>
        <w:t>Saxitoxin (STX) is among the most potent toxins known, is classified as a chemical weapon, and is the archetype of the paralytic shellfish toxin (PST) family produced by marine and freshwater harmful algal blooms (HAB). STX causes paralysis and death through inhibition of voltage-gated sodium channels (NaVs), has no antidote, and poses a public health and commercial fishing threat due to its accumulation in seafood and increasing HAB occurrences. Although STX is lethal to varied vertebrates, including humans, certain frogs resist STX poisoning. This phenotype is thought to depend on soluble toxin sponge high-affinity STX binding proteins (saxiphilins, Sxphs) that provide resistance through a competition mechanism different from classic target site ion channel mutation mechanisms. Here, we test this idea and show that a single dose of American bullfrog (Rana catesbeiana) Sxph (RcSxph) is sufficient to counteract STX neurotoxicity and lethality in female mice using paradigms where STX and Sxph are administered together or sequentially in either order. Importantly, this function requires the RcSxph high-affinity STX binding site. Our findings provide in vivo validation that Sxphs are toxin sponges that protect against STX poisoning and highlight the potential to harness this protein class as antidotes for PSTs and other toxins.</w:t>
      </w:r>
    </w:p>
    <w:p>
      <w:pPr>
        <w:spacing w:before="120" w:after="120"/>
      </w:pPr>
      <w:r>
        <w:rPr>
          <w:sz w:val="18"/>
        </w:rPr>
        <w:t>——————————————————————————————————————————————————————————————————————</w:t>
      </w:r>
    </w:p>
    <w:p>
      <w:pPr>
        <w:spacing w:before="160" w:after="40" w:line="240" w:lineRule="auto"/>
      </w:pPr>
      <w:r>
        <w:rPr>
          <w:b/>
        </w:rPr>
        <w:t xml:space="preserve">[574] </w:t>
      </w:r>
      <w:hyperlink r:id="rId1404">
        <w:r>
          <w:rPr>
            <w:color w:val="1155CC"/>
            <w:u w:val="single"/>
          </w:rPr>
          <w:t>阿尔茨海默病、CADASIL 和创伤性脑损伤小鼠模型中的异质小胶质细胞反应性与稳定的血管转录程序形成对比</w:t>
        </w:r>
      </w:hyperlink>
    </w:p>
    <w:p>
      <w:pPr>
        <w:spacing w:before="0" w:after="80"/>
      </w:pPr>
      <w:r>
        <w:rPr>
          <w:i/>
          <w:sz w:val="20"/>
        </w:rPr>
        <w:t>EN: Heterogenous microglial reactivity contrasts with stable vascular transcriptional programs in mouse models of Alzheimer’s, CADASIL, and Traumatic Brain Injury</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各种脑部疾病对脑血管系统的影响程度仍不清楚。为了解决这个问题，我们建立了主要血管细胞类型和小胶质细胞的转录组库，以比较与神经炎症和相关血管反应性相关的三种人脑疾病的小鼠模型中的整体转录组反应：阿尔茨海默病（AD）、创伤性脑损伤（TBI）和伴有皮质下梗塞和白质脑病的常染色体显性遗传性脑动脉病（CADASIL）。对不同疾病阶段超过 250,000 个细胞的单细胞分析导致鉴定出两种以前未知的血管细胞亚型，扩大了内皮分区谱，并允许对细胞和分子反应进行详细分析。令人惊讶的是，大多数血管细胞类型在这三种情况下缺乏主要的转录组变化，而小胶质细胞则表现出显着的疾病特异性转录变化。值得注意的是，小胶质细胞反应在晚期 TBI 和 AD 之间趋同，为了解 TBI 后神经退行性变的倾向提供了见解。</w:t>
      </w:r>
    </w:p>
    <w:p>
      <w:pPr>
        <w:spacing w:before="0" w:after="200" w:lineRule="auto" w:line="276"/>
      </w:pPr>
      <w:r>
        <w:rPr>
          <w:b/>
        </w:rPr>
        <w:t xml:space="preserve">Abstract (EN): </w:t>
      </w:r>
      <w:r>
        <w:t>The extent to which the cerebrovasculature is affected in various brain disorders is still not well understood. To address this, we established a transcriptomic repository of major vascular cell types and microglia to compare the global transcriptomic response in mouse models of three human brain disorders linked to neuroinflammation and associated vascular reactivity: Alzheimer’s disease (AD), traumatic brain injury (TBI), and cerebral autosomal dominant arteriopathy with subcortical infarcts and leukoencephalopathy (CADASIL). Single-cell analysis of &gt;250,000 cells at different disease stages led to identification of two previously unknown vascular cell subtypes, expanded the endothelial zonation spectrum and allowed for a detailed analysis of the cellular and molecular responses. Surprisingly, most vascular cell types lacked major transcriptomic changes across the three conditions, while microglia exhibited significant, disease-specific transcriptional changes. Notably, microglial responses converged between late-stage TBI and AD, offering insights into the predisposition for neurodegeneration following TBI.</w:t>
      </w:r>
    </w:p>
    <w:p>
      <w:pPr>
        <w:spacing w:before="120" w:after="120"/>
      </w:pPr>
      <w:r>
        <w:rPr>
          <w:sz w:val="18"/>
        </w:rPr>
        <w:t>——————————————————————————————————————————————————————————————————————</w:t>
      </w:r>
    </w:p>
    <w:p>
      <w:pPr>
        <w:spacing w:before="160" w:after="40" w:line="240" w:lineRule="auto"/>
      </w:pPr>
      <w:r>
        <w:rPr>
          <w:b/>
        </w:rPr>
        <w:t xml:space="preserve">[575] </w:t>
      </w:r>
      <w:hyperlink r:id="rId1405">
        <w:r>
          <w:rPr>
            <w:color w:val="1155CC"/>
            <w:u w:val="single"/>
          </w:rPr>
          <w:t>多组学分析将 L1 逆转录转座与膀胱癌基因组不稳定性和 ecDNA 联系起来</w:t>
        </w:r>
      </w:hyperlink>
    </w:p>
    <w:p>
      <w:pPr>
        <w:spacing w:before="0" w:after="80"/>
      </w:pPr>
      <w:r>
        <w:rPr>
          <w:i/>
          <w:sz w:val="20"/>
        </w:rPr>
        <w:t>EN: Multiomic profiling links L1 retrotransposition to genomic instability and ecDNA in bladder cancer</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膀胱癌发病率高且复发率高。尽管最近取得了进展，但在疾病进展的分子机制方面仍然存在知识差距。在这项研究中，我们对 48 名膀胱癌患者进行了综合多组学分析，以全面分析遗传、表观遗传、转录组和空间特征。结合游离细胞 DNA 测序、长读长肿瘤 DNA 测序、RNA 测序和空间转录组学，我们探索驱动膀胱癌的分子改变。我们发现频繁的体细胞 LINE-1 (L1) 插入，并表明这些 L1 插入是活跃的并且发生在膀胱癌发展的早期。我们将体细胞 L1 插入与下游基因组重排和染色体不稳定性联系起来，包括高 L1 计数患者的结构变异和染色体外 DNA (ecDNA) 计数增加。我们确定了跨组织结构的可变 ecDNA 富集，其中最高富集重叠了 APOBEC3B 和免疫反应途径的差异表达。总之，我们的结果支持 L1 逆转录转座触发下游基因组不稳定性和病毒拟态反应的模型。</w:t>
      </w:r>
    </w:p>
    <w:p>
      <w:pPr>
        <w:spacing w:before="0" w:after="200" w:lineRule="auto" w:line="276"/>
      </w:pPr>
      <w:r>
        <w:rPr>
          <w:b/>
        </w:rPr>
        <w:t xml:space="preserve">Abstract (EN): </w:t>
      </w:r>
      <w:r>
        <w:t>Bladder cancer is frequent and highly recurrent. Despite recent advances, knowledge gaps remain in molecular mechanisms underlying disease progression. In this study, we apply integrated multi-omic analyses to a cohort of 48 bladder cancer patients to comprehensively profile genetic, epigenetic, transcriptomic, and spatial features. Combining cell-free DNA sequencing, long-read tumor DNA-sequencing, RNA-sequencing, and spatial transcriptomics, we explore molecular alterations driving bladder cancer. We find frequent somatic LINE-1 (L1) insertions, and show that these L1 insertions are active and occur early in bladder cancer development. We link somatic L1 insertion with downstream genomic rearrangements and chromosomal instability, including increased structural variant and extrachromosomal DNA (ecDNA) counts in patients with high L1 counts. We identify variable ecDNA enrichment across tissue architecture, with highest enrichment overlapping differential expression of APOBEC3B and immune response pathways. In summary, our results support a model whereby L1 retrotransposition triggers downstream genomic instability and viral mimicry response.</w:t>
      </w:r>
    </w:p>
    <w:p>
      <w:pPr>
        <w:spacing w:before="120" w:after="120"/>
      </w:pPr>
      <w:r>
        <w:rPr>
          <w:sz w:val="18"/>
        </w:rPr>
        <w:t>——————————————————————————————————————————————————————————————————————</w:t>
      </w:r>
    </w:p>
    <w:p>
      <w:pPr>
        <w:spacing w:before="160" w:after="40" w:line="240" w:lineRule="auto"/>
      </w:pPr>
      <w:r>
        <w:rPr>
          <w:b/>
        </w:rPr>
        <w:t xml:space="preserve">[576] </w:t>
      </w:r>
      <w:hyperlink r:id="rId1406">
        <w:r>
          <w:rPr>
            <w:color w:val="1155CC"/>
            <w:u w:val="single"/>
          </w:rPr>
          <w:t>Tb(IV) 多金属氧酸盐的结构和光谱表征</w:t>
        </w:r>
      </w:hyperlink>
    </w:p>
    <w:p>
      <w:pPr>
        <w:spacing w:before="0" w:after="80"/>
      </w:pPr>
      <w:r>
        <w:rPr>
          <w:i/>
          <w:sz w:val="20"/>
        </w:rPr>
        <w:t>EN: Structural and spectroscopic characterization of a Tb(IV) polyoxometalate</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高价镧系元素化学得到了复兴，这导致了分子系统中四价镨 (Pr) 和铽 (Tb) 的第一个例子。这些成就是通过定制配体实现的，这些配体促进四价镧系元素在非水条件下的稳定性。实现高价稀土化学潜力的下一步是开发在环境和水条件下稳定的配合物。在这项研究中，我们利用空缺的 Wells-Dawson 多金属氧酸盐 K10P2W17O61•20H2O 在水性条件下获得分子系统中 Tb(IV) 的明确证据，从而推进了这一范例。在此，我们介绍了 K16Tb(IV)(P2W17O61)2•39.85H2O (Tb(IV)W34) 的单晶结构，以及通过 UV-Vis-NIR、X 射线吸收近边光谱、连续波 X 波段电子顺磁共振光谱和 SQUID 磁力测量获得的广泛光谱证据，以确认 W34 配合物中 Tb 的氧化态为 +4。</w:t>
      </w:r>
    </w:p>
    <w:p>
      <w:pPr>
        <w:spacing w:before="0" w:after="200" w:lineRule="auto" w:line="276"/>
      </w:pPr>
      <w:r>
        <w:rPr>
          <w:b/>
        </w:rPr>
        <w:t xml:space="preserve">Abstract (EN): </w:t>
      </w:r>
      <w:r>
        <w:t>There has been a renaissance in high valent lanthanide chemistry, which has resulted in the first examples of tetravalent praseodymium (Pr) and terbium (Tb) in molecular systems. These feats have been achieved with tailored ligands that facilitate tetravalent lanthanide stability in non-aqueous conditions. The next step in realizing the potential of high valent lanthanide chemistry is moving towards complexes that are stable in ambient and aqueous conditions. In this investigation, we advance this paradigm by obtaining definitive evidence of Tb(IV) in a molecular system under aqueous conditions utilizing the lacunary Wells-Dawson polyoxometalate, K10P2W17O61•20H2O. Herein we present the single crystal structure of K16Tb(IV)(P2W17O61)2•39.85H2O (Tb(IV)W34) as well as extensive spectroscopic evidence obtained via UV–Vis-NIR, X-ray absorption near edge spectroscopy, continuous wave X-band electron paramagnetic resonance spectroscopy and SQUID magnetometry measurements to confirm the oxidation state of Tb in W34 complexes as +4.</w:t>
      </w:r>
    </w:p>
    <w:p>
      <w:pPr>
        <w:spacing w:before="120" w:after="120"/>
      </w:pPr>
      <w:r>
        <w:rPr>
          <w:sz w:val="18"/>
        </w:rPr>
        <w:t>——————————————————————————————————————————————————————————————————————</w:t>
      </w:r>
    </w:p>
    <w:p>
      <w:pPr>
        <w:spacing w:before="160" w:after="40" w:line="240" w:lineRule="auto"/>
      </w:pPr>
      <w:r>
        <w:rPr>
          <w:b/>
        </w:rPr>
        <w:t xml:space="preserve">[577] </w:t>
      </w:r>
      <w:hyperlink r:id="rId1407">
        <w:r>
          <w:rPr>
            <w:color w:val="1155CC"/>
            <w:u w:val="single"/>
          </w:rPr>
          <w:t>沿海地下水磷导致全球藻华加速</w:t>
        </w:r>
      </w:hyperlink>
    </w:p>
    <w:p>
      <w:pPr>
        <w:spacing w:before="0" w:after="80"/>
      </w:pPr>
      <w:r>
        <w:rPr>
          <w:i/>
          <w:sz w:val="20"/>
        </w:rPr>
        <w:t>EN: Coastal groundwater phosphorus drives global acceleration of algal blooms</w:t>
      </w:r>
    </w:p>
    <w:p>
      <w:pPr>
        <w:spacing w:before="0" w:after="120"/>
      </w:pPr>
      <w:r>
        <w:rPr>
          <w:b/>
        </w:rPr>
        <w:t xml:space="preserve">Source: </w:t>
      </w:r>
      <w:r>
        <w:t>Earth and environmental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全球沿海藻华（CAB）正在加速。在氮输入受到抑制但水华持续存在或恶化的地区，这种加剧尤其令人费解。在这里，我们揭示了沿海地下水中过量的溶解无机磷（DIP）是一个关键的、以前被忽视的驱动因素。将基于过程的物理化学框架与全球数据集相结合，我们发现十年来 CAB 趋势与沿海 DIP 的相关性比与氮可用性或水柱稳定性的相关性更强。对特定地点时间序列的全球荟萃分析表明，缺氧地下水会释放大量 DIP。这一机制解释了氮控制下持续的CAB，并与许多沿海地区向磷限制的转变相一致。 CAB趋势的空间和时间变化反映了含水层的地球化学，地下水的减少助长了水华的发生，而氧化系统则抑制了水华的发生。我们的研究结果表明地下水是现代沿海养分循环中缺失的一环，并强调了综合氮磷管理以减轻 CAB 不断升级的影响的紧迫性。</w:t>
      </w:r>
    </w:p>
    <w:p>
      <w:pPr>
        <w:spacing w:before="0" w:after="200" w:lineRule="auto" w:line="276"/>
      </w:pPr>
      <w:r>
        <w:rPr>
          <w:b/>
        </w:rPr>
        <w:t xml:space="preserve">Abstract (EN): </w:t>
      </w:r>
      <w:r>
        <w:t>Coastal algal blooms (CABs) are accelerating worldwide. This intensification is particularly puzzling in regions where nitrogen inputs have been curbed, yet blooms persist or worsen. Here we reveal excess dissolved inorganic phosphorus (DIP) from coastal groundwater as a critical, previously overlooked driver. Combining a process-based physical-chemical framework with global datasets, we find decadal CAB trends are more strongly linked to coastal DIP than to nitrogen availability or water-column stability. A global meta-analysis with site-specific time series demonstrates anoxic groundwater releases substantial DIP. This mechanism explains continued CABs under nitrogen control and aligns with a shift toward phosphorus limitation in many coastal regions. Spatial and temporal variation in CAB trends reflects aquifer geochemistry, with reducing groundwater fueling blooms and oxidized systems suppressing them. Our findings establish groundwater as a missing link in the modern coastal nutrient cycle and underscore the urgency for integrated nitrogenphosphorus management to mitigate the escalating impacts of CABs.</w:t>
      </w:r>
    </w:p>
    <w:p>
      <w:pPr>
        <w:spacing w:before="120" w:after="120"/>
      </w:pPr>
      <w:r>
        <w:rPr>
          <w:sz w:val="18"/>
        </w:rPr>
        <w:t>——————————————————————————————————————————————————————————————————————</w:t>
      </w:r>
    </w:p>
    <w:p>
      <w:pPr>
        <w:spacing w:before="160" w:after="40" w:line="240" w:lineRule="auto"/>
      </w:pPr>
      <w:r>
        <w:rPr>
          <w:b/>
        </w:rPr>
        <w:t xml:space="preserve">[578] </w:t>
      </w:r>
      <w:hyperlink r:id="rId1408">
        <w:r>
          <w:rPr>
            <w:color w:val="1155CC"/>
            <w:u w:val="single"/>
          </w:rPr>
          <w:t>历史火山喷发印记的全球经向翻转环流耦合再分析</w:t>
        </w:r>
      </w:hyperlink>
    </w:p>
    <w:p>
      <w:pPr>
        <w:spacing w:before="0" w:after="80"/>
      </w:pPr>
      <w:r>
        <w:rPr>
          <w:i/>
          <w:sz w:val="20"/>
        </w:rPr>
        <w:t>EN: The coupled reanalysis global meridional overturning circulation imprinted by historic volcanic eruptions</w:t>
      </w:r>
    </w:p>
    <w:p>
      <w:pPr>
        <w:spacing w:before="0" w:after="120"/>
      </w:pPr>
      <w:r>
        <w:rPr>
          <w:b/>
        </w:rPr>
        <w:t xml:space="preserve">Source: </w:t>
      </w:r>
      <w:r>
        <w:t>Earth and environmental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全球海洋经向翻转环流（GMOC）是海洋运输和气候变化的核心。然而，由于建模和观测系统的限制，其历史平均状态和变异性的全面描述仍然模糊。将观测结果纳入模型为重建气候历史提供了一种可行的方法，但由于协调海洋分层的困难，实现 GMOC 的连贯估计具有挑战性。在这里，我们证明了多尺度数据同化以动态一致的方式将大气和海洋观测整合到两个耦合模型中，可以稳健地检索过去 80 年的 GMOC。通过诊断火山喷发引起的北大西洋冷却和表面浮力损失，我们发现历史上的火山喷发事件在重建的 GMOC 的变化中留下了印记。皮纳图博山（Mt. Pinatubo，1991）火山喷发通过涡旋活动介导的增强二密混合（加强深层对流）的链条，产生了翻转演化的数十年特征。</w:t>
      </w:r>
    </w:p>
    <w:p>
      <w:pPr>
        <w:spacing w:before="0" w:after="200" w:lineRule="auto" w:line="276"/>
      </w:pPr>
      <w:r>
        <w:rPr>
          <w:b/>
        </w:rPr>
        <w:t xml:space="preserve">Abstract (EN): </w:t>
      </w:r>
      <w:r>
        <w:t>The global ocean meridional overturning circulation (GMOC) is central for ocean transport and climate variations. However, a comprehensive picture of its historical mean state and variability remains vague due to limitations in modelling and observing systems. Incorporating observations into models offers a viable approach to reconstructing climate history, yet achieving coherent estimates of GMOC has proven challenging due to difficulties in harmonizing ocean stratification. Here, we demonstrate that multiscale data assimilation that integrates atmospheric and oceanic observations into two coupled models in a dynamically consistent way robustly retrieves the past 80-year GMOC. By diagnosing volcanic eruption-induced North Atlantic cooling and surface buoyancy loss, we show historic volcanic eruption events are imprinted in variability of the rebuilt GMOC. The Mt. Pinatubo (1991) volcanic eruption produces a multidecadal characteristic of the overturning evolution by the chain of enhancing diapycnal mixing - strengthening deep convection - mediated by eddy activities.</w:t>
      </w:r>
    </w:p>
    <w:p>
      <w:pPr>
        <w:spacing w:before="120" w:after="120"/>
      </w:pPr>
      <w:r>
        <w:rPr>
          <w:sz w:val="18"/>
        </w:rPr>
        <w:t>——————————————————————————————————————————————————————————————————————</w:t>
      </w:r>
    </w:p>
    <w:p>
      <w:pPr>
        <w:spacing w:before="160" w:after="40" w:line="240" w:lineRule="auto"/>
      </w:pPr>
      <w:r>
        <w:rPr>
          <w:b/>
        </w:rPr>
        <w:t xml:space="preserve">[579] </w:t>
      </w:r>
      <w:hyperlink r:id="rId1409">
        <w:r>
          <w:rPr>
            <w:color w:val="1155CC"/>
            <w:u w:val="single"/>
          </w:rPr>
          <w:t>人囊泡多胺转运蛋白识别和转运神经递质的协同机制</w:t>
        </w:r>
      </w:hyperlink>
    </w:p>
    <w:p>
      <w:pPr>
        <w:spacing w:before="0" w:after="80"/>
      </w:pPr>
      <w:r>
        <w:rPr>
          <w:i/>
          <w:sz w:val="20"/>
        </w:rPr>
        <w:t>EN: Cooperative mechanism of neurotransmitter recognition and transport by the human vesicular polyamine transporter</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来自 SLC18 反向转运蛋白家族的人囊泡多胺转运蛋白 (hVPAT) 将多胺神经调节剂隔离到分泌囊泡中，以交换大脑中的 H+，从而维持学习和记忆的形成。作为对抗精神兴奋剂使用障碍的潜在治疗靶点，hVPAT（或 SLC18B1）通过未知机制调节单胺神经递质的稳态。在这里，我们报告了 hVPAT 与组胺和血清素复合物的冷冻电子显微镜结构，揭示了面向管腔的 SLC18 反向转运蛋白内多达三个不同的神经递质结合位点。基于互补蛋白脂质体的转运和配体结合测定表明，hVPAT 同时转运多种单胺神经递质，表现出可变的 H⁺/底物化学计量和正协同性。出乎意料的是，这种协同性似乎是由结合的组胺或血清素分子之间的直接相互作用产生的，这也有助于底物选择性。在这项工作中，我们的研究结果揭示了一种迄今为止未知的单胺神经递质识别模式，并为控制膜运输的一般原理提供了前所未有的见解。</w:t>
      </w:r>
    </w:p>
    <w:p>
      <w:pPr>
        <w:spacing w:before="0" w:after="200" w:lineRule="auto" w:line="276"/>
      </w:pPr>
      <w:r>
        <w:rPr>
          <w:b/>
        </w:rPr>
        <w:t xml:space="preserve">Abstract (EN): </w:t>
      </w:r>
      <w:r>
        <w:t>Human vesicular polyamine transporter (hVPAT) from the SLC18 antiporter family sequesters polyamine neuromodulators into secretory vesicles in exchange for H+ in the brain, thereby sustaining learning and memory formation. As a potential therapeutic target for combatting psychostimulant use disorder, hVPAT (or SLC18B1) regulates the homeostasis of monoamine neurotransmitters via an unknown mechanism. Here we report the cryo-electron microscopy structures of hVPAT in complexes with histamine and serotonin, revealing up to three distinct neurotransmitter-binding sites within the lumen-facing SLC18 antiporter. Complementary proteo-liposome-based transport and ligand-binding assays suggest that hVPAT transports multiple monoamine neurotransmitters simultaneously, exhibiting variable H⁺/substrate stoichiometry and positive cooperativity. Unexpectedly, this cooperativity appears to arise from the direct interactions between the bound histamine or serotonin molecules, which also contributes to substrate selectivity. In this work, our findings uncover a hitherto unidentified modality for monoamine neurotransmitter recognition and offer unprecedented insights into the general principles governing membrane transport.</w:t>
      </w:r>
    </w:p>
    <w:p>
      <w:pPr>
        <w:spacing w:before="120" w:after="120"/>
      </w:pPr>
      <w:r>
        <w:rPr>
          <w:sz w:val="18"/>
        </w:rPr>
        <w:t>——————————————————————————————————————————————————————————————————————</w:t>
      </w:r>
    </w:p>
    <w:p>
      <w:pPr>
        <w:spacing w:before="160" w:after="40" w:line="240" w:lineRule="auto"/>
      </w:pPr>
      <w:r>
        <w:rPr>
          <w:b/>
        </w:rPr>
        <w:t xml:space="preserve">[580] </w:t>
      </w:r>
      <w:hyperlink r:id="rId1410">
        <w:r>
          <w:rPr>
            <w:color w:val="1155CC"/>
            <w:u w:val="single"/>
          </w:rPr>
          <w:t>用于跨患者语音解码的语音产生的共享潜在表示</w:t>
        </w:r>
      </w:hyperlink>
    </w:p>
    <w:p>
      <w:pPr>
        <w:spacing w:before="0" w:after="80"/>
      </w:pPr>
      <w:r>
        <w:rPr>
          <w:i/>
          <w:sz w:val="20"/>
        </w:rPr>
        <w:t>EN: Shared latent representations of speech production for cross-patient speech decoding</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语音脑机接口 (BCI) 可以恢复患有神经运动障碍且无法说话的个体的交流。然而，当前的语音脑机接口需要长时间收集大量患者特定数据，从而限制了患者的可用性和成功部署。一个有前景的解决方案是结合多个患者的数据，以提高可用性并加速其成功部署。然而，由于用户神经解剖结构的差异、电极阵列的不同放置以及目标解剖结构的稀疏采样，这已被证明是困难的。在这里，通过将患者特定的神经数据与共享的潜在空间对齐，我们表明可以根据患者之间组合的数据来训练语音 BCI。使用典型相关分析和高密度微皮质电图（μECoG），我们发现了共享的神经潜在动态与保留的微尺度语音信息。这种方法使跨患者解码模型能够通过 μECoG 的高分辨率和广泛覆盖范围实现相对于患者特定模型的改进性能。我们的研究结果支持未来的语音脑机接口更加准确且可快速部署，最终改善因神经运动障碍而导致沟通障碍的人们的生活质量。</w:t>
      </w:r>
    </w:p>
    <w:p>
      <w:pPr>
        <w:spacing w:before="0" w:after="200" w:lineRule="auto" w:line="276"/>
      </w:pPr>
      <w:r>
        <w:rPr>
          <w:b/>
        </w:rPr>
        <w:t xml:space="preserve">Abstract (EN): </w:t>
      </w:r>
      <w:r>
        <w:t>Speech brain-computer interfaces (BCIs) can restore communication in individuals with neuromotor disorders who are unable to speak. However, current speech BCIs limit patient usability and successful deployment by requiring large volumes of patient-specific data collected over long periods of time. A promising solution to facilitate usability and accelerate their successful deployment is to combine data from multiple patients. This has proven difficult, however, due to differences in user neuroanatomy, varied placement of electrode arrays, and sparse sampling of targeted anatomy. Here, by aligning patient-specific neural data to a shared latent space, we show that speech BCIs can be trained on data combined across patients. Using canonical correlation analysis and high-density micro-electrocorticography (μECoG), we uncovered shared neural latent dynamics with preserved micro-scale speech information. This approach enabled cross-patient decoding models to achieve improved performance relative to patient-specific models facilitated by the high resolution and broad coverage of μECoG. Our findings support future speech BCIs that are more accurate and rapidly deployable, ultimately improving the quality of life for people with impaired communication from neuromotor disorders.</w:t>
      </w:r>
    </w:p>
    <w:p>
      <w:pPr>
        <w:spacing w:before="120" w:after="120"/>
      </w:pPr>
      <w:r>
        <w:rPr>
          <w:sz w:val="18"/>
        </w:rPr>
        <w:t>——————————————————————————————————————————————————————————————————————</w:t>
      </w:r>
    </w:p>
    <w:p>
      <w:pPr>
        <w:spacing w:before="160" w:after="40" w:line="240" w:lineRule="auto"/>
      </w:pPr>
      <w:r>
        <w:rPr>
          <w:b/>
        </w:rPr>
        <w:t xml:space="preserve">[581] </w:t>
      </w:r>
      <w:hyperlink r:id="rId1411">
        <w:r>
          <w:rPr>
            <w:color w:val="1155CC"/>
            <w:u w:val="single"/>
          </w:rPr>
          <w:t>通过 GPR84 的激动剂依赖性构象动力学深入了解信号偏差的机制</w:t>
        </w:r>
      </w:hyperlink>
    </w:p>
    <w:p>
      <w:pPr>
        <w:spacing w:before="0" w:after="80"/>
      </w:pPr>
      <w:r>
        <w:rPr>
          <w:i/>
          <w:sz w:val="20"/>
        </w:rPr>
        <w:t>EN: Mechanistic insight into signal bias by the agonist-dependent conformational dynamics of GPR84</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GPR84 是一种孤儿 A 类 GPCR，主要在免疫细胞中表达，在炎症和代谢中发挥关键作用。在这里，我们展示了与 G 蛋白偏向激动剂 DL-175 结合的 GPR84-Gi 复合物的冷冻电子显微镜结构，以及与拮抗剂 GLPG1205 结合的 GPR84 的非活性状态。结合信号分析和分子动力学模拟，这些结构阐明了 GPR84 的非活性状态和 G 蛋白偏向活性状态的构象景观，为偏向激动提供了机制基础。值得注意的是，DL-175 和 L3366.52 之间的空间相互作用选择性地排除了有效 β-arrestin 募集所需的构象变化，而不影响 G 蛋白激活。这些结构见解为合理设计具有精确调整的信号传导谱的 GPR84 靶向疗法提供了结构背景。</w:t>
      </w:r>
    </w:p>
    <w:p>
      <w:pPr>
        <w:spacing w:before="0" w:after="200" w:lineRule="auto" w:line="276"/>
      </w:pPr>
      <w:r>
        <w:rPr>
          <w:b/>
        </w:rPr>
        <w:t xml:space="preserve">Abstract (EN): </w:t>
      </w:r>
      <w:r>
        <w:t>GPR84 is an orphan class A GPCR primarily expressed in immune cells, where it plays key roles in inflammation and metabolism. Here, we present the cryo-electron microscopy structures of the GPR84-Gi complex bound to the G protein–biased agonist DL-175, and the inactive state of GPR84 bound to the antagonist GLPG1205. Combined with signaling assays and molecular dynamics simulations, these structures elucidate the conformational landscape spanning the inactive and G protein-biased active states of GPR84, providing a mechanistic basis for biased agonism. Notably, steric interactions between DL-175 and L3366.52 selectively preclude the conformational changes required for efficient β-arrestin recruitment without compromising G protein activation. These structural insights provide a structural context for the rational design of GPR84-targeted therapeutics with precisely tuned signaling profiles.</w:t>
      </w:r>
    </w:p>
    <w:p>
      <w:pPr>
        <w:spacing w:before="120" w:after="120"/>
      </w:pPr>
      <w:r>
        <w:rPr>
          <w:sz w:val="18"/>
        </w:rPr>
        <w:t>——————————————————————————————————————————————————————————————————————</w:t>
      </w:r>
    </w:p>
    <w:p>
      <w:pPr>
        <w:spacing w:before="160" w:after="40" w:line="240" w:lineRule="auto"/>
      </w:pPr>
      <w:r>
        <w:rPr>
          <w:b/>
        </w:rPr>
        <w:t xml:space="preserve">[582] </w:t>
      </w:r>
      <w:hyperlink r:id="rId1412">
        <w:r>
          <w:rPr>
            <w:color w:val="1155CC"/>
            <w:u w:val="single"/>
          </w:rPr>
          <w:t>AlphaGEM 通过将蛋白质结构比对与基于深度学习的暗代谢挖掘相结合，实现精确的基因组规模代谢建模</w:t>
        </w:r>
      </w:hyperlink>
    </w:p>
    <w:p>
      <w:pPr>
        <w:spacing w:before="0" w:after="80"/>
      </w:pPr>
      <w:r>
        <w:rPr>
          <w:i/>
          <w:sz w:val="20"/>
        </w:rPr>
        <w:t>EN: AlphaGEM enables precise genome-scale metabolic modelling by integrating protein structure alignment with deep-learning-based dark metabolism mining</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为非模式生物构建高质量的基因组规模代谢模型（GEM）仍然具有挑战性。为了解决这个问题，我们开发了 AlphaGEM，这是一个多功能工具箱，利用蛋白质组规模的结构比对、蛋白质语言模型 (PLMSearch) 和基于深度学习的预测来进行高效的基因组挖掘，以生成可供应用的 GEM。与传统的基于序列的方法相比，AlphaGEM 增强了同源关系识别。至关重要的是，它采用由多个深度学习工具箱支持的集成程序来有效挖掘非同源蛋白质编码的暗代谢功能，从而扩展物种特异性网络。我们在原核生物（肺炎克雷伯菌、枯草芽孢杆菌）、真核生物（圆红孢子虫、巴斯德毕赤酵母）和复杂哺乳动物（小家鼠、灰仓鼠）中验证了 AlphaGEM，实现了与手动模型相当的预测，同时优于现有工具。此外，我们通过自动重建 332 种不同酵母物种的高保真 GEM 来证明其可扩展性。总之，AlphaGEM 能够跨不同领域精确、快速地构建 GEM，为具有可用基因组序列的生物体的通用功能分析提供坚实的基础。</w:t>
      </w:r>
    </w:p>
    <w:p>
      <w:pPr>
        <w:spacing w:before="0" w:after="200" w:lineRule="auto" w:line="276"/>
      </w:pPr>
      <w:r>
        <w:rPr>
          <w:b/>
        </w:rPr>
        <w:t xml:space="preserve">Abstract (EN): </w:t>
      </w:r>
      <w:r>
        <w:t>Constructing high-quality genome-scale metabolic models (GEMs) for non-model organisms remains challenging. To address this, we developed AlphaGEM, a versatile toolbox leveraging proteome-scale structural alignment, protein language models (PLMSearch), and deep-learning-based predictions for efficient genomic mining to generate GEMs ready for applications. AlphaGEM enhances homologous relationship identification compared to traditional sequence-based methods. Crucially, it employs an ensemble procedure empowered by multiple deep learning toolboxes to effectively mine dark metabolic functions encoded by nonhomologous proteins, thereby expanding species-specific networks. We validated AlphaGEM across prokaryotes (Klebsiella pneumoniae, Bacillus subtilis), eukaryotes (Rhodosporidium toruloides, Pichia pastoris), and complex mammals (Mus musculus, Cricetulus griseus), achieving predictions comparable to manually curated models while outperforming existing tools. Furthermore, we demonstrated its scalability by automatically reconstructing high-fidelity GEMs for 332 distinct yeast species. In summary, AlphaGEM enables precise, rapid GEM construction across diverse domains, providing a solid foundation for universal functional analysis of organisms having genome sequences available.</w:t>
      </w:r>
    </w:p>
    <w:p>
      <w:pPr>
        <w:spacing w:before="120" w:after="120"/>
      </w:pPr>
      <w:r>
        <w:rPr>
          <w:sz w:val="18"/>
        </w:rPr>
        <w:t>——————————————————————————————————————————————————————————————————————</w:t>
      </w:r>
    </w:p>
    <w:p>
      <w:pPr>
        <w:spacing w:before="160" w:after="40" w:line="240" w:lineRule="auto"/>
      </w:pPr>
      <w:r>
        <w:rPr>
          <w:b/>
        </w:rPr>
        <w:t xml:space="preserve">[583] </w:t>
      </w:r>
      <w:hyperlink r:id="rId1413">
        <w:r>
          <w:rPr>
            <w:color w:val="1155CC"/>
            <w:u w:val="single"/>
          </w:rPr>
          <w:t>使用光诱导信号输入重建 Ras-PI3Kγ 膜通讯和反馈</w:t>
        </w:r>
      </w:hyperlink>
    </w:p>
    <w:p>
      <w:pPr>
        <w:spacing w:before="0" w:after="80"/>
      </w:pPr>
      <w:r>
        <w:rPr>
          <w:i/>
          <w:sz w:val="20"/>
        </w:rPr>
        <w:t>EN: Reconstitution of Ras-PI3Kγ membrane communication and feedback using light-induced signaling inputs</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涉及小 GTP 酶和磷酸磷脂酰肌醇 (PIP) 脂质的反应在质膜信号转导中发挥重要作用。在细胞中，这些不同类别的分子通过正反馈回路和负反馈回路连接起来，从而产生兴奋性和极化等新兴特性。在这里，我们使用纯化的蛋白质在支持膜上重建 Ras GTPase 和磷脂酰肌醇 3-激酶 γ (PI3Kγ) 介导的 PIP3 产生之间的通讯和反馈。我们采用光诱导膜募集来快速改变稳态条件并观察信号模块的时空响应。由于整体抑制，Ras-PI3Kγ 模块单独表现出短暂且可逆的激活。 GEF 介导的正反馈的引入能够实现 Ras(GTP) 和 PIP3 的持续阈值跨越和局部放大，从而产生具有可兴奋网络特征的行进双稳态活动波。 Ras(GTP) 和 PIP3 脂质之间的空间耦合取决于横向扩散和反馈电路架构。这项工作阐明了在存在全局抑制的情况下激活阈值、膜扩散和正反馈在调节 Ras-PI3Kγ 膜信号反应动力学中的作用。</w:t>
      </w:r>
    </w:p>
    <w:p>
      <w:pPr>
        <w:spacing w:before="0" w:after="200" w:lineRule="auto" w:line="276"/>
      </w:pPr>
      <w:r>
        <w:rPr>
          <w:b/>
        </w:rPr>
        <w:t xml:space="preserve">Abstract (EN): </w:t>
      </w:r>
      <w:r>
        <w:t>Reactions involving small GTPases and phosphatidylinositol phosphate (PIP) lipids serve essential roles in signal transduction at the plasma membrane. In cells, these distinct classes of molecules are linked through positive and negative feedback loops that give rise to emergent properties such as excitability and polarization. Here, we reconstitute communication and feedback between Ras GTPase and phosphatidylinositol 3-kinase gamma (PI3Kγ)-mediated PIP3 production on supported membranes using purified proteins. We employ light-induced membrane recruitment to rapidly shift steady-state conditions and observe the spatiotemporal response of the signaling module. Alone, the Ras-PI3Kγ module exhibits transient and reversible activation due to global inhibition. The introduction of GEF-mediated positive feedback enables sustained threshold crossing and local amplification of Ras(GTP) and PIP3, resulting in a traveling, bistable wave of activity with characteristics of an excitable network. Spatial coupling between Ras(GTP) and PIP3 lipids depends on lateral diffusion and feedback circuit architecture. This work illuminates the roles activation thresholds, membrane diffusion, and positive feedback play in regulating the dynamics of Ras-PI3Kγ membrane signaling reactions in the presence of global inhibition.</w:t>
      </w:r>
    </w:p>
    <w:p>
      <w:pPr>
        <w:spacing w:before="120" w:after="120"/>
      </w:pPr>
      <w:r>
        <w:rPr>
          <w:sz w:val="18"/>
        </w:rPr>
        <w:t>——————————————————————————————————————————————————————————————————————</w:t>
      </w:r>
    </w:p>
    <w:p>
      <w:pPr>
        <w:spacing w:before="160" w:after="40" w:line="240" w:lineRule="auto"/>
      </w:pPr>
      <w:r>
        <w:rPr>
          <w:b/>
        </w:rPr>
        <w:t xml:space="preserve">[584] </w:t>
      </w:r>
      <w:hyperlink r:id="rId1414">
        <w:r>
          <w:rPr>
            <w:color w:val="1155CC"/>
            <w:u w:val="single"/>
          </w:rPr>
          <w:t>未折叠的蛋白质传感器 IRE1 对于稳态树突状细胞成熟至关重要</w:t>
        </w:r>
      </w:hyperlink>
    </w:p>
    <w:p>
      <w:pPr>
        <w:spacing w:before="0" w:after="80"/>
      </w:pPr>
      <w:r>
        <w:rPr>
          <w:i/>
          <w:sz w:val="20"/>
        </w:rPr>
        <w:t>EN: The unfolded protein sensor IRE1 is essential for homeostatic dendritic cell maturation</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传统的 I 型树突状细胞 (cDC1) 在凋亡细胞吞噬后经历稳态成熟，其特点是转录因子 LXRβ 的激活，介导胆固醇流出并抑制干扰素刺激的基因表达。在这里，我们将未折叠的蛋白质反应传感器 IRE1 确定为该过程的重要调节剂。 IRE1 的缺失会损害 cDC1，但不会损害 cDC2、稳态成熟和存活。 IRE1 的激活取决于凋亡细胞的摄取和胆固醇流入，这解释了它在 cDC1 中的高基础活性。 IRE1 不是诱导典型的未折叠蛋白反应，而是触发稳态调节的 IRE1 依赖性衰变程序，该程序会降解 miR-92a-1（一种针对胆固醇流出转运蛋白 Abcg1 的 microRNA）。因此，IRE1 缺陷的 cDC1 表现出胆固醇流出受损和死亡增加，这可以通过阻断 miRNA 合成或用重组高密度脂蛋白治疗来挽救。这些发现将 IRE1 确定为 cDC1 中的胆固醇传感器，并揭示了一条与 LXR 平行的途径，可在 DC 成熟过程中协调胆固醇稳态。</w:t>
      </w:r>
    </w:p>
    <w:p>
      <w:pPr>
        <w:spacing w:before="0" w:after="200" w:lineRule="auto" w:line="276"/>
      </w:pPr>
      <w:r>
        <w:rPr>
          <w:b/>
        </w:rPr>
        <w:t xml:space="preserve">Abstract (EN): </w:t>
      </w:r>
      <w:r>
        <w:t>Conventional type I dendritic cells (cDC1s) undergo homeostatic maturation upon apoptotic cell engulfment, hallmarked by the activation of the transcription factor LXRβ, which mediates cholesterol efflux and dampens interferon-stimulated gene expression. Here, we identify the unfolded protein response sensor IRE1 as an essential regulator of this process. Loss of IRE1 impairs cDC1, but not cDC2, homeostatic maturation and survival. IRE1 activation depends on apoptotic cell uptake and cholesterol influx, explaining its high basal activity in cDC1s. Rather than inducing a canonical unfolded protein response, IRE1 triggers a steady-state regulated IRE1-dependent decay program that degrades miR-92a-1, a microRNA targeting the cholesterol-efflux transporter Abcg1. Consequently, IRE1-deficient cDC1s show impaired cholesterol efflux and increased death, which can be rescued by blocking miRNA synthesis or treatment with reconstituted high-density lipoprotein. These findings establish IRE1 as a cholesterol sensor in cDC1s and reveal a parallel pathway to LXR that coordinates cholesterol homeostasis during DC maturation.</w:t>
      </w:r>
    </w:p>
    <w:p>
      <w:pPr>
        <w:spacing w:before="120" w:after="120"/>
      </w:pPr>
      <w:r>
        <w:rPr>
          <w:sz w:val="18"/>
        </w:rPr>
        <w:t>——————————————————————————————————————————————————————————————————————</w:t>
      </w:r>
    </w:p>
    <w:p>
      <w:pPr>
        <w:spacing w:before="160" w:after="40" w:line="240" w:lineRule="auto"/>
      </w:pPr>
      <w:r>
        <w:rPr>
          <w:b/>
        </w:rPr>
        <w:t xml:space="preserve">[585] </w:t>
      </w:r>
      <w:hyperlink r:id="rId1415">
        <w:r>
          <w:rPr>
            <w:color w:val="1155CC"/>
            <w:u w:val="single"/>
          </w:rPr>
          <w:t>过渡金属二硫属化物解耦超导1H单层中的混合三线态-单线态有序参数</w:t>
        </w:r>
      </w:hyperlink>
    </w:p>
    <w:p>
      <w:pPr>
        <w:spacing w:before="0" w:after="80"/>
      </w:pPr>
      <w:r>
        <w:rPr>
          <w:i/>
          <w:sz w:val="20"/>
        </w:rPr>
        <w:t>EN: Mixed triplet-singlet order parameter in decoupled superconducting 1H monolayers of transition-metal dichalcogenides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理解非常规超导性的出现是凝聚态物理学的一个核心挑战，其中有序参数偏离简单的各向同性横波配对。一些过渡金属二硫化物（TMDC）虽然通常被认为是传统的超导体，但显示出非常规配对的特征，从而为探索奇异态如何产生提供了一个特别有趣的平台。在这里，我们研究了失配化合物 (SnS)1.15(TaS2)，这是一种由交替的 SnS 和 1H-TaS2 层组成的异质结构。利用传输、光电发射和扫描隧道光谱，我们证明 SnS 层可以有效地将 TaS2 解耦成电子隔离的 1H 片。在此极限下，1H层上的隧道态密度揭示了清晰的双能隙超导谱，Tc≃3.1 K。基于系统缺乏反演对称性和有限范围吸引力的理论模型将观察到的多能隙结构再现为混合单重态-三重态。这些结果使失配化合物成为研究孤立 1H 层中非常规超导性和在单晶内实现多个非耦合超导体的强大平台。</w:t>
      </w:r>
    </w:p>
    <w:p>
      <w:pPr>
        <w:spacing w:before="0" w:after="200" w:lineRule="auto" w:line="276"/>
      </w:pPr>
      <w:r>
        <w:rPr>
          <w:b/>
        </w:rPr>
        <w:t xml:space="preserve">Abstract (EN): </w:t>
      </w:r>
      <w:r>
        <w:t>Understanding the emergence of unconventional superconductivity, where the order parameter deviates from simple isotropic s-wave pairing, is a central challenge in condensed matter physics. Some transition-metal dichalcogenides (TMDCs), though generally regarded as conventional superconductors, display signatures of unconventional pairing and thus provide a particularly intriguing platform to explore how exotic states arise. Here we investigate the misfit compound (SnS)1.15(TaS2), a heterostructure composed of alternating SnS and 1H-TaS2 layers. Using transport, photoemission, and scanning tunneling spectroscopy, we demonstrate that the SnS layers effectively decouple the TaS2 into electronically isolated 1H sheets. In this limit, the tunneling density of states on the 1H layer reveals a clear two-gap superconducting spectrum with Tc≃3.1 K. A theoretical model based on lack of inversion symmetry of the system and finite-range attraction reproduces the observed multi-gap structure as a mixed singlet-triplet state. These results establish misfit compounds as a powerful platform for studying unconventional superconductivity in isolated 1H layers and for realizing multiple uncoupled superconductors within a single crystal.</w:t>
      </w:r>
    </w:p>
    <w:p>
      <w:pPr>
        <w:spacing w:before="120" w:after="120"/>
      </w:pPr>
      <w:r>
        <w:rPr>
          <w:sz w:val="18"/>
        </w:rPr>
        <w:t>——————————————————————————————————————————————————————————————————————</w:t>
      </w:r>
    </w:p>
    <w:p>
      <w:pPr>
        <w:spacing w:before="160" w:after="40" w:line="240" w:lineRule="auto"/>
      </w:pPr>
      <w:r>
        <w:rPr>
          <w:b/>
        </w:rPr>
        <w:t xml:space="preserve">[586] </w:t>
      </w:r>
      <w:hyperlink r:id="rId1416">
        <w:r>
          <w:rPr>
            <w:color w:val="1155CC"/>
            <w:u w:val="single"/>
          </w:rPr>
          <w:t>用于内存计算的 LuminoMem 碲器件中的超快非易失性电荷存储和中红外光致发光</w:t>
        </w:r>
      </w:hyperlink>
    </w:p>
    <w:p>
      <w:pPr>
        <w:spacing w:before="0" w:after="80"/>
      </w:pPr>
      <w:r>
        <w:rPr>
          <w:i/>
          <w:sz w:val="20"/>
        </w:rPr>
        <w:t>EN: Ultrafast non-volatile charge storage and mid-infrared photoluminescence in LuminoMem tellurium devices for in-memory computing</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集成光电系统努力将电子学的逻辑和存储密度与光子学的带宽结合起来，但低效的电子到光子接口阻碍了单片实现。当前的架构依赖于单独的读出电路和调制器，造成能量和延迟方面的瓶颈，而现有的直接换能方法通常会损害开关速度或非易失性。在这里，我们开发了一种超快、非易失性光电存储器，名为 LuminoMem，它将电存储和中红外光发射 (~ 3.4 μm) 集成在单个设备中。该器件采用浮栅架构，其中半导体碲同时充当电荷存储层和发射介质。该设计实现了非易失性光致发光的纳秒级电编程，允许直接光学访问存储的状态而无需外部调制。我们证明 LuminoMem 实现了 4 位光存储容量，并实现了高精度图像识别神经网络模拟，为共同集成光发射、内存和计算功能提供了硬件基础。</w:t>
      </w:r>
    </w:p>
    <w:p>
      <w:pPr>
        <w:spacing w:before="0" w:after="200" w:lineRule="auto" w:line="276"/>
      </w:pPr>
      <w:r>
        <w:rPr>
          <w:b/>
        </w:rPr>
        <w:t xml:space="preserve">Abstract (EN): </w:t>
      </w:r>
      <w:r>
        <w:t>Integrated optoelectronic systems strive to combine the logic and memory density of electronics with the bandwidth of photonics, but monolithic realization is impeded by the inefficient electronic-to-photonic interface. Current architectures rely on separate readout circuitry and modulators, creating bottlenecks in energy and latency, while existing direct transduction methods often compromise on switching speed or non-volatility. Here, we develop an ultrafast, non-volatile optoelectronic memory, named LuminoMem, that integrates electrical storage and mid-infrared light emission ( ~ 3.4 μm) in a single device. The device utilizes a floating-gate architecture, in which the semiconductor tellurium serves simultaneously as a charge-storage layer and an emissive medium. This design enables nanosecond-scale electrical programming of non-volatile photoluminescence, allowing direct optical access to stored states without external modulation. We demonstrate that LuminoMem achieves 4-bit optical storage capacity and enables highly accurate image-recognition neural network simulations, providing a hardware foundation that co-integrates optical emission, memory, and computing capabilities.</w:t>
      </w:r>
    </w:p>
    <w:p>
      <w:pPr>
        <w:spacing w:before="120" w:after="120"/>
      </w:pPr>
      <w:r>
        <w:rPr>
          <w:sz w:val="18"/>
        </w:rPr>
        <w:t>——————————————————————————————————————————————————————————————————————</w:t>
      </w:r>
    </w:p>
    <w:p>
      <w:pPr>
        <w:spacing w:before="160" w:after="40" w:line="240" w:lineRule="auto"/>
      </w:pPr>
      <w:r>
        <w:rPr>
          <w:b/>
        </w:rPr>
        <w:t xml:space="preserve">[587] </w:t>
      </w:r>
      <w:hyperlink r:id="rId1417">
        <w:r>
          <w:rPr>
            <w:color w:val="1155CC"/>
            <w:u w:val="single"/>
          </w:rPr>
          <w:t>硅杂环丁烷和苯并硅杂环丁烯的碱催化区域选择性C(sp3)-Si键活化</w:t>
        </w:r>
      </w:hyperlink>
    </w:p>
    <w:p>
      <w:pPr>
        <w:spacing w:before="0" w:after="80"/>
      </w:pPr>
      <w:r>
        <w:rPr>
          <w:i/>
          <w:sz w:val="20"/>
        </w:rPr>
        <w:t>EN: Base-catalyzed regioselective C(sp3)–Si bond activation of silacyclobutanes and benzosilacyclobutenes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开发绿色、可持续、环境友好的活化模型在催化化学中具有重要意义。在此，开发了一种无过渡金属和配体、碱催化的硅杂环丁烷（SCB）和苯并硅杂环丁烯（BSB）的区域选择性C（sp3）-Si键活化。该协议具有一个简单的催化系统，可以在空气气氛下顺利进行，无需惰性气体保护。各种 SCB 和 BSB 都是有效底物，还有一系列亲核试剂作为偶联伙伴。此外，该策略为各种生物活性分子的后期功能化提供了一个简单的平台，从而能够获得多种含硅四元支架。初步的机理研究表明，C-Si键断裂参与了速率决定步骤，并且氢源来自于亲核试剂。此外，所提出的机制与我们的实验结果一致，并得到 DFT 计算的进一步支持。</w:t>
      </w:r>
    </w:p>
    <w:p>
      <w:pPr>
        <w:spacing w:before="0" w:after="200" w:lineRule="auto" w:line="276"/>
      </w:pPr>
      <w:r>
        <w:rPr>
          <w:b/>
        </w:rPr>
        <w:t xml:space="preserve">Abstract (EN): </w:t>
      </w:r>
      <w:r>
        <w:t>The development of a green, sustainable, and environment-friendly activation model is of great significance in catalytic chemistry. Herein, a transition-metal- and ligand-free, base-catalyzed regioselective C(sp3)–Si bond activation of silacyclobutanes (SCBs) and benzosilacyclobutenes (BSBs) has been developed. The protocol features a simple catalytic system that proceeds smoothly under air atmosphere without requiring inert gas protection. A variety of SCBs and BSBs are competent substrates, along with a range of nucleophiles as coupling partners. Furthermore, the strategy provides a straightforward platform for the late-stage functionalization of various bioactive molecules, enabling access to diverse quaternary silicon-containing scaffolds. Preliminary mechanistic investigations indicate that the C–Si bond cleavage is involved in the rate-determining step, and the hydrogen source originates from the nucleophile. In addition, the proposed mechanism is consistent with our experimental results and further supported by DFT calculations.</w:t>
      </w:r>
    </w:p>
    <w:p>
      <w:pPr>
        <w:spacing w:before="120" w:after="120"/>
      </w:pPr>
      <w:r>
        <w:rPr>
          <w:sz w:val="18"/>
        </w:rPr>
        <w:t>——————————————————————————————————————————————————————————————————————</w:t>
      </w:r>
    </w:p>
    <w:p>
      <w:pPr>
        <w:spacing w:before="160" w:after="40" w:line="240" w:lineRule="auto"/>
      </w:pPr>
      <w:r>
        <w:rPr>
          <w:b/>
        </w:rPr>
        <w:t xml:space="preserve">[588] </w:t>
      </w:r>
      <w:hyperlink r:id="rId1418">
        <w:r>
          <w:rPr>
            <w:color w:val="1155CC"/>
            <w:u w:val="single"/>
          </w:rPr>
          <w:t>自旋三重态 UTe2 中的伪点节点超导能隙</w:t>
        </w:r>
      </w:hyperlink>
    </w:p>
    <w:p>
      <w:pPr>
        <w:spacing w:before="0" w:after="80"/>
      </w:pPr>
      <w:r>
        <w:rPr>
          <w:i/>
          <w:sz w:val="20"/>
        </w:rPr>
        <w:t>EN: Pseudo point nodal superconducting gap in spin-triplet UTe2</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UTe2 是一种非常规重费米子超导体，被讨论为自旋三重态配对的候选者。然而，关于间隙结构的相互矛盾的报告，特别是关于点节点的报告，阻碍了对阶参数对称性的理解。在这里，我们报告了高质量 UTe2 单晶的 b 轴热导率 κb/T 测量值低至约 50 mK，最终解决了间隙各向异性。当 T → 0 时，κb/T 显示可忽略不计的残余电导率，而磁场仅引起残余项的微弱增强。值得注意的是，在 H||a 的低场处观察到类似阈值的场尺度，其特征是扭结，表明垂直于场的准粒子输运的变化。高于此阈值，沿场和垂直于场的传输会产生强烈的各向异性。这些结果强烈表明，UTe2 具有带有伪点节点的完全间隙状态，其中间隙最小值接近但从未达到零，这对顺序参数和奇异配对机制施加了严格的约束。</w:t>
      </w:r>
    </w:p>
    <w:p>
      <w:pPr>
        <w:spacing w:before="0" w:after="200" w:lineRule="auto" w:line="276"/>
      </w:pPr>
      <w:r>
        <w:rPr>
          <w:b/>
        </w:rPr>
        <w:t xml:space="preserve">Abstract (EN): </w:t>
      </w:r>
      <w:r>
        <w:t>UTe2 is an unconventional heavy-fermion superconductor discussed as a candidate for spin-triplet pairing. However, conflicting reports on gap structure, particularly regarding point nodes, have hindered understanding of the order parameter symmetry. Here, we report b-axis thermal conductivity κb/T measurements on high-quality UTe2 single crystals down to ~ 50 mK that definitively resolve the gap anisotropy. κb/T shows negligible residual conductivity as T → 0, while magnetic fields induce only weak enhancement of the residual term. Remarkably, a threshold-like field scale is observed at low fields for H∥a, characterized by a kink signaling a change in quasiparticle transport normal to the field. Above this threshold, strong anisotropy develops for transport along and normal to the field. These results strongly suggest that UTe2 hosts a fully gapped state with pseudo point nodes, where the gap minima approach but never reach zero, placing strong constraints on the order parameter and exotic pairing mechanism.</w:t>
      </w:r>
    </w:p>
    <w:p>
      <w:pPr>
        <w:spacing w:before="120" w:after="120"/>
      </w:pPr>
      <w:r>
        <w:rPr>
          <w:sz w:val="18"/>
        </w:rPr>
        <w:t>——————————————————————————————————————————————————————————————————————</w:t>
      </w:r>
    </w:p>
    <w:p>
      <w:pPr>
        <w:spacing w:before="160" w:after="40" w:line="240" w:lineRule="auto"/>
      </w:pPr>
      <w:r>
        <w:rPr>
          <w:b/>
        </w:rPr>
        <w:t xml:space="preserve">[589] </w:t>
      </w:r>
      <w:hyperlink r:id="rId1419">
        <w:r>
          <w:rPr>
            <w:color w:val="1155CC"/>
            <w:u w:val="single"/>
          </w:rPr>
          <w:t>三重干扰素途径缺陷使小鼠对人类呼吸道病毒感染敏感，与人类病毒受体表达无关</w:t>
        </w:r>
      </w:hyperlink>
    </w:p>
    <w:p>
      <w:pPr>
        <w:spacing w:before="0" w:after="80"/>
      </w:pPr>
      <w:r>
        <w:rPr>
          <w:i/>
          <w:sz w:val="20"/>
        </w:rPr>
        <w:t>EN: Triple IFN pathway deficiency sensitizes mice to human respiratory virus infection independent of human viral receptor expression</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干扰素 (IFN) 通路形成了抵御病毒入侵的先天屏障，这些通路的部分缺陷会导致人类病毒感染。完整的干扰素途径缺陷是否会导致对人类病毒感染的易感性，而与人类病毒受体的表达无关，目前仍不清楚。我们开发了一种先天免疫严重缺陷的小鼠模型，命名为 AGL，其特点是一步敲除 IFNAR、IFNGR 和 IFNLR。 AGL小鼠对多种代表性人类呼吸道病毒敏感，包括55型腺病毒（HAdV-55；双链DNA）、人猴痘病毒（MPXV）IIb分支（双链DNA）、副流感病毒（PIV；负义单链RNA）和临床分离的SARS-CoV-2 delta变种（正义单链RNA）。我们的结果表明，III 型干扰素途径构成了 I 型和 II 型干扰素途径下方抗病毒前线的后备层。此外，测试 MPXV 和 PIV 抗病毒药物的概念验证研究强调了 AGL 小鼠的转化价值。 AGL 小鼠作为一种通用模型，大大增强了研究新兴病毒和既定病毒的能力，而无需定制小鼠模型。</w:t>
      </w:r>
    </w:p>
    <w:p>
      <w:pPr>
        <w:spacing w:before="0" w:after="200" w:lineRule="auto" w:line="276"/>
      </w:pPr>
      <w:r>
        <w:rPr>
          <w:b/>
        </w:rPr>
        <w:t xml:space="preserve">Abstract (EN): </w:t>
      </w:r>
      <w:r>
        <w:t>Interferon (IFN) pathways form the innate barrier against viral invasion and partial deficiency in these pathways allows human virus infection. Whether a complete IFN pathway deficiency could confer the susceptibility to human viral infection independent of expressing the human viral receptor remains unknown. We develop an innate immunity severely deficient mouse model, designated AGL, which features one-step knock-out of the IFNAR, IFNGR and IFNLR. The AGL mice become susceptible to diverse representative human respiratory viruses, including adenovirus type 55 (HAdV-55; double-stranded DNA), human monkeypox virus (MPXV) clade IIb (double-stranded DNA), parainfluenza virus (PIV; negative-sense single-stranded RNA), and the clinically isolated SARS-CoV-2 delta variant (positive-sense single-stranded RNA). Our results suggest that the type III IFN pathway constitutes a backup layer of antiviral frontline beneath the type I and II IFN pathways. In addition, proof-of-concept studies testing MPXV and PIV antivirals highlight the translational value of AGL mice. The AGL mice, as a universal model, substantially enhance the ability to investigate both emerging and established viruses without the need for tailored mouse models.</w:t>
      </w:r>
    </w:p>
    <w:p>
      <w:pPr>
        <w:spacing w:before="120" w:after="120"/>
      </w:pPr>
      <w:r>
        <w:rPr>
          <w:sz w:val="18"/>
        </w:rPr>
        <w:t>——————————————————————————————————————————————————————————————————————</w:t>
      </w:r>
    </w:p>
    <w:p>
      <w:pPr>
        <w:spacing w:before="160" w:after="40" w:line="240" w:lineRule="auto"/>
      </w:pPr>
      <w:r>
        <w:rPr>
          <w:b/>
        </w:rPr>
        <w:t xml:space="preserve">[590] </w:t>
      </w:r>
      <w:hyperlink r:id="rId1420">
        <w:r>
          <w:rPr>
            <w:color w:val="1155CC"/>
            <w:u w:val="single"/>
          </w:rPr>
          <w:t>跨平台 Hi-C 荟萃分析识别出主动阻断增强子-启动子相互作用的功能绝缘子</w:t>
        </w:r>
      </w:hyperlink>
    </w:p>
    <w:p>
      <w:pPr>
        <w:spacing w:before="0" w:after="80"/>
      </w:pPr>
      <w:r>
        <w:rPr>
          <w:i/>
          <w:sz w:val="20"/>
        </w:rPr>
        <w:t>EN: Cross-platform Hi-C meta-analysis identifies functional insulators that actively block enhancer-promoter interactions</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拓扑关联域（TAD）边界作为转录绝缘体的功能仍然是基因组生物学中的一个基本争议。在这里，我们证明真正的功能绝缘体（FIN）应该通过其阻止架构重新布线的能力来动态定义。利用 DeepLo​​op 实现强大的跨平台 Hi-C 分析，我们对急性 CTCF 或粘连蛋白耗尽后的 9 个高分辨率 3D 基因组数据集进行了荟萃分析，绘制了全基因组范围内的 FIN。我们发现 CTCF 丢失仅在几百个特定位点上触发新增强子-启动子环的可重复形成。这些环依赖于粘连蛋白，富集富含 G 的顺式调控元件，并直接驱动周期性的早期反应基因激活。多重 CTCF 位移测定在功能上证实了 FIN 在这些局部重连事件中的因果作用。至关重要的是，FIN 位于活跃的常染色质内，很少与传统的 TAD 边界重合，并且对 WAPL 耗竭敏感。我们的结果表明，基因组的功能绝缘是由这些离散的、动态的活性位点而不是静态的 TAD 边界介导的。</w:t>
      </w:r>
    </w:p>
    <w:p>
      <w:pPr>
        <w:spacing w:before="0" w:after="200" w:lineRule="auto" w:line="276"/>
      </w:pPr>
      <w:r>
        <w:rPr>
          <w:b/>
        </w:rPr>
        <w:t xml:space="preserve">Abstract (EN): </w:t>
      </w:r>
      <w:r>
        <w:t>The function of topologically associating domain (TAD) boundaries as transcriptional insulators remains a fundamental controversy in genome biology. Here, we demonstrate that bona fide Functional Insulators (FINs) should be defined dynamically by their capability to block architectural rewiring. Leveraging DeepLoop to enable robust cross-platform Hi-C analysis, we performed a meta-analysis of nine high-resolution 3D genomic datasets following acute CTCF or cohesin depletion, mapping FINs genome-wide. We show that CTCF loss triggers the reproducible formation of new enhancer-promoter loops at only a few hundred specific loci. These loops are cohesin-dependent, enriched at G-rich cis-regulatory elements, and directly drive recurrent, early-response gene activation. Multiplexed CTCF-displacement assays functionally confirmed the causal role of FINs in these localized rewiring events. Crucially, FINs reside within active euchromatin, infrequently coincide with traditional TAD boundaries, and are sensitive to WAPL depletion. Our results reveal that the genome’s functional insulation is mediated by these discrete, dynamically active sites rather than static TAD boundaries.</w:t>
      </w:r>
    </w:p>
    <w:p>
      <w:pPr>
        <w:spacing w:before="120" w:after="120"/>
      </w:pPr>
      <w:r>
        <w:rPr>
          <w:sz w:val="18"/>
        </w:rPr>
        <w:t>——————————————————————————————————————————————————————————————————————</w:t>
      </w:r>
    </w:p>
    <w:p>
      <w:pPr>
        <w:spacing w:before="160" w:after="40" w:line="240" w:lineRule="auto"/>
      </w:pPr>
      <w:r>
        <w:rPr>
          <w:b/>
        </w:rPr>
        <w:t xml:space="preserve">[591] </w:t>
      </w:r>
      <w:hyperlink r:id="rId1421">
        <w:r>
          <w:rPr>
            <w:color w:val="1155CC"/>
            <w:u w:val="single"/>
          </w:rPr>
          <w:t>从恒星到分子：人工智能引导的与设备无关的超分辨率成像</w:t>
        </w:r>
      </w:hyperlink>
    </w:p>
    <w:p>
      <w:pPr>
        <w:spacing w:before="0" w:after="80"/>
      </w:pPr>
      <w:r>
        <w:rPr>
          <w:i/>
          <w:sz w:val="20"/>
        </w:rPr>
        <w:t>EN: From stars to molecules: AI guided device-agnostic super-resolution imaging</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超分辨率成像彻底改变了从分子结构到遥远星系的系统研究。然而，现有的超分辨率方法需要对每个成像设置进行广泛的校准和重新训练，限制了它们的实际部署。我们引入了一种与设备无关的深度学习框架，用于点状发射器的超分辨率成像，无需校准数据或光学系统参数的明确知识。我们的与设备无关的建模利用涵盖广泛成像条件的多样化数值模拟数据集，从而能够跨不同光学设置进行泛化。经过训练后，该模型可以直接从单个分辨率有限的相机帧重建超分辨率图像，与最先进的方法相比，具有更高的准确性和计算效率。我们使用具有可控地面实况发射器位置的定制显微镜设置来实验验证我们的方法。我们还展示了其在恒星天文学和点状源的单分子定位显微镜数据集上的多功能性，无需先验信息即可实现高分辨率。我们的研究结果建立了一条通向通用、免校准超分辨率成像的途径，扩大了其跨科学学科的适用性。</w:t>
      </w:r>
    </w:p>
    <w:p>
      <w:pPr>
        <w:spacing w:before="0" w:after="200" w:lineRule="auto" w:line="276"/>
      </w:pPr>
      <w:r>
        <w:rPr>
          <w:b/>
        </w:rPr>
        <w:t xml:space="preserve">Abstract (EN): </w:t>
      </w:r>
      <w:r>
        <w:t>Super-resolution imaging has revolutionized the study of systems ranging from molecular structures to distant galaxies. However, existing super-resolution methods require extensive calibration and retraining for each imaging setup, limiting their practical deployment. We introduce a device-agnostic deep-learning framework for super-resolution imaging of point-like emitters that eliminates the need for calibration data or explicit knowledge of optical system parameters. Our device-agnostic modeling utilizes diverse, numerically simulated dataset encompassing a broad range of imaging conditions, enabling generalization across different optical setups. Once trained, the model reconstructs super-resolved images directly from a single resolution-limited camera frame with superior accuracy and computational efficiency compared to state-of-the-art methods. We experimentally validate our approach using a custom microscopy setup with controllable ground-truth emitter positions. We also demonstrate its versatility on stellar astronomy and single-molecule localization microscopy datasets of point-like sources, achieving high resolution without prior information. Our findings establish a pathway toward universal, calibration-free super-resolution imaging, expanding its applicability across scientific disciplines.</w:t>
      </w:r>
    </w:p>
    <w:p>
      <w:pPr>
        <w:spacing w:before="120" w:after="120"/>
      </w:pPr>
      <w:r>
        <w:rPr>
          <w:sz w:val="18"/>
        </w:rPr>
        <w:t>——————————————————————————————————————————————————————————————————————</w:t>
      </w:r>
    </w:p>
    <w:p>
      <w:pPr>
        <w:spacing w:before="160" w:after="40" w:line="240" w:lineRule="auto"/>
      </w:pPr>
      <w:r>
        <w:rPr>
          <w:b/>
        </w:rPr>
        <w:t xml:space="preserve">[592] </w:t>
      </w:r>
      <w:hyperlink r:id="rId1422">
        <w:r>
          <w:rPr>
            <w:color w:val="1155CC"/>
            <w:u w:val="single"/>
          </w:rPr>
          <w:t>湿方辉橄榄岩和干玄武岩板片组合维持板片停滞</w:t>
        </w:r>
      </w:hyperlink>
    </w:p>
    <w:p>
      <w:pPr>
        <w:spacing w:before="0" w:after="80"/>
      </w:pPr>
      <w:r>
        <w:rPr>
          <w:i/>
          <w:sz w:val="20"/>
        </w:rPr>
        <w:t>EN: Slab stagnation sustained by wet harzburgite and dry basaltic slab assemblages</w:t>
      </w:r>
    </w:p>
    <w:p>
      <w:pPr>
        <w:spacing w:before="0" w:after="120"/>
      </w:pPr>
      <w:r>
        <w:rPr>
          <w:b/>
        </w:rPr>
        <w:t xml:space="preserve">Source: </w:t>
      </w:r>
      <w:r>
        <w:t>Earth and environmental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地幔过渡区的板片停滞对于地幔动力学和地球内部的演化至关重要，但人们仍然知之甚少。在这里，我们展示的地震图像显示了欧亚大陆东北边缘附近的两个关键特征：1）板片停滞区内有一个700公里深、400公里宽的不连续面，与绝热温度约1000 K的无水玄武岩组合中的秋元石-布里奇曼石转变相匹配，2）克拉佩龙下方凹陷的660公里不连续面后尖晶石相变的斜率约 15 公里和约 10 公里，可能是由水引起的，分别位于太平洋板块前面和板片停滞区的中心。我们的矿物物理模型表明，板片停滞主要是由来自叶蜡石和方辉橄榄岩地幔中过量凹陷的浮力引发和维持的，并受到最上层下地幔中干燥玄武岩组合的浮力的帮助。</w:t>
      </w:r>
    </w:p>
    <w:p>
      <w:pPr>
        <w:spacing w:before="0" w:after="200" w:lineRule="auto" w:line="276"/>
      </w:pPr>
      <w:r>
        <w:rPr>
          <w:b/>
        </w:rPr>
        <w:t xml:space="preserve">Abstract (EN): </w:t>
      </w:r>
      <w:r>
        <w:t>Slab stagnation in the mantle transition zone is critical for the mantle dynamics and evolution of Earth’s interior but remains poorly understood. Here we present seismic images that show two key features near Eurasia’s northeastern margin: 1) a 700-km-deep, 400-km-wide discontinuity within the slab stagnation zone, matching the akimotoite-bridgmanite transition in an anhydrous basaltic assemblage at adiabatic temperature of ~ 1000 K, and 2) the 660-km discontinuity depressed below the Clapeyron slope of the post-spinel phase transition by ~ 15 and ~ 10 km, likely induced by water, respectively in front of the Pacific plate and at the center of the slab stagnation zone. Our mineral physics modeling indicates that slab stagnation is initiated and sustained predominantly by buoyancy from the excess depressions in the pyrolite and harzburgite mantle and aided by buoyancy of the dry basaltic assemblage in the uppermost lower mantle.</w:t>
      </w:r>
    </w:p>
    <w:p>
      <w:pPr>
        <w:spacing w:before="120" w:after="120"/>
      </w:pPr>
      <w:r>
        <w:rPr>
          <w:sz w:val="18"/>
        </w:rPr>
        <w:t>——————————————————————————————————————————————————————————————————————</w:t>
      </w:r>
    </w:p>
    <w:p>
      <w:pPr>
        <w:spacing w:before="160" w:after="40" w:line="240" w:lineRule="auto"/>
      </w:pPr>
      <w:r>
        <w:rPr>
          <w:b/>
        </w:rPr>
        <w:t xml:space="preserve">[593] </w:t>
      </w:r>
      <w:hyperlink r:id="rId1423">
        <w:r>
          <w:rPr>
            <w:color w:val="1155CC"/>
            <w:u w:val="single"/>
          </w:rPr>
          <w:t>通过表面锚定的 Mo3S7 纳米团簇调节 MXene 中的非平衡电子-声子相互作用和能量弛豫</w:t>
        </w:r>
      </w:hyperlink>
    </w:p>
    <w:p>
      <w:pPr>
        <w:spacing w:before="0" w:after="80"/>
      </w:pPr>
      <w:r>
        <w:rPr>
          <w:i/>
          <w:sz w:val="20"/>
        </w:rPr>
        <w:t>EN: Modulating nonequilibrium electron–phonon interactions and energy relaxation in MXenes by surface-anchored Mo3S7 nanoclusters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电子-声子 (e-ph) 相互作用控制 MXene 的光致非平衡动力学，决定热载流子弛豫和寄生热积累。然而，通过化学控制以及机械理解来有意调节这些相互作用的策略仍未得到充分探索。在这里，我们证明了通过表面锚定的 Mo3S7 纳米团簇对 Ti3C2Tx MXene 中非平衡 e-ph 相互作用的有效调节，这引入了与内在 e-ph 弛豫竞争的快速能量收集途径。使用温和的配体取代，Mo3S7 纳米团簇通过 Mo 中心和 O 末端之间的配位键密集且均匀地锚定在 Ti3C2TX 上。飞秒瞬态吸收和光泵太赫兹探针光谱揭示了超快、低于 100 fs 的非热电子和/或能量提取，效率从 1.55 eV 时的约 28.6% 增加到 3.88 eV 时的约 38.2%。这种与激发能量相关的增强是通过改进 Ti3C2TX 中的热电子与 Mo3S7 的导带流形之间的能量对准来实现的。非热电子的竞争性耗尽会抑制相干 A1g 声子激发，从而减少有效的 e-ph 相互作用。我们的研究为调节 MXene 中的 e-ph 相互作用、推进下一代光电器件中的热载流子弛豫和热管理提供了可行的策略。</w:t>
      </w:r>
    </w:p>
    <w:p>
      <w:pPr>
        <w:spacing w:before="0" w:after="200" w:lineRule="auto" w:line="276"/>
      </w:pPr>
      <w:r>
        <w:rPr>
          <w:b/>
        </w:rPr>
        <w:t xml:space="preserve">Abstract (EN): </w:t>
      </w:r>
      <w:r>
        <w:t>Electron–phonon (e–ph) interactions govern photoinduced nonequilibrium dynamics of MXenes, determining hot-carrier relaxation and parasitic heat accumulation. However, strategies to deliberately modulate these interactions through chemical control, together with mechanistic understanding, remain underexplored. Here, we demonstrate the effective modulation of nonequilibrium e–ph interactions in Ti3C2Tx MXene via surface-anchored Mo3S7 nanoclusters, which introduce a rapid energy harvesting pathway competing with intrinsic e–ph relaxation. Using mild ligand substitution, Mo3S7 nanoclusters are densely and homogenously anchored onto Ti3C2Tx via coordination bonding between Mo centers and O-terminations. Femtosecond transient absorption and optical-pump terahertz-probe spectroscopy reveal an ultrafast, sub-100 fs nonthermal electron and/or energy extraction, with efficiency increasing from ~28.6 % at 1.55 eV to ~38.2 % at 3.88 eV. This excitation-energy-dependent enhancement is enabled by improved energetic alignment between hot electrons in Ti3C2Tx and the conduction-band manifold of Mo3S7. The competitive depletion of nonthermal electrons suppresses coherent A1g phonon excitation, reducing effective e–ph interactions. Our study offers a viable strategy for modulating e–ph interactions in MXenes, advancing hot carrier relaxation and thermal management in next-generation optoelectronic devices.</w:t>
      </w:r>
    </w:p>
    <w:p>
      <w:pPr>
        <w:spacing w:before="120" w:after="120"/>
      </w:pPr>
      <w:r>
        <w:rPr>
          <w:sz w:val="18"/>
        </w:rPr>
        <w:t>——————————————————————————————————————————————————————————————————————</w:t>
      </w:r>
    </w:p>
    <w:p>
      <w:pPr>
        <w:spacing w:before="160" w:after="40" w:line="240" w:lineRule="auto"/>
      </w:pPr>
      <w:r>
        <w:rPr>
          <w:b/>
        </w:rPr>
        <w:t xml:space="preserve">[594] </w:t>
      </w:r>
      <w:hyperlink r:id="rId1424">
        <w:r>
          <w:rPr>
            <w:color w:val="1155CC"/>
            <w:u w:val="single"/>
          </w:rPr>
          <w:t>城市和城郊环境中全球 RNA 病毒组的多样性和独特特征</w:t>
        </w:r>
      </w:hyperlink>
    </w:p>
    <w:p>
      <w:pPr>
        <w:spacing w:before="0" w:after="80"/>
      </w:pPr>
      <w:r>
        <w:rPr>
          <w:i/>
          <w:sz w:val="20"/>
        </w:rPr>
        <w:t>EN: Diversity and distinctive characteristics of the global RNA virome in urban and peri-urban environments</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RNA 病毒是人类相关环境和人类健康的一个组成部分。然而，环境 RNA 病毒的生态学在很大程度上仍未得到探索。在这里，我们分析了从 31 个国家的 102 个城市的城市和周边环境（包括人口稠密的环境（例如交通枢纽、医院、银行）以及城郊环境）收集的 2922 个宏转录组样本，并构建了城市和城郊 RNA 病毒图谱 (UPVAtlas)，其中包含 54,945 个 RNA 病毒，其中 77% 以前从未观察到过。基于 UPVAtlas 的 RNA 依赖性 RNA 聚合酶的系统发育重建极大地扩展了 RNA 病毒的进化多样性，导致鉴定出两个潜在的候选门、一个候选类和几个未分类的进化枝。宿主关联分析进一步揭示了环境 RNA 病毒的生态复杂性，脊椎动物相关病毒和 ESKAPE 病原体相关病毒的多样性强调了持续监测城市环境以跟踪 RNA 病毒流行和动态的重要性，这与未来的公共卫生直接相关。</w:t>
      </w:r>
    </w:p>
    <w:p>
      <w:pPr>
        <w:spacing w:before="0" w:after="200" w:lineRule="auto" w:line="276"/>
      </w:pPr>
      <w:r>
        <w:rPr>
          <w:b/>
        </w:rPr>
        <w:t xml:space="preserve">Abstract (EN): </w:t>
      </w:r>
      <w:r>
        <w:t>RNA viruses represent an integral component of human-associated environments and human health. However, the ecology of environmental RNA viruses remains largely unexplored. Here, we analyzed 2922 metatranscriptomic samples collected from urban and surrounding environments—including human-dense settings (e.g., transit hubs, hospitals, banks), alongside peri-urban settings — across 102 cities in 31 countries and constructed the Urban &amp; Peri-urban RNA Virus Atlas (UPVAtlas), comprising 54,945 RNA viruses, 77% of which had not been previously observed. Phylogenetic reconstruction based on RNA-dependent RNA polymerases from UPVAtlas greatly expanded the evolutionary diversity of RNA viruses, leading to the identification of two potential candidate phyla, one candidate class, and several unclassified clades. Host association analyses further revealed the ecological complexity of environmental RNA viruses, with the diversity of vertebrate-related and ESKAPE pathogen-related viruses underscoring the importance of continued monitoring of urban environments for tracking RNA viral prevalence and dynamics, with direct relevance to future public health.</w:t>
      </w:r>
    </w:p>
    <w:p>
      <w:pPr>
        <w:spacing w:before="120" w:after="120"/>
      </w:pPr>
      <w:r>
        <w:rPr>
          <w:sz w:val="18"/>
        </w:rPr>
        <w:t>——————————————————————————————————————————————————————————————————————</w:t>
      </w:r>
    </w:p>
    <w:p>
      <w:pPr>
        <w:spacing w:before="160" w:after="40" w:line="240" w:lineRule="auto"/>
      </w:pPr>
      <w:r>
        <w:rPr>
          <w:b/>
        </w:rPr>
        <w:t xml:space="preserve">[595] </w:t>
      </w:r>
      <w:hyperlink r:id="rId1425">
        <w:r>
          <w:rPr>
            <w:color w:val="1155CC"/>
            <w:u w:val="single"/>
          </w:rPr>
          <w:t>抑制辐射衰变增强单光子发射器</w:t>
        </w:r>
      </w:hyperlink>
    </w:p>
    <w:p>
      <w:pPr>
        <w:spacing w:before="0" w:after="80"/>
      </w:pPr>
      <w:r>
        <w:rPr>
          <w:i/>
          <w:sz w:val="20"/>
        </w:rPr>
        <w:t>EN: Inhibited radiative decay enhances single-photon emitters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量子网络和模块化量子计算机需要高效的自旋光子接口，通常使用光学谐振器来实现，以增强所需跃迁时的辐射衰减。然而，这需要小模式体积和高品质因数，这限制了复用容量并需要精确的频率调谐。在这里，我们展示了一种绕过这些升级瓶颈的替代方法。使用具有定制光子带隙的 W1 硅光子晶体波导，我们有选择地抑制不需要的衰减路径，从而将发射重定向到所需的跃迁。这使得能够在大频率范围内进行高效的光子收集，从而实现数十种铒掺杂剂的分辨率和单独寻址。与散装材料相比，它们的使用寿命得以保留，甚至延长。该器件的扩展模式体积可以使用较低的掺杂剂浓度，从而提高发射极相干性。我们的方法可以与 Purcell 增强相结合，并应用于其他自旋量子位平台，为光子量子技术开辟了有趣的前景。</w:t>
      </w:r>
    </w:p>
    <w:p>
      <w:pPr>
        <w:spacing w:before="0" w:after="200" w:lineRule="auto" w:line="276"/>
      </w:pPr>
      <w:r>
        <w:rPr>
          <w:b/>
        </w:rPr>
        <w:t xml:space="preserve">Abstract (EN): </w:t>
      </w:r>
      <w:r>
        <w:t>Quantum networks and modular quantum computers require efficient spin-photon interfaces, often realized using optical resonators that enhance radiative decay on a desired transition. However, this requires small mode volumes and high quality factors, which limits multiplexing capacity and demands precise frequency tuning. Here, we demonstrate an alternative approach that circumvents these bottlenecks for upscaling. Using a W1 silicon photonic-crystal waveguide with a tailored photonic bandgap, we selectively inhibit unwanted decay pathways, thereby redirecting emission to the desired transition. This enables efficient photon collection over a large frequency range, allowing the resolution and individual addressing of tens of erbium dopants. Their lifetimes are preserved, or even increased, compared to bulk material. The extended mode volume of the devices enables the use of lower dopant concentrations, thereby improving emitter coherence. Our approach can be combined with Purcell enhancement and applied to other spin-qubit platforms, opening intriguing perspectives for photonic quantum technologies.</w:t>
      </w:r>
    </w:p>
    <w:p>
      <w:pPr>
        <w:spacing w:before="120" w:after="120"/>
      </w:pPr>
      <w:r>
        <w:rPr>
          <w:sz w:val="18"/>
        </w:rPr>
        <w:t>——————————————————————————————————————————————————————————————————————</w:t>
      </w:r>
    </w:p>
    <w:p>
      <w:pPr>
        <w:spacing w:before="160" w:after="40" w:line="240" w:lineRule="auto"/>
      </w:pPr>
      <w:r>
        <w:rPr>
          <w:b/>
        </w:rPr>
        <w:t xml:space="preserve">[596] </w:t>
      </w:r>
      <w:hyperlink r:id="rId1426">
        <w:r>
          <w:rPr>
            <w:color w:val="1155CC"/>
            <w:u w:val="single"/>
          </w:rPr>
          <w:t>由气盘消散引发的偶发性星子破坏</w:t>
        </w:r>
      </w:hyperlink>
    </w:p>
    <w:p>
      <w:pPr>
        <w:spacing w:before="0" w:after="80"/>
      </w:pPr>
      <w:r>
        <w:rPr>
          <w:i/>
          <w:sz w:val="20"/>
        </w:rPr>
        <w:t>EN: Episodic planetesimal disruptions triggered by dissipation of gas disk</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高速碰撞中会发生星子的灾难性破坏。对陨石中记录的星子破坏事件进行的放射性同位素测年证实，太阳系前 10 迈尔频繁发生灾难性碰撞，反映了当时的暴力环境。然而，星云气体可以抑制星子的偏心率并抑制星子碰撞的频率。需要激发原行星盘的强大动力学机制。在这里，我们表明，由星云气体耗散引起的木星和土星的广泛长期共振，与木星的平均运动共振一起，可以引发大量灾难性碰撞，当长期共振处于2-3个天文单位时，这种碰撞会偶尔发生，并在此后继续。气体消散完成后，灾难性碰撞的频率降低，行星胚胎的散射成为碰撞的主要驱动力。我们的结果表明，在星云消散过程中，由长期和平均运动共振激发的剧烈环境在原行星盘中可能普遍存在。</w:t>
      </w:r>
    </w:p>
    <w:p>
      <w:pPr>
        <w:spacing w:before="0" w:after="200" w:lineRule="auto" w:line="276"/>
      </w:pPr>
      <w:r>
        <w:rPr>
          <w:b/>
        </w:rPr>
        <w:t xml:space="preserve">Abstract (EN): </w:t>
      </w:r>
      <w:r>
        <w:t>Catastrophic disruptions of planetesimals occur in high-velocity collisions. Radioisotope dating of planetesimal disruption events recorded in meteorites confirms frequent catastrophic collisions in the first 10 Myr of the Solar System, reflecting a violent environment of the time. However, the nebula gas can damp the eccentricity of planetesimals and suppress the frequency of planetesimal collisions. Strong dynamical mechanisms that excited the protoplanetary disk are required. Here we show that the sweeping secular resonances of Jupiter and Saturn induced by the nebular gas dissipation, together with the mean motion resonances of Jupiter, can trigger a large number of catastrophic collisions, which occur episodically when the secular resonances are at 2–3 astronomical units and continue thereafter. After the gas dissipation completes, catastrophic collisions decrease in frequency, with scattering by planetary embryos becoming the major driving force of the collisions. Our results suggest that the violent environment excited by secular and mean motion resonances can be ubiquitous in protoplanetary disks during nebula dissipation.</w:t>
      </w:r>
    </w:p>
    <w:p>
      <w:pPr>
        <w:spacing w:before="120" w:after="120"/>
      </w:pPr>
      <w:r>
        <w:rPr>
          <w:sz w:val="18"/>
        </w:rPr>
        <w:t>——————————————————————————————————————————————————————————————————————</w:t>
      </w:r>
    </w:p>
    <w:p>
      <w:pPr>
        <w:spacing w:before="160" w:after="40" w:line="240" w:lineRule="auto"/>
      </w:pPr>
      <w:r>
        <w:rPr>
          <w:b/>
        </w:rPr>
        <w:t xml:space="preserve">[597] </w:t>
      </w:r>
      <w:hyperlink r:id="rId1427">
        <w:r>
          <w:rPr>
            <w:color w:val="1155CC"/>
            <w:u w:val="single"/>
          </w:rPr>
          <w:t>圆柱体中的手性填料对约束变形极其敏感</w:t>
        </w:r>
      </w:hyperlink>
    </w:p>
    <w:p>
      <w:pPr>
        <w:spacing w:before="0" w:after="80"/>
      </w:pPr>
      <w:r>
        <w:rPr>
          <w:i/>
          <w:sz w:val="20"/>
        </w:rPr>
        <w:t>EN: Chiral packings in cylinders are ultrasensitive to confinement deformation</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圆柱体中的球体堆积引起了广泛的研究兴趣，其中手性螺旋结构的发现是最具标志性的。然而，最近在斑马鱼上的实验结果与已知的圆柱体堆积结构不匹配。为了解释生物管的固有缺陷，我们将椭圆柱作为圆柱体的典型变形，并通过模拟、理论和实验研究其中硬球的最密堆积。从圆柱体中的手性结构开始，我们证明即使是微弱的横截面变形也可以触发全新的相，包括消除全局手性或显着使手性结构复杂化的相。这揭示了柱面各向异性的显着影响。各向异性约束下的新螺旋相保持手性并发展分层周期结构，这些结构很难通过模拟获得，但可以通过我们新开发的椭圆柱螺旋相理论预测。该理论还预测了没有手性的双振荡链相，这与模拟完全匹配。我们的工作为理解各向异性圆柱体中的填料提供了新的见解，这将有助于研究人员设计新材料并了解许多生命系统。</w:t>
      </w:r>
    </w:p>
    <w:p>
      <w:pPr>
        <w:spacing w:before="0" w:after="200" w:lineRule="auto" w:line="276"/>
      </w:pPr>
      <w:r>
        <w:rPr>
          <w:b/>
        </w:rPr>
        <w:t xml:space="preserve">Abstract (EN): </w:t>
      </w:r>
      <w:r>
        <w:t>Sphere packings in circular cylinders have attracted substantial research interest, among which the discovery of chiral helical structures is the most iconic. However, recent experimental results on zebrafish do not match the known packing structures in circular cylinders. To account for the inherent imperfections of biological tubes, we take elliptic cylinders as the canonical deformation of circular cylinders and investigate the densest packings of hard spheres in them using simulation, theory, and experiments. Starting from the chiral structures in circular cylinders, we demonstrate that even a weak cross-sectional deformation can trigger entirely new phases, including ones that either eliminate global chirality or significantly complicate the chiral structures. This reveals the significant effect of cylindrical anisotropy. The new helical phases under anisotropic confinement remain chiral and develop hierarchical periodic structures, which are difficult to obtain by simulations but are predicted by our newly developed theory for helical phases in elliptic cylinders. The theory also predicts double oscillated-chain phases without chirality, which perfectly match the simulations. Our work offers fresh insights into understanding packings in anisotropic cylinders, which will help researchers to design new materials and to understand many living systems.</w:t>
      </w:r>
    </w:p>
    <w:p>
      <w:pPr>
        <w:spacing w:before="120" w:after="120"/>
      </w:pPr>
      <w:r>
        <w:rPr>
          <w:sz w:val="18"/>
        </w:rPr>
        <w:t>——————————————————————————————————————————————————————————————————————</w:t>
      </w:r>
    </w:p>
    <w:p>
      <w:pPr>
        <w:spacing w:before="160" w:after="40" w:line="240" w:lineRule="auto"/>
      </w:pPr>
      <w:r>
        <w:rPr>
          <w:b/>
        </w:rPr>
        <w:t xml:space="preserve">[598] </w:t>
      </w:r>
      <w:hyperlink r:id="rId1428">
        <w:r>
          <w:rPr>
            <w:color w:val="1155CC"/>
            <w:u w:val="single"/>
          </w:rPr>
          <w:t>解剖学上真实的产前皮质折叠发育的生物物理模型</w:t>
        </w:r>
      </w:hyperlink>
    </w:p>
    <w:p>
      <w:pPr>
        <w:spacing w:before="0" w:after="80"/>
      </w:pPr>
      <w:r>
        <w:rPr>
          <w:i/>
          <w:sz w:val="20"/>
        </w:rPr>
        <w:t>EN: Biophysical modeling of anatomically realistic prenatal cortical folding development</w:t>
      </w:r>
    </w:p>
    <w:p>
      <w:pPr>
        <w:spacing w:before="0" w:after="120"/>
      </w:pPr>
      <w:r>
        <w:rPr>
          <w:b/>
        </w:rPr>
        <w:t xml:space="preserve">Source: </w:t>
      </w:r>
      <w:r>
        <w:t>Biological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皮质褶皱编码了人类认知的结构，但将光滑的胎儿皮质转变为复杂的几何形状的机制仍然难以捉摸。生物物理建模能够对皮质形态发生进行机械洞察，但现有模型往往缺乏解剖学真实性，并且无法捕捉人类大脑发育中动态皮质折叠的关键特征和形态测量。在这里，我们介绍了一个全脑发育框架，该框架将特定区域、数据驱动的生长规律与解剖学上真实的皮质几何结构相结合，以实现妊娠期间皮质形态发生的生物学可解释的建模。来自大规模产前磁共振成像数据的生长场捕获了分割区域的皮质扩张和厚度的时空变化。结合异质生长产生的折叠模式与人体成像的关键解剖标志和定量形态测量相匹配。几何形状和生长属性的系统扰动描绘了控制参数，这些参数产生真实的形态变异性并复制与无脑畸形、厚脑回和多小脑回一致的临床非典型大脑表型。该框架为阐明典型和非典型胎儿大脑发育的机制提供了定量基础。</w:t>
      </w:r>
    </w:p>
    <w:p>
      <w:pPr>
        <w:spacing w:before="0" w:after="200" w:lineRule="auto" w:line="276"/>
      </w:pPr>
      <w:r>
        <w:rPr>
          <w:b/>
        </w:rPr>
        <w:t xml:space="preserve">Abstract (EN): </w:t>
      </w:r>
      <w:r>
        <w:t>Cortical folds encode the architecture of human cognition, yet the mechanisms that transform the smooth fetal cortex into its convoluted geometry remain elusive. Biophysical modeling enables mechanistic insight into cortical morphogenesis, but existing models often lack anatomical realism and fail to capture key hallmarks and morphometrics of dynamic cortical folding in the developing human brain. Here, we introduce a whole-brain developmental framework that integrates region-specific, data-driven growth laws with anatomically realistic cortical geometry to enable biologically interpretable modeling of cortical morphogenesis during gestation. Growth fields derived from large-scale prenatal magnetic resonance imaging data capture spatiotemporal variations in cortical expansion and thickness across parcellated regions. Incorporating heterogeneous growth yields folding patterns that match key anatomical landmarks and quantitative morphometrics from human imaging. Systematic perturbations of geometry and growth attributes delineate control parameters that produce realistic morphological variability and replicate clinically atypical brain phenotypes consistent with lissencephaly, pachygyria, and polymicrogyria. This framework provides a quantitative foundation for elucidating the mechanisms of typical and atypical fetal brain development.</w:t>
      </w:r>
    </w:p>
    <w:p>
      <w:pPr>
        <w:spacing w:before="120" w:after="120"/>
      </w:pPr>
      <w:r>
        <w:rPr>
          <w:sz w:val="18"/>
        </w:rPr>
        <w:t>——————————————————————————————————————————————————————————————————————</w:t>
      </w:r>
    </w:p>
    <w:p>
      <w:pPr>
        <w:spacing w:before="160" w:after="40" w:line="240" w:lineRule="auto"/>
      </w:pPr>
      <w:r>
        <w:rPr>
          <w:b/>
        </w:rPr>
        <w:t xml:space="preserve">[599] </w:t>
      </w:r>
      <w:hyperlink r:id="rId1429">
        <w:r>
          <w:rPr>
            <w:color w:val="1155CC"/>
            <w:u w:val="single"/>
          </w:rPr>
          <w:t>用于声学和电磁学动态控制的双物理可编程超表面</w:t>
        </w:r>
      </w:hyperlink>
    </w:p>
    <w:p>
      <w:pPr>
        <w:spacing w:before="0" w:after="80"/>
      </w:pPr>
      <w:r>
        <w:rPr>
          <w:i/>
          <w:sz w:val="20"/>
        </w:rPr>
        <w:t>EN: Dual-physics programmable metasurfaces for dynamical controls of acoustics and electromagnetics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可编程超表面通过在亚波长尺度上动态调整波与物质的相互作用，为现代声学和电磁技术带来了新的机遇。由于声波和电磁波的物理特性和调谐机制的差异，当前的可编程超表面通常仅操纵一种类型的波，而对两种波的并发和可编程控制仍然难以捉摸。在这里，我们提出了一种双物理可编程超表面，能够同时、独立和动态地操纵声波和电磁波。所提出的超表面由 324 个微电机驱动元件组成，这些元件可单独寻址和无线控制。每个元件可以通过动态几何旋转实现声波和电磁波的1位反射相位调制，从而使超表面能够实现声波和电磁功能的按需和解耦重构。通过同时实现本地音频增强和射频中继通信以及声电磁双通道信息伪装，展示了超表面的有趣特征。这项工作为未来基于超表面的多物理无线通信和信息安全提供了重大前景。</w:t>
      </w:r>
    </w:p>
    <w:p>
      <w:pPr>
        <w:spacing w:before="0" w:after="200" w:lineRule="auto" w:line="276"/>
      </w:pPr>
      <w:r>
        <w:rPr>
          <w:b/>
        </w:rPr>
        <w:t xml:space="preserve">Abstract (EN): </w:t>
      </w:r>
      <w:r>
        <w:t>Programmable metasurfaces bring new opportunities for modern acoustic and electromagnetic technologies by dynamically tailoring wave-matter interactions at subwavelength scales. Due to differences in physical properties and tuning mechanisms of acoustic and electromagnetic waves, current programmable metasurfaces typically manipulate only one type of wave, while concurrent and programmable controls of both waves remain elusive. Here, we propose a dual-physics programmable metasurface capable of simultaneous, independent and dynamic manipulations of acoustic and electromagnetic waves. The presented metasurface consists of 324 micromotor-driven elements that are individually addressable and wirelessly controlled. Each element can achieve 1-bit reflection phase modulation of both acoustic and electromagnetic waves by dynamic geometric rotation, allowing the metasurface to realize on-demand and decoupled reconfiguration of acoustic and electromagnetic functionalities. The intriguing features of the metasurface are demonstrated by simultaneously achieving local audio enhancement and radio-frequency relay communications, as well as acoustic-electromagnetic dual-channel information camouflage. This work offers significant promise for future metasurface-based multi-physics wireless communications and information security.</w:t>
      </w:r>
    </w:p>
    <w:p>
      <w:pPr>
        <w:spacing w:before="120" w:after="120"/>
      </w:pPr>
      <w:r>
        <w:rPr>
          <w:sz w:val="18"/>
        </w:rPr>
        <w:t>——————————————————————————————————————————————————————————————————————</w:t>
      </w:r>
    </w:p>
    <w:p>
      <w:pPr>
        <w:spacing w:before="160" w:after="40" w:line="240" w:lineRule="auto"/>
      </w:pPr>
      <w:r>
        <w:rPr>
          <w:b/>
        </w:rPr>
        <w:t xml:space="preserve">[600] </w:t>
      </w:r>
      <w:hyperlink r:id="rId1430">
        <w:r>
          <w:rPr>
            <w:color w:val="1155CC"/>
            <w:u w:val="single"/>
          </w:rPr>
          <w:t>用于活性氯电合成的 Ti4O7 应变诱导刻面</w:t>
        </w:r>
      </w:hyperlink>
    </w:p>
    <w:p>
      <w:pPr>
        <w:spacing w:before="0" w:after="80"/>
      </w:pPr>
      <w:r>
        <w:rPr>
          <w:i/>
          <w:sz w:val="20"/>
        </w:rPr>
        <w:t>EN: Strain-induced faceting of Ti4O7 for active chlorine electrosynthesis</w:t>
      </w:r>
    </w:p>
    <w:p>
      <w:pPr>
        <w:spacing w:before="0" w:after="120"/>
      </w:pPr>
      <w:r>
        <w:rPr>
          <w:b/>
        </w:rPr>
        <w:t xml:space="preserve">Source: </w:t>
      </w:r>
      <w:r>
        <w:t>Earth and environmental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活性氯等大宗化学品的电合成取决于最具反应性的晶面，但这些晶面在晶体生长过程中通常在热力学上不利。在这里，我们提出了一种将3D打印与电场诱导相结合的刻面策略，以重新定向三斜Ti4O7，通过存储和释放应变能来促进晶体的择优生长，实现从（1 − 2 0）到高能（0 2 − 2）的主导面转变。这种转变触发活性位点从原始 (1 − 2 0) 面上的 O 切换到重新取向的 (0 2 − 2) 面上的 Ti，极大地将活性氯的生成速率提高到与基准尺寸稳定阳极相当的水平 (0.19 mg·min−1·cm−2)，同时抑制寄生水活化。流经式反应器在 2.9–8.9 s 内达到 0.33–0.35 mg·min−1·cm−2 的高活性氯生成率，优于工业尺寸稳定的阳极。这种应变诱导刻面方法建立了可控晶体重新取向的通用范例，并强调了 3D 打印扩展先进催化系统刻面工程的潜力。</w:t>
      </w:r>
    </w:p>
    <w:p>
      <w:pPr>
        <w:spacing w:before="0" w:after="200" w:lineRule="auto" w:line="276"/>
      </w:pPr>
      <w:r>
        <w:rPr>
          <w:b/>
        </w:rPr>
        <w:t xml:space="preserve">Abstract (EN): </w:t>
      </w:r>
      <w:r>
        <w:t>Electrosynthesis of bulk chemicals such as active chlorine depends on the most reactive crystal facets, yet these facets are often thermodynamically disfavored during crystal growth. Here, we present a faceting strategy that integrates 3D printing with electric field inducement to reorient triclinic Ti4O7, realizing a dominant facet transition from (1 − 2 0) to high-energy (0 2 − 2) by storing and releasing strain energy to promote the preferential growth of crystal. Such transition trigger active site switching from O on pristine (1 − 2 0) facet to Ti on the reoriented (0 2 − 2) facet, greatly boosting the active chlorine generation rate to a comparable level (0.19 mg·min−1·cm−2) to benchmark dimensionally-stable anodes while suppressing parasitic water activation. A flow-by reactor reaches high active chlorine generation rates of 0.33–0.35 mg·min−1·cm−2 within 2.9–8.9 s, outperforming industrial dimensionally-stable anodes. This strain-induced faceting approach establishes a general paradigm for controllable crystal reorientation and underscores the potential of 3D printing to expand facet engineering for advanced catalytic systems.</w:t>
      </w:r>
    </w:p>
    <w:p>
      <w:pPr>
        <w:spacing w:before="120" w:after="120"/>
      </w:pPr>
      <w:r>
        <w:rPr>
          <w:sz w:val="18"/>
        </w:rPr>
        <w:t>——————————————————————————————————————————————————————————————————————</w:t>
      </w:r>
    </w:p>
    <w:p>
      <w:pPr>
        <w:spacing w:before="160" w:after="40" w:line="240" w:lineRule="auto"/>
      </w:pPr>
      <w:r>
        <w:rPr>
          <w:b/>
        </w:rPr>
        <w:t xml:space="preserve">[601] </w:t>
      </w:r>
      <w:hyperlink r:id="rId1431">
        <w:r>
          <w:rPr>
            <w:color w:val="1155CC"/>
            <w:u w:val="single"/>
          </w:rPr>
          <w:t>波长级抗噪声片上光谱仪</w:t>
        </w:r>
      </w:hyperlink>
    </w:p>
    <w:p>
      <w:pPr>
        <w:spacing w:before="0" w:after="80"/>
      </w:pPr>
      <w:r>
        <w:rPr>
          <w:i/>
          <w:sz w:val="20"/>
        </w:rPr>
        <w:t>EN: Wavelength-scale noise-resistant on-chip spectrometer</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高性能片上光谱仪对于推进从环境监测到生物医学诊断的传感技术非常重要。随着设备占地面积接近工作波长的规模，以前的策略，包括那些依赖于扩散介质中的多重散射的策略，由于有限的光路长度和对噪声敏感的随机传输矩阵而面临基本的精度限制。在这里，我们展示了一种波长级、CMOS 兼容的片上光谱仪，它通过在复杂光子谐振器中利用逆向设计的准正规模式来克服这些挑战。这些模式将有效光路长度延伸到物理设备尺寸之外，产生高度去相关的光谱响应。我们证明，这种策略在理论上是在存在噪声的情况下最小化谱重建误差的最佳策略。所制造的光谱仪占用的横向足迹仅为自由空间工作波长的3.5倍，在3590-3760 nm中红外波段光谱分辨率为10 nm，适用于各种分子传感。这种小型化抗噪声光谱仪的设计很容易扩展到电磁频谱的其他部分，为芯片实验室设备、化学传感器和其他应用铺平了道路。</w:t>
      </w:r>
    </w:p>
    <w:p>
      <w:pPr>
        <w:spacing w:before="0" w:after="200" w:lineRule="auto" w:line="276"/>
      </w:pPr>
      <w:r>
        <w:rPr>
          <w:b/>
        </w:rPr>
        <w:t xml:space="preserve">Abstract (EN): </w:t>
      </w:r>
      <w:r>
        <w:t>Performant on-chip spectrometers are important for advancing sensing technologies, from environmental monitoring to biomedical diagnostics. As device footprints approach the scale of the operating wavelength, previous strategies, including those relying on multiple scattering in diffusive media, face fundamental accuracy constraints due to limited optical path lengths and noise-sensitive random transmission matrices. Here, we demonstrate a wavelength-scale, CMOS-compatible on-chip spectrometer that overcomes the challenges by exploiting inverse-designed quasinormal modes in a complex photonic resonator. These modes extend the effective optical path length beyond the physical device dimensions, producing highly decorrelated spectral responses. We show that this strategy is theoretically optimal for minimizing spectral reconstruction error in the presence of noise. The fabricated spectrometer occupies a lateral footprint of only 3.5 times the free-space operating wavelength, with a spectral resolution of 10 nm across the 3590-3760 nm mid-infrared band, which is suitable for various molecular sensing. The design of this miniaturized noise-resistant spectrometer is readily extensible to other portions of the electromagnetic spectrum, paving the way for lab-on-a-chip devices, chemical sensors, and other applications.</w:t>
      </w:r>
    </w:p>
    <w:p>
      <w:pPr>
        <w:spacing w:before="120" w:after="120"/>
      </w:pPr>
      <w:r>
        <w:rPr>
          <w:sz w:val="18"/>
        </w:rPr>
        <w:t>——————————————————————————————————————————————————————————————————————</w:t>
      </w:r>
    </w:p>
    <w:p>
      <w:pPr>
        <w:spacing w:before="160" w:after="40" w:line="240" w:lineRule="auto"/>
      </w:pPr>
      <w:r>
        <w:rPr>
          <w:b/>
        </w:rPr>
        <w:t xml:space="preserve">[602] </w:t>
      </w:r>
      <w:hyperlink r:id="rId1432">
        <w:r>
          <w:rPr>
            <w:color w:val="1155CC"/>
            <w:u w:val="single"/>
          </w:rPr>
          <w:t>胺/铵缓冲能够实现烯烃与烷基胺的有效反马尔可夫尼科夫氢胺化</w:t>
        </w:r>
      </w:hyperlink>
    </w:p>
    <w:p>
      <w:pPr>
        <w:spacing w:before="0" w:after="80"/>
      </w:pPr>
      <w:r>
        <w:rPr>
          <w:i/>
          <w:sz w:val="20"/>
        </w:rPr>
        <w:t>EN: Amine/ammonium buffering enables efficient anti-Markovnikov hydroamination of olefins with alkylamines</w:t>
      </w:r>
    </w:p>
    <w:p>
      <w:pPr>
        <w:spacing w:before="0" w:after="120"/>
      </w:pPr>
      <w:r>
        <w:rPr>
          <w:b/>
        </w:rPr>
        <w:t xml:space="preserve">Source: </w:t>
      </w:r>
      <w:r>
        <w:t>Physical sciences : Nature Communications subject feeds</w:t>
      </w:r>
      <w:r>
        <w:t xml:space="preserve">    </w:t>
      </w:r>
      <w:r>
        <w:rPr>
          <w:b/>
        </w:rPr>
        <w:t xml:space="preserve">Pub date: </w:t>
      </w:r>
      <w:r>
        <w:t>2026-07-16 00:00:00+00:00</w:t>
      </w:r>
    </w:p>
    <w:p>
      <w:pPr>
        <w:spacing w:before="0" w:after="120"/>
      </w:pPr>
      <w:r>
        <w:rPr>
          <w:b/>
        </w:rPr>
        <w:t xml:space="preserve">Notes: </w:t>
      </w:r>
      <w:r>
        <w:t>abstract_source=nature_html</w:t>
      </w:r>
    </w:p>
    <w:p>
      <w:pPr>
        <w:spacing w:before="0" w:after="80" w:lineRule="auto" w:line="276"/>
      </w:pPr>
      <w:r>
        <w:rPr>
          <w:b/>
        </w:rPr>
        <w:t xml:space="preserve">摘要（ZH）: </w:t>
      </w:r>
      <w:r>
        <w:t>烯烃的氢胺化代表了合成化学中从丰富的起始材料直接构建烷基胺的一种非常理想且强大的策略。然而，用烷基胺对未活化的烯烃进行反马尔可夫尼科夫氢胺化通常需要过量的烯烃，这显着限制了其在合成中的一般用途，特别是对于复杂且昂贵的烯烃。此外，当使用 α-手性烷基胺作为偶联配偶体时，会发生显着的对映体纯度侵蚀。在此，我们通过在光催化条件下开发胺/铵缓冲系统来提出解决这些挑战的解决方案。该策略的关键是减轻所涉及的铵自由基阳离子中间体的去质子化，该中间体是通过相关烷基胺底物的单电子氧化形成的，确保其有效加成到烯烃中。该反应在接近化学计量的烯烃与胺比率下有效进行，同时保持良好的产率。该方法表现出显着的官能团耐受性，允许复杂烯烃的后期修饰和气态烯烃的加氢胺化，并且在α-手性烷基胺的转化中很大程度上保留了立体化学保真度。</w:t>
      </w:r>
    </w:p>
    <w:p>
      <w:pPr>
        <w:spacing w:before="0" w:after="200" w:lineRule="auto" w:line="276"/>
      </w:pPr>
      <w:r>
        <w:rPr>
          <w:b/>
        </w:rPr>
        <w:t xml:space="preserve">Abstract (EN): </w:t>
      </w:r>
      <w:r>
        <w:t>The hydroamination of alkenes represents a highly desirable and powerful strategy in synthetic chemistry for the direct construction of alkylamines from abundant starting materials. However, excess alkenes are typically required for anti-Markovnikov hydroamination of unactivated alkenes with alkylamines, significantly limiting its general utility in synthesis, especially for complex and expensive alkenes. In addition, significant enantiopurity erosion occurs when using α-chiral alkylamines as coupling partner. Herein, we present a solution to these challenges by developing an amine/ammonium buffering system under photocatalytic conditions. Key to this strategy is mitigating deprotonation of the involved aminium radical cation intermediate, formed through single electron oxidation of the associated alkylamine substrate, ensuring its effective addition to alkenes. The reaction works efficiently at a near-stoichiometric olefin-to-amine ratio while maintaining good yields. The method exhibits remarkable functional group tolerance, allows late-stage modification of complex alkenes and hydroamination of gaseous alkene, and largely preserves stereochemical fidelity in transformation of α-chiral alkylamine.</w:t>
      </w:r>
    </w:p>
    <w:p>
      <w:pPr>
        <w:spacing w:before="120" w:after="120"/>
      </w:pPr>
      <w:r>
        <w:rPr>
          <w:sz w:val="18"/>
        </w:rPr>
        <w:t>——————————————————————————————————————————————————————————————————————</w:t>
      </w:r>
    </w:p>
    <w:p>
      <w:pPr>
        <w:spacing w:before="160" w:after="40" w:line="240" w:lineRule="auto"/>
      </w:pPr>
      <w:r>
        <w:rPr>
          <w:b/>
        </w:rPr>
        <w:t xml:space="preserve">[603] </w:t>
      </w:r>
      <w:hyperlink r:id="rId1433">
        <w:r>
          <w:rPr>
            <w:color w:val="1155CC"/>
            <w:u w:val="single"/>
          </w:rPr>
          <w:t>斯堪的纳维亚雷达阵列将探测极光之谜</w:t>
        </w:r>
      </w:hyperlink>
    </w:p>
    <w:p>
      <w:pPr>
        <w:spacing w:before="0" w:after="80"/>
      </w:pPr>
      <w:r>
        <w:rPr>
          <w:i/>
          <w:sz w:val="20"/>
        </w:rPr>
        <w:t>EN: Scandinavian radar array will probe mysteries of the aurora</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34">
        <w:r>
          <w:rPr>
            <w:color w:val="1155CC"/>
            <w:u w:val="single"/>
          </w:rPr>
          <w:t>10.1126/science.aek5958</w:t>
        </w:r>
      </w:hyperlink>
    </w:p>
    <w:p>
      <w:pPr>
        <w:spacing w:before="0" w:after="120"/>
      </w:pPr>
      <w:r>
        <w:rPr>
          <w:b/>
        </w:rPr>
        <w:t xml:space="preserve">Notes: </w:t>
      </w:r>
      <w:r>
        <w:t>abstract_source=crossref</w:t>
      </w:r>
    </w:p>
    <w:p>
      <w:pPr>
        <w:spacing w:before="0" w:after="80" w:lineRule="auto" w:line="276"/>
      </w:pPr>
      <w:r>
        <w:rPr>
          <w:b/>
        </w:rPr>
        <w:t xml:space="preserve">摘要（ZH）: </w:t>
      </w:r>
      <w:r>
        <w:t>EISCAT_3D 将描绘出受太阳爆发扰动的高层大气的新图景</w:t>
      </w:r>
    </w:p>
    <w:p>
      <w:pPr>
        <w:spacing w:before="0" w:after="200" w:lineRule="auto" w:line="276"/>
      </w:pPr>
      <w:r>
        <w:rPr>
          <w:b/>
        </w:rPr>
        <w:t xml:space="preserve">Abstract (EN): </w:t>
      </w:r>
      <w:r>
        <w:t>EISCAT_3D will paint a new picture of the upper atmosphere as it is roiled by solar outbursts</w:t>
      </w:r>
    </w:p>
    <w:p>
      <w:pPr>
        <w:spacing w:before="120" w:after="120"/>
      </w:pPr>
      <w:r>
        <w:rPr>
          <w:sz w:val="18"/>
        </w:rPr>
        <w:t>——————————————————————————————————————————————————————————————————————</w:t>
      </w:r>
    </w:p>
    <w:p>
      <w:pPr>
        <w:spacing w:before="160" w:after="40" w:line="240" w:lineRule="auto"/>
      </w:pPr>
      <w:r>
        <w:rPr>
          <w:b/>
        </w:rPr>
        <w:t xml:space="preserve">[604] </w:t>
      </w:r>
      <w:hyperlink r:id="rId1435">
        <w:r>
          <w:rPr>
            <w:color w:val="1155CC"/>
            <w:u w:val="single"/>
          </w:rPr>
          <w:t>科学出版中的人工智能：更慢、更糟糕、更昂贵</w:t>
        </w:r>
      </w:hyperlink>
    </w:p>
    <w:p>
      <w:pPr>
        <w:spacing w:before="0" w:after="80"/>
      </w:pPr>
      <w:r>
        <w:rPr>
          <w:i/>
          <w:sz w:val="20"/>
        </w:rPr>
        <w:t>EN: AI in scientific publishing: Slower, worse, and more expensive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36">
        <w:r>
          <w:rPr>
            <w:color w:val="1155CC"/>
            <w:u w:val="single"/>
          </w:rPr>
          <w:t>10.1126/science.aek5570</w:t>
        </w:r>
      </w:hyperlink>
    </w:p>
    <w:p>
      <w:pPr>
        <w:spacing w:before="0" w:after="120"/>
      </w:pPr>
      <w:r>
        <w:rPr>
          <w:b/>
        </w:rPr>
        <w:t xml:space="preserve">Notes: </w:t>
      </w:r>
      <w:r>
        <w:t>abstract_source=crossref</w:t>
      </w:r>
    </w:p>
    <w:p>
      <w:pPr>
        <w:spacing w:before="0" w:after="80" w:lineRule="auto" w:line="276"/>
      </w:pPr>
      <w:r>
        <w:rPr>
          <w:b/>
        </w:rPr>
        <w:t xml:space="preserve">摘要（ZH）: </w:t>
      </w:r>
      <w:r>
        <w:t>在管理界有一种说法，由 NASA 局长 Daniel Goldin 在 20 世纪 90 年代流行起来，即技术改进的目标是让产品更快、更好、更便宜。尽管这一战略在航空航天业取得了一些成功，但人工智能（AI）的狂热者一直在就它将如何改变工作方式提出同样的论点，声称只需要很少的人类努力，人类就会进入一个极其丰富的时代，没有疾病、苦役和危险，以及其他好处，让社会有更多的时间进行创造性的追求。但历史讲述了一个不同的故事。当机器在第二次工业革命期间开始提高生产力时，美国工程师 Frederick Winslow Taylor 的</w:t>
      </w:r>
      <w:r>
        <w:t xml:space="preserve"> </w:t>
      </w:r>
      <w:r>
        <w:t>科学管理的原则</w:t>
      </w:r>
      <w:r>
        <w:t xml:space="preserve"> </w:t>
      </w:r>
      <w:r>
        <w:t>鼓励企业利用监督来让员工更加努力、更长时间地工作，这种做法会让员工精疲力尽、灰心丧气，并导致知识和任何决策从员工转移到管理层，同时只为高层人员带来利润。然而，它仍然是美国经济企业的基础。事实上，随着人工智能的插入，科学出版开始经历一些泰勒主义。由于出版商努力维护科学记录的完整性，对人工智能生成的研究论文进行严格的人工检查正在造成瓶颈。挑战在于需要更多的人力，使得整个工作变得更慢、成本更高。</w:t>
      </w:r>
    </w:p>
    <w:p>
      <w:pPr>
        <w:spacing w:before="0" w:after="200" w:lineRule="auto" w:line="276"/>
      </w:pPr>
      <w:r>
        <w:rPr>
          <w:b/>
        </w:rPr>
        <w:t xml:space="preserve">Abstract (EN): </w:t>
      </w:r>
      <w:r>
        <w:t>There’s a saying in the management world, popularized by NASA administrator Daniel Goldin in the 1990s, that the goal of technological improvements is to make products faster, better, and cheaper. Although this strategy had some success in the aerospace industry, the zealots of artificial intelligence (AI) have been making the same argument regarding how it will transform work, claiming that so little human effort will be required that humanity will enter an era of radical abundance, free from disease, drudgery, and danger, among other benefits, leaving society with more time for creative pursuits. But history tells a different story. When machines began to increase productivity during the second industrial revolution, American engineer Frederick Winslow Taylor’s</w:t>
      </w:r>
      <w:r>
        <w:t xml:space="preserve"> </w:t>
      </w:r>
      <w:r>
        <w:t>The Principles of Scientific Management</w:t>
      </w:r>
      <w:r>
        <w:t xml:space="preserve"> </w:t>
      </w:r>
      <w:r>
        <w:t>encouraged corporations to use surveillance to get employees to work harder and longer, an approach that exhausted and discouraged workers and led to the transfer of knowledge and any decision-making from workers to management, while enriching the profits for only those at the top. Yet, it remains foundational to the American economic enterprise. Indeed, scientific publishing is starting to experience some Taylorism with the insertion of AI. Rigorous human checking of AI-generated research papers is creating bottlenecks as publishers strive to maintain the integrity of the scientific record. The challenge is requiring even more human effort, making the whole endeavor slower and more expensive.</w:t>
      </w:r>
    </w:p>
    <w:p>
      <w:pPr>
        <w:spacing w:before="120" w:after="120"/>
      </w:pPr>
      <w:r>
        <w:rPr>
          <w:sz w:val="18"/>
        </w:rPr>
        <w:t>——————————————————————————————————————————————————————————————————————</w:t>
      </w:r>
    </w:p>
    <w:p>
      <w:pPr>
        <w:spacing w:before="160" w:after="40" w:line="240" w:lineRule="auto"/>
      </w:pPr>
      <w:r>
        <w:rPr>
          <w:b/>
        </w:rPr>
        <w:t xml:space="preserve">[605] </w:t>
      </w:r>
      <w:hyperlink r:id="rId1437">
        <w:r>
          <w:rPr>
            <w:color w:val="1155CC"/>
            <w:u w:val="single"/>
          </w:rPr>
          <w:t>在一场数十亿美元的赌博中，美国国家科学基金会押注于具有经济回报的研究</w:t>
        </w:r>
      </w:hyperlink>
    </w:p>
    <w:p>
      <w:pPr>
        <w:spacing w:before="0" w:after="80"/>
      </w:pPr>
      <w:r>
        <w:rPr>
          <w:i/>
          <w:sz w:val="20"/>
        </w:rPr>
        <w:t>EN: In a billion-dollar gamble, NSF bets on research with an economic payoff</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38">
        <w:r>
          <w:rPr>
            <w:color w:val="1155CC"/>
            <w:u w:val="single"/>
          </w:rPr>
          <w:t>10.1126/science.aek5956</w:t>
        </w:r>
      </w:hyperlink>
    </w:p>
    <w:p>
      <w:pPr>
        <w:spacing w:before="0" w:after="120"/>
      </w:pPr>
      <w:r>
        <w:rPr>
          <w:b/>
        </w:rPr>
        <w:t xml:space="preserve">Notes: </w:t>
      </w:r>
      <w:r>
        <w:t>abstract_source=crossref</w:t>
      </w:r>
    </w:p>
    <w:p>
      <w:pPr>
        <w:spacing w:before="0" w:after="80" w:lineRule="auto" w:line="276"/>
      </w:pPr>
      <w:r>
        <w:rPr>
          <w:b/>
        </w:rPr>
        <w:t xml:space="preserve">摘要（ZH）: </w:t>
      </w:r>
      <w:r>
        <w:t>新的 X-Labs 计划旨在开发突破性技术，但学术界不确定它们是否受欢迎</w:t>
      </w:r>
    </w:p>
    <w:p>
      <w:pPr>
        <w:spacing w:before="0" w:after="200" w:lineRule="auto" w:line="276"/>
      </w:pPr>
      <w:r>
        <w:rPr>
          <w:b/>
        </w:rPr>
        <w:t xml:space="preserve">Abstract (EN): </w:t>
      </w:r>
      <w:r>
        <w:t>New X-Labs initiative aims to develop breakthrough technologies—but academics aren’t sure they are welcome</w:t>
      </w:r>
    </w:p>
    <w:p>
      <w:pPr>
        <w:spacing w:before="120" w:after="120"/>
      </w:pPr>
      <w:r>
        <w:rPr>
          <w:sz w:val="18"/>
        </w:rPr>
        <w:t>——————————————————————————————————————————————————————————————————————</w:t>
      </w:r>
    </w:p>
    <w:p>
      <w:pPr>
        <w:spacing w:before="160" w:after="40" w:line="240" w:lineRule="auto"/>
      </w:pPr>
      <w:r>
        <w:rPr>
          <w:b/>
        </w:rPr>
        <w:t xml:space="preserve">[606] </w:t>
      </w:r>
      <w:hyperlink r:id="rId1439">
        <w:r>
          <w:rPr>
            <w:color w:val="1155CC"/>
            <w:u w:val="single"/>
          </w:rPr>
          <w:t>美国国家科学基金会禁止几乎所有与中国的研究合作</w:t>
        </w:r>
      </w:hyperlink>
    </w:p>
    <w:p>
      <w:pPr>
        <w:spacing w:before="0" w:after="80"/>
      </w:pPr>
      <w:r>
        <w:rPr>
          <w:i/>
          <w:sz w:val="20"/>
        </w:rPr>
        <w:t>EN: NSF bans almost all research collaborations with China</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40">
        <w:r>
          <w:rPr>
            <w:color w:val="1155CC"/>
            <w:u w:val="single"/>
          </w:rPr>
          <w:t>10.1126/science.aek5957</w:t>
        </w:r>
      </w:hyperlink>
    </w:p>
    <w:p>
      <w:pPr>
        <w:spacing w:before="0" w:after="120"/>
      </w:pPr>
      <w:r>
        <w:rPr>
          <w:b/>
        </w:rPr>
        <w:t xml:space="preserve">Notes: </w:t>
      </w:r>
      <w:r>
        <w:t>abstract_source=crossref</w:t>
      </w:r>
    </w:p>
    <w:p>
      <w:pPr>
        <w:spacing w:before="0" w:after="80" w:lineRule="auto" w:line="276"/>
      </w:pPr>
      <w:r>
        <w:rPr>
          <w:b/>
        </w:rPr>
        <w:t xml:space="preserve">摘要（ZH）: </w:t>
      </w:r>
      <w:r>
        <w:t>该机构放弃降低风险的尝试，转而彻底禁止与大多数中国研究机构合作</w:t>
      </w:r>
    </w:p>
    <w:p>
      <w:pPr>
        <w:spacing w:before="0" w:after="200" w:lineRule="auto" w:line="276"/>
      </w:pPr>
      <w:r>
        <w:rPr>
          <w:b/>
        </w:rPr>
        <w:t xml:space="preserve">Abstract (EN): </w:t>
      </w:r>
      <w:r>
        <w:t>Agency drops attempt to mitigate risk in favor of outright prohibition on working with most Chinese research institutions</w:t>
      </w:r>
    </w:p>
    <w:p>
      <w:pPr>
        <w:spacing w:before="120" w:after="120"/>
      </w:pPr>
      <w:r>
        <w:rPr>
          <w:sz w:val="18"/>
        </w:rPr>
        <w:t>——————————————————————————————————————————————————————————————————————</w:t>
      </w:r>
    </w:p>
    <w:p>
      <w:pPr>
        <w:spacing w:before="160" w:after="40" w:line="240" w:lineRule="auto"/>
      </w:pPr>
      <w:r>
        <w:rPr>
          <w:b/>
        </w:rPr>
        <w:t xml:space="preserve">[607] </w:t>
      </w:r>
      <w:hyperlink r:id="rId1441">
        <w:r>
          <w:rPr>
            <w:color w:val="1155CC"/>
            <w:u w:val="single"/>
          </w:rPr>
          <w:t>恢复你的声音</w:t>
        </w:r>
      </w:hyperlink>
    </w:p>
    <w:p>
      <w:pPr>
        <w:spacing w:before="0" w:after="80"/>
      </w:pPr>
      <w:r>
        <w:rPr>
          <w:i/>
          <w:sz w:val="20"/>
        </w:rPr>
        <w:t>EN: Regaining your voice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42">
        <w:r>
          <w:rPr>
            <w:color w:val="1155CC"/>
            <w:u w:val="single"/>
          </w:rPr>
          <w:t>10.1126/science.aeh4797</w:t>
        </w:r>
      </w:hyperlink>
    </w:p>
    <w:p>
      <w:pPr>
        <w:spacing w:before="0" w:after="120"/>
      </w:pPr>
      <w:r>
        <w:rPr>
          <w:b/>
        </w:rPr>
        <w:t xml:space="preserve">Notes: </w:t>
      </w:r>
      <w:r>
        <w:t>abstract_source=crossref</w:t>
      </w:r>
    </w:p>
    <w:p>
      <w:pPr>
        <w:spacing w:before="0" w:after="80" w:lineRule="auto" w:line="276"/>
      </w:pPr>
      <w:r>
        <w:rPr>
          <w:b/>
        </w:rPr>
        <w:t xml:space="preserve">摘要（ZH）: </w:t>
      </w:r>
      <w:r>
        <w:t>AI语音神经假体可以在神经损伤后恢复日常交流</w:t>
      </w:r>
    </w:p>
    <w:p>
      <w:pPr>
        <w:spacing w:before="0" w:after="200" w:lineRule="auto" w:line="276"/>
      </w:pPr>
      <w:r>
        <w:rPr>
          <w:b/>
        </w:rPr>
        <w:t xml:space="preserve">Abstract (EN): </w:t>
      </w:r>
      <w:r>
        <w:t>AI speech neuroprostheses can restore day-to-day communication after neurological injury</w:t>
      </w:r>
    </w:p>
    <w:p>
      <w:pPr>
        <w:spacing w:before="120" w:after="120"/>
      </w:pPr>
      <w:r>
        <w:rPr>
          <w:sz w:val="18"/>
        </w:rPr>
        <w:t>——————————————————————————————————————————————————————————————————————</w:t>
      </w:r>
    </w:p>
    <w:p>
      <w:pPr>
        <w:spacing w:before="160" w:after="40" w:line="240" w:lineRule="auto"/>
      </w:pPr>
      <w:r>
        <w:rPr>
          <w:b/>
        </w:rPr>
        <w:t xml:space="preserve">[608] </w:t>
      </w:r>
      <w:hyperlink r:id="rId1443">
        <w:r>
          <w:rPr>
            <w:color w:val="1155CC"/>
            <w:u w:val="single"/>
          </w:rPr>
          <w:t>杀死树木的甲虫正在蔓延到世界各地的城市森林</w:t>
        </w:r>
      </w:hyperlink>
    </w:p>
    <w:p>
      <w:pPr>
        <w:spacing w:before="0" w:after="80"/>
      </w:pPr>
      <w:r>
        <w:rPr>
          <w:i/>
          <w:sz w:val="20"/>
        </w:rPr>
        <w:t>EN: Tree-killing beetle is spreading to urban forests around the world</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44">
        <w:r>
          <w:rPr>
            <w:color w:val="1155CC"/>
            <w:u w:val="single"/>
          </w:rPr>
          <w:t>10.1126/science.aek5960</w:t>
        </w:r>
      </w:hyperlink>
    </w:p>
    <w:p>
      <w:pPr>
        <w:spacing w:before="0" w:after="120"/>
      </w:pPr>
      <w:r>
        <w:rPr>
          <w:b/>
        </w:rPr>
        <w:t xml:space="preserve">Notes: </w:t>
      </w:r>
      <w:r>
        <w:t>abstract_source=crossref</w:t>
      </w:r>
    </w:p>
    <w:p>
      <w:pPr>
        <w:spacing w:before="0" w:after="80" w:lineRule="auto" w:line="276"/>
      </w:pPr>
      <w:r>
        <w:rPr>
          <w:b/>
        </w:rPr>
        <w:t xml:space="preserve">摘要（ZH）: </w:t>
      </w:r>
      <w:r>
        <w:t>当研究人员拼凑出这种害虫的全球足迹时，各国正在努力遏制日益严重的威胁</w:t>
      </w:r>
    </w:p>
    <w:p>
      <w:pPr>
        <w:spacing w:before="0" w:after="200" w:lineRule="auto" w:line="276"/>
      </w:pPr>
      <w:r>
        <w:rPr>
          <w:b/>
        </w:rPr>
        <w:t xml:space="preserve">Abstract (EN): </w:t>
      </w:r>
      <w:r>
        <w:t>As researchers piece together the pest’s global trek, countries are working to contain the growing threat</w:t>
      </w:r>
    </w:p>
    <w:p>
      <w:pPr>
        <w:spacing w:before="120" w:after="120"/>
      </w:pPr>
      <w:r>
        <w:rPr>
          <w:sz w:val="18"/>
        </w:rPr>
        <w:t>——————————————————————————————————————————————————————————————————————</w:t>
      </w:r>
    </w:p>
    <w:p>
      <w:pPr>
        <w:spacing w:before="160" w:after="40" w:line="240" w:lineRule="auto"/>
      </w:pPr>
      <w:r>
        <w:rPr>
          <w:b/>
        </w:rPr>
        <w:t xml:space="preserve">[609] </w:t>
      </w:r>
      <w:hyperlink r:id="rId1445">
        <w:r>
          <w:rPr>
            <w:color w:val="1155CC"/>
            <w:u w:val="single"/>
          </w:rPr>
          <w:t>Therabot 现在会见你</w:t>
        </w:r>
      </w:hyperlink>
    </w:p>
    <w:p>
      <w:pPr>
        <w:spacing w:before="0" w:after="80"/>
      </w:pPr>
      <w:r>
        <w:rPr>
          <w:i/>
          <w:sz w:val="20"/>
        </w:rPr>
        <w:t>EN: The Therabot will see you now</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46">
        <w:r>
          <w:rPr>
            <w:color w:val="1155CC"/>
            <w:u w:val="single"/>
          </w:rPr>
          <w:t>10.1126/science.aeh4808</w:t>
        </w:r>
      </w:hyperlink>
    </w:p>
    <w:p>
      <w:pPr>
        <w:spacing w:before="0" w:after="120"/>
      </w:pPr>
      <w:r>
        <w:rPr>
          <w:b/>
        </w:rPr>
        <w:t xml:space="preserve">Notes: </w:t>
      </w:r>
      <w:r>
        <w:t>abstract_source=crossref</w:t>
      </w:r>
    </w:p>
    <w:p>
      <w:pPr>
        <w:spacing w:before="0" w:after="80" w:lineRule="auto" w:line="276"/>
      </w:pPr>
      <w:r>
        <w:rPr>
          <w:b/>
        </w:rPr>
        <w:t xml:space="preserve">摘要（ZH）: </w:t>
      </w:r>
      <w:r>
        <w:t>生成人工智能可以扩展精确的循证心理治疗</w:t>
      </w:r>
    </w:p>
    <w:p>
      <w:pPr>
        <w:spacing w:before="0" w:after="200" w:lineRule="auto" w:line="276"/>
      </w:pPr>
      <w:r>
        <w:rPr>
          <w:b/>
        </w:rPr>
        <w:t xml:space="preserve">Abstract (EN): </w:t>
      </w:r>
      <w:r>
        <w:t>Generative artificial intelligence can scale precision evidence-based psychotherapy</w:t>
      </w:r>
    </w:p>
    <w:p>
      <w:pPr>
        <w:spacing w:before="120" w:after="120"/>
      </w:pPr>
      <w:r>
        <w:rPr>
          <w:sz w:val="18"/>
        </w:rPr>
        <w:t>——————————————————————————————————————————————————————————————————————</w:t>
      </w:r>
    </w:p>
    <w:p>
      <w:pPr>
        <w:spacing w:before="160" w:after="40" w:line="240" w:lineRule="auto"/>
      </w:pPr>
      <w:r>
        <w:rPr>
          <w:b/>
        </w:rPr>
        <w:t xml:space="preserve">[610] </w:t>
      </w:r>
      <w:hyperlink r:id="rId1447">
        <w:r>
          <w:rPr>
            <w:color w:val="1155CC"/>
            <w:u w:val="single"/>
          </w:rPr>
          <w:t>一条不确定的道路</w:t>
        </w:r>
      </w:hyperlink>
    </w:p>
    <w:p>
      <w:pPr>
        <w:spacing w:before="0" w:after="80"/>
      </w:pPr>
      <w:r>
        <w:rPr>
          <w:i/>
          <w:sz w:val="20"/>
        </w:rPr>
        <w:t>EN: An uncertain path</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48">
        <w:r>
          <w:rPr>
            <w:color w:val="1155CC"/>
            <w:u w:val="single"/>
          </w:rPr>
          <w:t>10.1126/science.aek5962</w:t>
        </w:r>
      </w:hyperlink>
    </w:p>
    <w:p>
      <w:pPr>
        <w:spacing w:before="0" w:after="120"/>
      </w:pPr>
      <w:r>
        <w:rPr>
          <w:b/>
        </w:rPr>
        <w:t xml:space="preserve">Notes: </w:t>
      </w:r>
      <w:r>
        <w:t>abstract_source=crossref</w:t>
      </w:r>
    </w:p>
    <w:p>
      <w:pPr>
        <w:spacing w:before="0" w:after="80" w:lineRule="auto" w:line="276"/>
      </w:pPr>
      <w:r>
        <w:rPr>
          <w:b/>
        </w:rPr>
        <w:t xml:space="preserve">摘要（ZH）: </w:t>
      </w:r>
      <w:r>
        <w:t>在经历 2025 年的冲击之后，马拉维正在重新考虑其与外国援助的关系，并试图保护在孕产妇健康方面取得的巨大成果</w:t>
      </w:r>
    </w:p>
    <w:p>
      <w:pPr>
        <w:spacing w:before="0" w:after="200" w:lineRule="auto" w:line="276"/>
      </w:pPr>
      <w:r>
        <w:rPr>
          <w:b/>
        </w:rPr>
        <w:t xml:space="preserve">Abstract (EN): </w:t>
      </w:r>
      <w:r>
        <w:t>After the shocks of 2025, Malawi is rethinking its relationship to foreign aid—and trying to protect dramatic gains in maternal health</w:t>
      </w:r>
    </w:p>
    <w:p>
      <w:pPr>
        <w:spacing w:before="120" w:after="120"/>
      </w:pPr>
      <w:r>
        <w:rPr>
          <w:sz w:val="18"/>
        </w:rPr>
        <w:t>——————————————————————————————————————————————————————————————————————</w:t>
      </w:r>
    </w:p>
    <w:p>
      <w:pPr>
        <w:spacing w:before="160" w:after="40" w:line="240" w:lineRule="auto"/>
      </w:pPr>
      <w:r>
        <w:rPr>
          <w:b/>
        </w:rPr>
        <w:t xml:space="preserve">[611] </w:t>
      </w:r>
      <w:hyperlink r:id="rId1449">
        <w:r>
          <w:rPr>
            <w:color w:val="1155CC"/>
            <w:u w:val="single"/>
          </w:rPr>
          <w:t>美国研究人员对联邦拨款管理的拟议改革表示愤怒</w:t>
        </w:r>
      </w:hyperlink>
    </w:p>
    <w:p>
      <w:pPr>
        <w:spacing w:before="0" w:after="80"/>
      </w:pPr>
      <w:r>
        <w:rPr>
          <w:i/>
          <w:sz w:val="20"/>
        </w:rPr>
        <w:t>EN: U.S. researchers express outrage over proposed changes to managing federal grants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50">
        <w:r>
          <w:rPr>
            <w:color w:val="1155CC"/>
            <w:u w:val="single"/>
          </w:rPr>
          <w:t>10.1126/science.aek5959</w:t>
        </w:r>
      </w:hyperlink>
    </w:p>
    <w:p>
      <w:pPr>
        <w:spacing w:before="0" w:after="120"/>
      </w:pPr>
      <w:r>
        <w:rPr>
          <w:b/>
        </w:rPr>
        <w:t xml:space="preserve">Notes: </w:t>
      </w:r>
      <w:r>
        <w:t>abstract_source=crossref</w:t>
      </w:r>
    </w:p>
    <w:p>
      <w:pPr>
        <w:spacing w:before="0" w:after="80" w:lineRule="auto" w:line="276"/>
      </w:pPr>
      <w:r>
        <w:rPr>
          <w:b/>
        </w:rPr>
        <w:t xml:space="preserve">摘要（ZH）: </w:t>
      </w:r>
      <w:r>
        <w:t>白宫收到 34 万条关于许多人担心会将科学政治化的规则的评论</w:t>
      </w:r>
    </w:p>
    <w:p>
      <w:pPr>
        <w:spacing w:before="0" w:after="200" w:lineRule="auto" w:line="276"/>
      </w:pPr>
      <w:r>
        <w:rPr>
          <w:b/>
        </w:rPr>
        <w:t xml:space="preserve">Abstract (EN): </w:t>
      </w:r>
      <w:r>
        <w:t>White House receives 340,000 comments on rules many fear would politicize science</w:t>
      </w:r>
    </w:p>
    <w:p>
      <w:pPr>
        <w:spacing w:before="120" w:after="120"/>
      </w:pPr>
      <w:r>
        <w:rPr>
          <w:sz w:val="18"/>
        </w:rPr>
        <w:t>——————————————————————————————————————————————————————————————————————</w:t>
      </w:r>
    </w:p>
    <w:p>
      <w:pPr>
        <w:spacing w:before="160" w:after="40" w:line="240" w:lineRule="auto"/>
      </w:pPr>
      <w:r>
        <w:rPr>
          <w:b/>
        </w:rPr>
        <w:t xml:space="preserve">[612] </w:t>
      </w:r>
      <w:hyperlink r:id="rId1451">
        <w:r>
          <w:rPr>
            <w:color w:val="1155CC"/>
            <w:u w:val="single"/>
          </w:rPr>
          <w:t>随着北极变暖，灰鲸的繁荣变成了萧条</w:t>
        </w:r>
      </w:hyperlink>
    </w:p>
    <w:p>
      <w:pPr>
        <w:spacing w:before="0" w:after="80"/>
      </w:pPr>
      <w:r>
        <w:rPr>
          <w:i/>
          <w:sz w:val="20"/>
        </w:rPr>
        <w:t>EN: As the Arctic warms, gray whale boom turns into a bust</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52">
        <w:r>
          <w:rPr>
            <w:color w:val="1155CC"/>
            <w:u w:val="single"/>
          </w:rPr>
          <w:t>10.1126/science.aek5955</w:t>
        </w:r>
      </w:hyperlink>
    </w:p>
    <w:p>
      <w:pPr>
        <w:spacing w:before="0" w:after="120"/>
      </w:pPr>
      <w:r>
        <w:rPr>
          <w:b/>
        </w:rPr>
        <w:t xml:space="preserve">Notes: </w:t>
      </w:r>
      <w:r>
        <w:t>abstract_source=crossref</w:t>
      </w:r>
    </w:p>
    <w:p>
      <w:pPr>
        <w:spacing w:before="0" w:after="80" w:lineRule="auto" w:line="276"/>
      </w:pPr>
      <w:r>
        <w:rPr>
          <w:b/>
        </w:rPr>
        <w:t xml:space="preserve">摘要（ZH）: </w:t>
      </w:r>
      <w:r>
        <w:t>科学家指出，这些变化危及海洋哺乳动物的关键觅食地</w:t>
      </w:r>
    </w:p>
    <w:p>
      <w:pPr>
        <w:spacing w:before="0" w:after="200" w:lineRule="auto" w:line="276"/>
      </w:pPr>
      <w:r>
        <w:rPr>
          <w:b/>
        </w:rPr>
        <w:t xml:space="preserve">Abstract (EN): </w:t>
      </w:r>
      <w:r>
        <w:t>Scientists point to changes that jeopardize the marine mammals’ critical feeding grounds</w:t>
      </w:r>
    </w:p>
    <w:p>
      <w:pPr>
        <w:spacing w:before="120" w:after="120"/>
      </w:pPr>
      <w:r>
        <w:rPr>
          <w:sz w:val="18"/>
        </w:rPr>
        <w:t>——————————————————————————————————————————————————————————————————————</w:t>
      </w:r>
    </w:p>
    <w:p>
      <w:pPr>
        <w:spacing w:before="160" w:after="40" w:line="240" w:lineRule="auto"/>
      </w:pPr>
      <w:r>
        <w:rPr>
          <w:b/>
        </w:rPr>
        <w:t xml:space="preserve">[613] </w:t>
      </w:r>
      <w:hyperlink r:id="rId1453">
        <w:r>
          <w:rPr>
            <w:color w:val="1155CC"/>
            <w:u w:val="single"/>
          </w:rPr>
          <w:t>重编程合成</w:t>
        </w:r>
      </w:hyperlink>
    </w:p>
    <w:p>
      <w:pPr>
        <w:spacing w:before="0" w:after="80"/>
      </w:pPr>
      <w:r>
        <w:rPr>
          <w:i/>
          <w:sz w:val="20"/>
        </w:rPr>
        <w:t>EN: Reprogramming synthesis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54">
        <w:r>
          <w:rPr>
            <w:color w:val="1155CC"/>
            <w:u w:val="single"/>
          </w:rPr>
          <w:t>10.1126/science.aeh4807</w:t>
        </w:r>
      </w:hyperlink>
    </w:p>
    <w:p>
      <w:pPr>
        <w:spacing w:before="0" w:after="120"/>
      </w:pPr>
      <w:r>
        <w:rPr>
          <w:b/>
        </w:rPr>
        <w:t xml:space="preserve">Notes: </w:t>
      </w:r>
      <w:r>
        <w:t>abstract_source=crossref</w:t>
      </w:r>
    </w:p>
    <w:p>
      <w:pPr>
        <w:spacing w:before="0" w:after="80" w:lineRule="auto" w:line="276"/>
      </w:pPr>
      <w:r>
        <w:rPr>
          <w:b/>
        </w:rPr>
        <w:t xml:space="preserve">摘要（ZH）: </w:t>
      </w:r>
      <w:r>
        <w:t>通用人工智能代理在材料化学实验室工作</w:t>
      </w:r>
    </w:p>
    <w:p>
      <w:pPr>
        <w:spacing w:before="0" w:after="200" w:lineRule="auto" w:line="276"/>
      </w:pPr>
      <w:r>
        <w:rPr>
          <w:b/>
        </w:rPr>
        <w:t xml:space="preserve">Abstract (EN): </w:t>
      </w:r>
      <w:r>
        <w:t>General-purpose artificial intelligence agents are at work in the materials chemistry laboratory</w:t>
      </w:r>
    </w:p>
    <w:p>
      <w:pPr>
        <w:spacing w:before="120" w:after="120"/>
      </w:pPr>
      <w:r>
        <w:rPr>
          <w:sz w:val="18"/>
        </w:rPr>
        <w:t>——————————————————————————————————————————————————————————————————————</w:t>
      </w:r>
    </w:p>
    <w:p>
      <w:pPr>
        <w:spacing w:before="160" w:after="40" w:line="240" w:lineRule="auto"/>
      </w:pPr>
      <w:r>
        <w:rPr>
          <w:b/>
        </w:rPr>
        <w:t xml:space="preserve">[614] </w:t>
      </w:r>
      <w:hyperlink r:id="rId1455">
        <w:r>
          <w:rPr>
            <w:color w:val="1155CC"/>
            <w:u w:val="single"/>
          </w:rPr>
          <w:t>亚马逊大豆暂停令的兴衰</w:t>
        </w:r>
      </w:hyperlink>
    </w:p>
    <w:p>
      <w:pPr>
        <w:spacing w:before="0" w:after="80"/>
      </w:pPr>
      <w:r>
        <w:rPr>
          <w:i/>
          <w:sz w:val="20"/>
        </w:rPr>
        <w:t>EN: The rise and fall of the Amazon Soy Moratorium</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56">
        <w:r>
          <w:rPr>
            <w:color w:val="1155CC"/>
            <w:u w:val="single"/>
          </w:rPr>
          <w:t>10.1126/science.aeg5368</w:t>
        </w:r>
      </w:hyperlink>
    </w:p>
    <w:p>
      <w:pPr>
        <w:spacing w:before="0" w:after="120"/>
      </w:pPr>
      <w:r>
        <w:rPr>
          <w:b/>
        </w:rPr>
        <w:t xml:space="preserve">Notes: </w:t>
      </w:r>
      <w:r>
        <w:t>abstract_source=crossref</w:t>
      </w:r>
    </w:p>
    <w:p>
      <w:pPr>
        <w:spacing w:before="0" w:after="80" w:lineRule="auto" w:line="276"/>
      </w:pPr>
      <w:r>
        <w:rPr>
          <w:b/>
        </w:rPr>
        <w:t xml:space="preserve">摘要（ZH）: </w:t>
      </w:r>
      <w:r>
        <w:t>自愿零毁林协议面临的挑战可能会给森林和大豆行业带来成本</w:t>
      </w:r>
    </w:p>
    <w:p>
      <w:pPr>
        <w:spacing w:before="0" w:after="200" w:lineRule="auto" w:line="276"/>
      </w:pPr>
      <w:r>
        <w:rPr>
          <w:b/>
        </w:rPr>
        <w:t xml:space="preserve">Abstract (EN): </w:t>
      </w:r>
      <w:r>
        <w:t>Challenges to the voluntary zero-deforestation pact could impose costs for forests and the soy sector</w:t>
      </w:r>
    </w:p>
    <w:p>
      <w:pPr>
        <w:spacing w:before="120" w:after="120"/>
      </w:pPr>
      <w:r>
        <w:rPr>
          <w:sz w:val="18"/>
        </w:rPr>
        <w:t>——————————————————————————————————————————————————————————————————————</w:t>
      </w:r>
    </w:p>
    <w:p>
      <w:pPr>
        <w:spacing w:before="160" w:after="40" w:line="240" w:lineRule="auto"/>
      </w:pPr>
      <w:r>
        <w:rPr>
          <w:b/>
        </w:rPr>
        <w:t xml:space="preserve">[615] </w:t>
      </w:r>
      <w:hyperlink r:id="rId1457">
        <w:r>
          <w:rPr>
            <w:color w:val="1155CC"/>
            <w:u w:val="single"/>
          </w:rPr>
          <w:t>西班牙最大的研究机构正视其黑暗的过去</w:t>
        </w:r>
      </w:hyperlink>
    </w:p>
    <w:p>
      <w:pPr>
        <w:spacing w:before="0" w:after="80"/>
      </w:pPr>
      <w:r>
        <w:rPr>
          <w:i/>
          <w:sz w:val="20"/>
        </w:rPr>
        <w:t>EN: Spain’s largest research body confronts its dark past</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58">
        <w:r>
          <w:rPr>
            <w:color w:val="1155CC"/>
            <w:u w:val="single"/>
          </w:rPr>
          <w:t>10.1126/science.aek5961</w:t>
        </w:r>
      </w:hyperlink>
    </w:p>
    <w:p>
      <w:pPr>
        <w:spacing w:before="0" w:after="120"/>
      </w:pPr>
      <w:r>
        <w:rPr>
          <w:b/>
        </w:rPr>
        <w:t xml:space="preserve">Notes: </w:t>
      </w:r>
      <w:r>
        <w:t>abstract_source=crossref</w:t>
      </w:r>
    </w:p>
    <w:p>
      <w:pPr>
        <w:spacing w:before="0" w:after="80" w:lineRule="auto" w:line="276"/>
      </w:pPr>
      <w:r>
        <w:rPr>
          <w:b/>
        </w:rPr>
        <w:t xml:space="preserve">摘要（ZH）: </w:t>
      </w:r>
      <w:r>
        <w:t>西班牙国家研究委员会公布了约 500 名工作人员在弗朗西斯科·佛朗哥独裁统治下被清洗的故事</w:t>
      </w:r>
    </w:p>
    <w:p>
      <w:pPr>
        <w:spacing w:before="0" w:after="200" w:lineRule="auto" w:line="276"/>
      </w:pPr>
      <w:r>
        <w:rPr>
          <w:b/>
        </w:rPr>
        <w:t xml:space="preserve">Abstract (EN): </w:t>
      </w:r>
      <w:r>
        <w:t>Spanish National Research Council has published the stories of some 500 staff purged under Francisco Franco’s dictatorship</w:t>
      </w:r>
    </w:p>
    <w:p>
      <w:pPr>
        <w:spacing w:before="120" w:after="120"/>
      </w:pPr>
      <w:r>
        <w:rPr>
          <w:sz w:val="18"/>
        </w:rPr>
        <w:t>——————————————————————————————————————————————————————————————————————</w:t>
      </w:r>
    </w:p>
    <w:p>
      <w:pPr>
        <w:spacing w:before="160" w:after="40" w:line="240" w:lineRule="auto"/>
      </w:pPr>
      <w:r>
        <w:rPr>
          <w:b/>
        </w:rPr>
        <w:t xml:space="preserve">[616] </w:t>
      </w:r>
      <w:hyperlink r:id="rId145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60">
        <w:r>
          <w:rPr>
            <w:color w:val="1155CC"/>
            <w:u w:val="single"/>
          </w:rPr>
          <w:t>10.1126/science.aek5614</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[617] </w:t>
      </w:r>
      <w:hyperlink r:id="rId1461">
        <w:r>
          <w:rPr>
            <w:color w:val="1155CC"/>
            <w:u w:val="single"/>
          </w:rPr>
          <w:t>用于下一代互连的 Weyl 半金属 NbAs 纳米线的表面主导传输</w:t>
        </w:r>
      </w:hyperlink>
    </w:p>
    <w:p>
      <w:pPr>
        <w:spacing w:before="0" w:after="80"/>
      </w:pPr>
      <w:r>
        <w:rPr>
          <w:i/>
          <w:sz w:val="20"/>
        </w:rPr>
        <w:t>EN: Surface-dominant transport in Weyl semimetal NbAs nanowires for next-generation interconnects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62">
        <w:r>
          <w:rPr>
            <w:color w:val="1155CC"/>
            <w:u w:val="single"/>
          </w:rPr>
          <w:t>10.1126/science.adx3027</w:t>
        </w:r>
      </w:hyperlink>
    </w:p>
    <w:p>
      <w:pPr>
        <w:spacing w:before="0" w:after="120"/>
      </w:pPr>
      <w:r>
        <w:rPr>
          <w:b/>
        </w:rPr>
        <w:t xml:space="preserve">Notes: </w:t>
      </w:r>
      <w:r>
        <w:t>abstract_source=crossref</w:t>
      </w:r>
    </w:p>
    <w:p>
      <w:pPr>
        <w:spacing w:before="0" w:after="80" w:lineRule="auto" w:line="276"/>
      </w:pPr>
      <w:r>
        <w:rPr>
          <w:b/>
        </w:rPr>
        <w:t xml:space="preserve">摘要（ZH）: </w:t>
      </w:r>
      <w:r>
        <w:t>对更小、更节能的电子设备的持续需求需要具有更低电阻率和更小尺寸的替代互连材料。我们报道了通过热机械纳米成型合成外尔半金属砷化铌 (NbAs) 纳米线，该纳米线具有单晶性和控制直径低至 40 纳米。 NbAs纳米线的电阻率随着直径的减小而降低，40纳米直径的纳米线的室温电阻率为10.5±1.9微欧·厘米，比块状纳米线低约70%。计算将这种电阻率降低归因于表面主导传导，在有限温度下具有较长的载流子寿命。纳米线和块状晶体的进一步表征揭示了高击穿电流密度、稳定性和导热性。这些特性凸显了 NbAs 纳米线作为下一代互连的潜力，可以超越当前铜基互连的限制。</w:t>
      </w:r>
    </w:p>
    <w:p>
      <w:pPr>
        <w:spacing w:before="0" w:after="200" w:lineRule="auto" w:line="276"/>
      </w:pPr>
      <w:r>
        <w:rPr>
          <w:b/>
        </w:rPr>
        <w:t xml:space="preserve">Abstract (EN): </w:t>
      </w:r>
      <w:r>
        <w:t>Ongoing demands for smaller and more energy-efficient electronic devices necessitate alternative interconnect materials with lower electrical resistivity at reduced dimensions. We report the synthesis of Weyl semimetal niobium arsenide (NbAs) nanowires through thermomechanical nanomolding with single crystallinity and controlled diameters down to 40 nanometers. The resistivity of NbAs nanowires decreases with decreasing diameter, and 40-nanometer-diameter nanowires exhibited a room-temperature resistivity of 10.5 ± 1.9 microhm·centimeters, which is ~70% lower than their bulk counterpart. Calculations attribute this resistivity reduction to surface-dominant conduction with a long carrier lifetime at finite temperatures. Further characterization of nanowires and bulk crystals revealed high breakdown current density, stability, and thermal conductivity. These properties highlight the potential of NbAs nanowires as next-generation interconnects that could surpass the limitations of current copper-based interconnects.</w:t>
      </w:r>
    </w:p>
    <w:p>
      <w:pPr>
        <w:spacing w:before="120" w:after="120"/>
      </w:pPr>
      <w:r>
        <w:rPr>
          <w:sz w:val="18"/>
        </w:rPr>
        <w:t>——————————————————————————————————————————————————————————————————————</w:t>
      </w:r>
    </w:p>
    <w:p>
      <w:pPr>
        <w:spacing w:before="160" w:after="40" w:line="240" w:lineRule="auto"/>
      </w:pPr>
      <w:r>
        <w:rPr>
          <w:b/>
        </w:rPr>
        <w:t xml:space="preserve">[618] </w:t>
      </w:r>
      <w:hyperlink r:id="rId1463">
        <w:r>
          <w:rPr>
            <w:color w:val="1155CC"/>
            <w:u w:val="single"/>
          </w:rPr>
          <w:t>谄媚人工智能的社会校准——回应</w:t>
        </w:r>
      </w:hyperlink>
    </w:p>
    <w:p>
      <w:pPr>
        <w:spacing w:before="0" w:after="80"/>
      </w:pPr>
      <w:r>
        <w:rPr>
          <w:i/>
          <w:sz w:val="20"/>
        </w:rPr>
        <w:t>EN: Social calibration of sycophantic AI—Response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64">
        <w:r>
          <w:rPr>
            <w:color w:val="1155CC"/>
            <w:u w:val="single"/>
          </w:rPr>
          <w:t>10.1126/science.aeh8601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[619] </w:t>
      </w:r>
      <w:hyperlink r:id="rId1465">
        <w:r>
          <w:rPr>
            <w:color w:val="1155CC"/>
            <w:u w:val="single"/>
          </w:rPr>
          <w:t>淋巴结现在是可选的</w:t>
        </w:r>
      </w:hyperlink>
    </w:p>
    <w:p>
      <w:pPr>
        <w:spacing w:before="0" w:after="80"/>
      </w:pPr>
      <w:r>
        <w:rPr>
          <w:i/>
          <w:sz w:val="20"/>
        </w:rPr>
        <w:t>EN: Lymph nodes now optional</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66">
        <w:r>
          <w:rPr>
            <w:color w:val="1155CC"/>
            <w:u w:val="single"/>
          </w:rPr>
          <w:t>10.1126/science.aei9741</w:t>
        </w:r>
      </w:hyperlink>
    </w:p>
    <w:p>
      <w:pPr>
        <w:spacing w:before="0" w:after="120"/>
      </w:pPr>
      <w:r>
        <w:rPr>
          <w:b/>
        </w:rPr>
        <w:t xml:space="preserve">Notes: </w:t>
      </w:r>
      <w:r>
        <w:t>abstract_source=crossref</w:t>
      </w:r>
    </w:p>
    <w:p>
      <w:pPr>
        <w:spacing w:before="0" w:after="80" w:lineRule="auto" w:line="276"/>
      </w:pPr>
      <w:r>
        <w:rPr>
          <w:b/>
        </w:rPr>
        <w:t xml:space="preserve">摘要（ZH）: </w:t>
      </w:r>
      <w:r>
        <w:t>树突状细胞的一个子集协调肿瘤组织中三级淋巴结构的形成</w:t>
      </w:r>
    </w:p>
    <w:p>
      <w:pPr>
        <w:spacing w:before="0" w:after="200" w:lineRule="auto" w:line="276"/>
      </w:pPr>
      <w:r>
        <w:rPr>
          <w:b/>
        </w:rPr>
        <w:t xml:space="preserve">Abstract (EN): </w:t>
      </w:r>
      <w:r>
        <w:t>A subset of dendritic cells orchestrates the formation of tertiary lymphoid structures in tumor tissues</w:t>
      </w:r>
    </w:p>
    <w:p>
      <w:pPr>
        <w:spacing w:before="120" w:after="120"/>
      </w:pPr>
      <w:r>
        <w:rPr>
          <w:sz w:val="18"/>
        </w:rPr>
        <w:t>——————————————————————————————————————————————————————————————————————</w:t>
      </w:r>
    </w:p>
    <w:p>
      <w:pPr>
        <w:spacing w:before="160" w:after="40" w:line="240" w:lineRule="auto"/>
      </w:pPr>
      <w:r>
        <w:rPr>
          <w:b/>
        </w:rPr>
        <w:t xml:space="preserve">[620] </w:t>
      </w:r>
      <w:hyperlink r:id="rId1467">
        <w:r>
          <w:rPr>
            <w:color w:val="1155CC"/>
            <w:u w:val="single"/>
          </w:rPr>
          <w:t>整理老化器官</w:t>
        </w:r>
      </w:hyperlink>
    </w:p>
    <w:p>
      <w:pPr>
        <w:spacing w:before="0" w:after="80"/>
      </w:pPr>
      <w:r>
        <w:rPr>
          <w:i/>
          <w:sz w:val="20"/>
        </w:rPr>
        <w:t>EN: Tidying up aging organs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68">
        <w:r>
          <w:rPr>
            <w:color w:val="1155CC"/>
            <w:u w:val="single"/>
          </w:rPr>
          <w:t>10.1126/science.aei9816</w:t>
        </w:r>
      </w:hyperlink>
    </w:p>
    <w:p>
      <w:pPr>
        <w:spacing w:before="0" w:after="120"/>
      </w:pPr>
      <w:r>
        <w:rPr>
          <w:b/>
        </w:rPr>
        <w:t xml:space="preserve">Notes: </w:t>
      </w:r>
      <w:r>
        <w:t>abstract_source=crossref</w:t>
      </w:r>
    </w:p>
    <w:p>
      <w:pPr>
        <w:spacing w:before="0" w:after="80" w:lineRule="auto" w:line="276"/>
      </w:pPr>
      <w:r>
        <w:rPr>
          <w:b/>
        </w:rPr>
        <w:t xml:space="preserve">摘要（ZH）: </w:t>
      </w:r>
      <w:r>
        <w:t>前列腺素可防止巨噬细胞清除衰老器官中的有毒中性粒细胞</w:t>
      </w:r>
    </w:p>
    <w:p>
      <w:pPr>
        <w:spacing w:before="0" w:after="200" w:lineRule="auto" w:line="276"/>
      </w:pPr>
      <w:r>
        <w:rPr>
          <w:b/>
        </w:rPr>
        <w:t xml:space="preserve">Abstract (EN): </w:t>
      </w:r>
      <w:r>
        <w:t>A prostaglandin prevents macrophages from clearing toxic neutrophils in aging organs</w:t>
      </w:r>
    </w:p>
    <w:p>
      <w:pPr>
        <w:spacing w:before="120" w:after="120"/>
      </w:pPr>
      <w:r>
        <w:rPr>
          <w:sz w:val="18"/>
        </w:rPr>
        <w:t>——————————————————————————————————————————————————————————————————————</w:t>
      </w:r>
    </w:p>
    <w:p>
      <w:pPr>
        <w:spacing w:before="160" w:after="40" w:line="240" w:lineRule="auto"/>
      </w:pPr>
      <w:r>
        <w:rPr>
          <w:b/>
        </w:rPr>
        <w:t xml:space="preserve">[621] </w:t>
      </w:r>
      <w:hyperlink r:id="rId1469">
        <w:r>
          <w:rPr>
            <w:color w:val="1155CC"/>
            <w:u w:val="single"/>
          </w:rPr>
          <w:t>谄媚人工智能的社会校准</w:t>
        </w:r>
      </w:hyperlink>
    </w:p>
    <w:p>
      <w:pPr>
        <w:spacing w:before="0" w:after="80"/>
      </w:pPr>
      <w:r>
        <w:rPr>
          <w:i/>
          <w:sz w:val="20"/>
        </w:rPr>
        <w:t>EN: Social calibration of sycophantic AI</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70">
        <w:r>
          <w:rPr>
            <w:color w:val="1155CC"/>
            <w:u w:val="single"/>
          </w:rPr>
          <w:t>10.1126/science.aeh5853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[622] </w:t>
      </w:r>
      <w:hyperlink r:id="rId1471">
        <w:r>
          <w:rPr>
            <w:color w:val="1155CC"/>
            <w:u w:val="single"/>
          </w:rPr>
          <w:t>具有量子态操纵的鲁棒单电子存储器</w:t>
        </w:r>
      </w:hyperlink>
    </w:p>
    <w:p>
      <w:pPr>
        <w:spacing w:before="0" w:after="80"/>
      </w:pPr>
      <w:r>
        <w:rPr>
          <w:i/>
          <w:sz w:val="20"/>
        </w:rPr>
        <w:t>EN: Robust single-electron memory with quantum states manipulation</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72">
        <w:r>
          <w:rPr>
            <w:color w:val="1155CC"/>
            <w:u w:val="single"/>
          </w:rPr>
          <w:t>10.1126/science.aeg6638</w:t>
        </w:r>
      </w:hyperlink>
    </w:p>
    <w:p>
      <w:pPr>
        <w:spacing w:before="0" w:after="120"/>
      </w:pPr>
      <w:r>
        <w:rPr>
          <w:b/>
        </w:rPr>
        <w:t xml:space="preserve">Notes: </w:t>
      </w:r>
      <w:r>
        <w:t>abstract_source=crossref</w:t>
      </w:r>
    </w:p>
    <w:p>
      <w:pPr>
        <w:spacing w:before="0" w:after="80" w:lineRule="auto" w:line="276"/>
      </w:pPr>
      <w:r>
        <w:rPr>
          <w:b/>
        </w:rPr>
        <w:t xml:space="preserve">摘要（ZH）: </w:t>
      </w:r>
      <w:r>
        <w:t>信息存储的最终目标是单电子记忆。量子力学预测，通过将单个电子限制在超小的空间内，可以实现两种可区分的量子态。然而，缩小此类器件的尺寸反而会放大边缘电容效应，从而阻碍了单电子存储器的实验观察。我们报告了一种基于共面漏极-沟道-源极结构的二维单电子存储器件，该结构抑制了边缘电容，在单电子变化后表现出0.5伏的非易失性阈值电压偏移。关于编程电压，两个有趣的量子行为也得到了验证。此外，我们还预测并观察到了一种独特的量子记忆效应：量子态被态密度剪刀切断。</w:t>
      </w:r>
    </w:p>
    <w:p>
      <w:pPr>
        <w:spacing w:before="0" w:after="200" w:lineRule="auto" w:line="276"/>
      </w:pPr>
      <w:r>
        <w:rPr>
          <w:b/>
        </w:rPr>
        <w:t xml:space="preserve">Abstract (EN): </w:t>
      </w:r>
      <w:r>
        <w:t>The ultimate goal of information storage is single-electron memory. Quantum mechanics predicts that two distinguishable quantum states can be realized by confining a single electron within an ultrasmall space. However, scaling down such devices paradoxically amplifies fringe capacitance effects, which hinders the experimental observation of single-electron memory. We report a two-dimensional single-electron memory device based on a coplanar drain-channel-source structure that suppressed fringe capacitance, exhibiting a nonvolatile threshold voltage shift of 0.5 volts after the change of a single electron. Two intriguing quantum behaviors have also been verified regarding the programming voltage. Additionally, we have predicted and observed a distinctive quantum memory effect: A quantum state is cut off by density of states scissors.</w:t>
      </w:r>
    </w:p>
    <w:p>
      <w:pPr>
        <w:spacing w:before="120" w:after="120"/>
      </w:pPr>
      <w:r>
        <w:rPr>
          <w:sz w:val="18"/>
        </w:rPr>
        <w:t>——————————————————————————————————————————————————————————————————————</w:t>
      </w:r>
    </w:p>
    <w:p>
      <w:pPr>
        <w:spacing w:before="160" w:after="40" w:line="240" w:lineRule="auto"/>
      </w:pPr>
      <w:r>
        <w:rPr>
          <w:b/>
        </w:rPr>
        <w:t xml:space="preserve">[623] </w:t>
      </w:r>
      <w:hyperlink r:id="rId1473">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74">
        <w:r>
          <w:rPr>
            <w:color w:val="1155CC"/>
            <w:u w:val="single"/>
          </w:rPr>
          <w:t>10.1126/science.aek5615</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[624] </w:t>
      </w:r>
      <w:hyperlink r:id="rId1475">
        <w:r>
          <w:rPr>
            <w:color w:val="1155CC"/>
            <w:u w:val="single"/>
          </w:rPr>
          <w:t>沿 CA3 锥体神经元树突的并行独立电压计算</w:t>
        </w:r>
      </w:hyperlink>
    </w:p>
    <w:p>
      <w:pPr>
        <w:spacing w:before="0" w:after="80"/>
      </w:pPr>
      <w:r>
        <w:rPr>
          <w:i/>
          <w:sz w:val="20"/>
        </w:rPr>
        <w:t>EN: Parallel independent voltage computing along dendrites of CA3 pyramidal neurons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76">
        <w:r>
          <w:rPr>
            <w:color w:val="1155CC"/>
            <w:u w:val="single"/>
          </w:rPr>
          <w:t>10.1126/science.aeh9302</w:t>
        </w:r>
      </w:hyperlink>
    </w:p>
    <w:p>
      <w:pPr>
        <w:spacing w:before="0" w:after="120"/>
      </w:pPr>
      <w:r>
        <w:rPr>
          <w:b/>
        </w:rPr>
        <w:t xml:space="preserve">Notes: </w:t>
      </w:r>
      <w:r>
        <w:t>abstract_source=crossref</w:t>
      </w:r>
    </w:p>
    <w:p>
      <w:pPr>
        <w:spacing w:before="0" w:after="80" w:lineRule="auto" w:line="276"/>
      </w:pPr>
      <w:r>
        <w:rPr>
          <w:b/>
        </w:rPr>
        <w:t xml:space="preserve">摘要（ZH）: </w:t>
      </w:r>
      <w:r>
        <w:t>树突计算有助于皮层回路中的信息处理。海马 CA3 在导航中发挥着核心作用，但 CA3 锥体神经元的树突如何在体内处理信息仍然很大程度上未知。在小鼠虚拟现实引导导航过程中，利用 CA3 锥体神经元的树突和体细胞的电压成像，我们发现树突乔木包含多个独立的计算单元，这些计算单元可以根据行为条件动态地耦合或脱离体细胞活动。树突活动通过与体细胞输出的条件耦合来塑造空间、奖励和背景的亚细胞表征。此外，空间协调的树突在尖波波纹期间保持其协调性。这些发现表明，过去、现在和未来的表征共存于 CA3 锥体神经元的树突乔木内，共同塑造行为相关的神经元编码。</w:t>
      </w:r>
    </w:p>
    <w:p>
      <w:pPr>
        <w:spacing w:before="0" w:after="200" w:lineRule="auto" w:line="276"/>
      </w:pPr>
      <w:r>
        <w:rPr>
          <w:b/>
        </w:rPr>
        <w:t xml:space="preserve">Abstract (EN): </w:t>
      </w:r>
      <w:r>
        <w:t>Dendritic computation contributes to information processing in cortical circuits. Hippocampal CA3 plays a central role in navigation, but how the dendrites of CA3 pyramidal neurons process information in vivo remains largely unknown. Using voltage imaging across dendrites and somata of CA3 pyramidal neurons during virtual reality–guided navigation in mice, we found that the dendritic arbor comprises multiple independent computational units that can dynamically couple to or dissociate from somatic activity, depending on behavioral conditions. Dendritic activity shapes subcellular representations of space, reward, and context through conditional coupling to the somatic output. Furthermore, spatially cotuned dendrites retain their coordination during sharp-wave ripples. These findings demonstrate that past, present, and future representations coexist within the dendritic arbor of CA3 pyramidal neurons, collectively shaping behaviorally relevant neuronal coding.</w:t>
      </w:r>
    </w:p>
    <w:p>
      <w:pPr>
        <w:spacing w:before="120" w:after="120"/>
      </w:pPr>
      <w:r>
        <w:rPr>
          <w:sz w:val="18"/>
        </w:rPr>
        <w:t>——————————————————————————————————————————————————————————————————————</w:t>
      </w:r>
    </w:p>
    <w:p>
      <w:pPr>
        <w:spacing w:before="160" w:after="40" w:line="240" w:lineRule="auto"/>
      </w:pPr>
      <w:r>
        <w:rPr>
          <w:b/>
        </w:rPr>
        <w:t xml:space="preserve">[625] </w:t>
      </w:r>
      <w:hyperlink r:id="rId1477">
        <w:r>
          <w:rPr>
            <w:color w:val="1155CC"/>
            <w:u w:val="single"/>
          </w:rPr>
          <w:t>性能权衡定义了哺乳动物的基本牙齿二分法</w:t>
        </w:r>
      </w:hyperlink>
    </w:p>
    <w:p>
      <w:pPr>
        <w:spacing w:before="0" w:after="80"/>
      </w:pPr>
      <w:r>
        <w:rPr>
          <w:i/>
          <w:sz w:val="20"/>
        </w:rPr>
        <w:t>EN: Performance trade-offs define a fundamental dental dichotomy in mammals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78">
        <w:r>
          <w:rPr>
            <w:color w:val="1155CC"/>
            <w:u w:val="single"/>
          </w:rPr>
          <w:t>10.1126/science.aee3453</w:t>
        </w:r>
      </w:hyperlink>
    </w:p>
    <w:p>
      <w:pPr>
        <w:spacing w:before="0" w:after="120"/>
      </w:pPr>
      <w:r>
        <w:rPr>
          <w:b/>
        </w:rPr>
        <w:t xml:space="preserve">Notes: </w:t>
      </w:r>
      <w:r>
        <w:t>abstract_source=crossref</w:t>
      </w:r>
    </w:p>
    <w:p>
      <w:pPr>
        <w:spacing w:before="0" w:after="80" w:lineRule="auto" w:line="276"/>
      </w:pPr>
      <w:r>
        <w:rPr>
          <w:b/>
        </w:rPr>
        <w:t xml:space="preserve">摘要（ZH）: </w:t>
      </w:r>
      <w:r>
        <w:t>牙齿定义了哺乳动物的进化，冠部哺乳动物的许多适应性牙齿突破之一是三蝶臼齿：一种具有双重剪切-破碎功能的牙齿，通常被认为是冠部哺乳动物的关键适应。然而，我们不知道这些拮抗功能之间的潜在权衡如何影响哺乳动物谱系的宏观进化结果。在这里，我们表明，掠食性哺乳动物在其三翼食肉牙齿中进化出二分性能，切片仅限于一组狭窄的最佳表型，而压碎则表现出冗余解决方案。不到 1% 的掠食者进化出了优化的剪切和破碎能力。三翼结构功能的基本权衡促进了不同的宏观进化专业化，而不是功能二元性。这些结果凸显了关键创新如何推动早期进化成功，同时限制随后的多元化。</w:t>
      </w:r>
    </w:p>
    <w:p>
      <w:pPr>
        <w:spacing w:before="0" w:after="200" w:lineRule="auto" w:line="276"/>
      </w:pPr>
      <w:r>
        <w:rPr>
          <w:b/>
        </w:rPr>
        <w:t xml:space="preserve">Abstract (EN): </w:t>
      </w:r>
      <w:r>
        <w:t>Teeth define mammalian evolution, and one of many adaptive dental breakthroughs in crown mammals is the tribosphenic molar: a tooth with a dual shearing-crushing function, often considered a key adaptation in crown mammals. However, we do not know how potential trade-offs between these antagonistic functions may influence the macroevolutionary outcomes of mammalian lineages. Here, we show that predatory mammals evolved dichotomized performance in their tribosphenic carnassial teeth, with slicing constrained to a narrow set of optimal phenotypes and crushing exhibiting redundant solutions. Less than 1% of predators evolved optimized shearing and crushing. The fundamental trade-off in functions of the tribosphenic architecture promoted divergent macroevolutionary specializations rather than functional duality. These results highlight how key innovations can drive early evolutionary success while simultaneously constraining subsequent diversification.</w:t>
      </w:r>
    </w:p>
    <w:p>
      <w:pPr>
        <w:spacing w:before="120" w:after="120"/>
      </w:pPr>
      <w:r>
        <w:rPr>
          <w:sz w:val="18"/>
        </w:rPr>
        <w:t>——————————————————————————————————————————————————————————————————————</w:t>
      </w:r>
    </w:p>
    <w:p>
      <w:pPr>
        <w:spacing w:before="160" w:after="40" w:line="240" w:lineRule="auto"/>
      </w:pPr>
      <w:r>
        <w:rPr>
          <w:b/>
        </w:rPr>
        <w:t xml:space="preserve">[626] </w:t>
      </w:r>
      <w:hyperlink r:id="rId1479">
        <w:r>
          <w:rPr>
            <w:color w:val="1155CC"/>
            <w:u w:val="single"/>
          </w:rPr>
          <w:t>最小RNA引导核酸酶的结构和进化引导设计</w:t>
        </w:r>
      </w:hyperlink>
    </w:p>
    <w:p>
      <w:pPr>
        <w:spacing w:before="0" w:after="80"/>
      </w:pPr>
      <w:r>
        <w:rPr>
          <w:i/>
          <w:sz w:val="20"/>
        </w:rPr>
        <w:t>EN: Structure and evolution-guided design of minimal RNA-guided nucleases</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80">
        <w:r>
          <w:rPr>
            <w:color w:val="1155CC"/>
            <w:u w:val="single"/>
          </w:rPr>
          <w:t>10.1126/science.aed6123</w:t>
        </w:r>
      </w:hyperlink>
    </w:p>
    <w:p>
      <w:pPr>
        <w:spacing w:before="0" w:after="120"/>
      </w:pPr>
      <w:r>
        <w:rPr>
          <w:b/>
        </w:rPr>
        <w:t xml:space="preserve">Notes: </w:t>
      </w:r>
      <w:r>
        <w:t>abstract_source=crossref</w:t>
      </w:r>
    </w:p>
    <w:p>
      <w:pPr>
        <w:spacing w:before="0" w:after="80" w:lineRule="auto" w:line="276"/>
      </w:pPr>
      <w:r>
        <w:rPr>
          <w:b/>
        </w:rPr>
        <w:t xml:space="preserve">摘要（ZH）: </w:t>
      </w:r>
      <w:r>
        <w:t>具有不受进化限制的特性的RNA引导核酸酶的设计可以扩展可编程基因组编辑能力。然而，生成具有强大酶学特性的多种多结构域蛋白仍然具有挑战性。在这里，我们使用一种蛋白质设计策略，将结构引导的反向折叠模型与进化信息残基约束相结合，以生成 TnpB 的活性、发散变体，TnpB 是一种最小的 CRISPR-Cas12 样核酸酶，称为 SynTnpB。对人工智能生成的变体进行高通量筛选，产生的编辑器在细菌、植物和人类细胞中保留或超过了野生型活性。基于冷冻电子显微镜的最不同变体的结构测定揭示了 RNA-DNA 界面跨构象的稳定接触，证明了这种方法的设计潜力。总之，这些结果建立了一种创建非天然 RNA 引导核酸酶和构象活性核酸结合物的策略，扩大了可设计的蛋白质空间。</w:t>
      </w:r>
    </w:p>
    <w:p>
      <w:pPr>
        <w:spacing w:before="0" w:after="200" w:lineRule="auto" w:line="276"/>
      </w:pPr>
      <w:r>
        <w:rPr>
          <w:b/>
        </w:rPr>
        <w:t xml:space="preserve">Abstract (EN): </w:t>
      </w:r>
      <w:r>
        <w:t>The design of RNA-guided nucleases with properties not limited by evolution can expand programmable genome-editing capabilities. However, generating diverse multidomain proteins with robust enzymatic properties remains challenging. Here, we use a protein design strategy that couples a structure-guided inverse-folding model with evolution-informed residue constraints to generate active, divergent variants of TnpB, a minimal CRISPR-Cas12–like nuclease, termed SynTnpBs. High-throughput screening of artificial intelligence–generated variants yielded editors that retained or exceeded wild-type activity in bacterial, plant, and human cells. Cryo–electron microscopy–based structure determination of the most divergent variant revealed stabilizing contacts in the RNA–DNA interfaces across conformations, demonstrating the design potential of this approach. Together, these results establish a strategy for creating non-natural RNA-guided nucleases and conformationally active nucleic acid binders, enlarging the designable protein space.</w:t>
      </w:r>
    </w:p>
    <w:p>
      <w:pPr>
        <w:spacing w:before="120" w:after="120"/>
      </w:pPr>
      <w:r>
        <w:rPr>
          <w:sz w:val="18"/>
        </w:rPr>
        <w:t>——————————————————————————————————————————————————————————————————————</w:t>
      </w:r>
    </w:p>
    <w:p>
      <w:pPr>
        <w:spacing w:before="160" w:after="40" w:line="240" w:lineRule="auto"/>
      </w:pPr>
      <w:r>
        <w:rPr>
          <w:b/>
        </w:rPr>
        <w:t xml:space="preserve">[627] </w:t>
      </w:r>
      <w:hyperlink r:id="rId1481">
        <w:r>
          <w:rPr>
            <w:color w:val="1155CC"/>
            <w:u w:val="single"/>
          </w:rPr>
          <w:t>原子尺度上几何驱动的可逆固液相变</w:t>
        </w:r>
      </w:hyperlink>
    </w:p>
    <w:p>
      <w:pPr>
        <w:spacing w:before="0" w:after="80"/>
      </w:pPr>
      <w:r>
        <w:rPr>
          <w:i/>
          <w:sz w:val="20"/>
        </w:rPr>
        <w:t>EN: Geometrically driven reversible solid-liquid phase transition at the atomic scale</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82">
        <w:r>
          <w:rPr>
            <w:color w:val="1155CC"/>
            <w:u w:val="single"/>
          </w:rPr>
          <w:t>10.1126/science.aed6019</w:t>
        </w:r>
      </w:hyperlink>
    </w:p>
    <w:p>
      <w:pPr>
        <w:spacing w:before="0" w:after="120"/>
      </w:pPr>
      <w:r>
        <w:rPr>
          <w:b/>
        </w:rPr>
        <w:t xml:space="preserve">Notes: </w:t>
      </w:r>
      <w:r>
        <w:t>abstract_source=crossref</w:t>
      </w:r>
    </w:p>
    <w:p>
      <w:pPr>
        <w:spacing w:before="0" w:after="80" w:lineRule="auto" w:line="276"/>
      </w:pPr>
      <w:r>
        <w:rPr>
          <w:b/>
        </w:rPr>
        <w:t xml:space="preserve">摘要（ZH）: </w:t>
      </w:r>
      <w:r>
        <w:t>对几何限制的纳米团簇内液-固相变的原子分辨率观察提供了对异质成核机制的基本见解。在这项工作中，我们使用原位透射电子显微镜，直接控制和观察可调纳米级间隙内的单个临界尺寸的铋纳米团簇，驱动它经历从准非晶纳米盘到晶体纳米线再到液态纳米滴的可逆循环。簇的纵横比，而不是其体积，是控制这些相变的主要描述符，由固有表面各向异性和界面能量之间的相互作用决定。限制还强加了纹理，迫使纳米线采用首选的</w:t>
      </w:r>
      <w:r>
        <w:t xml:space="preserve"> </w:t>
      </w:r>
      <w:r>
        <w:rPr>
          <w:vertAlign w:val="subscript"/>
        </w:rPr>
        <w:t>2</w:t>
      </w:r>
      <w:r>
        <w:t xml:space="preserve"> </w:t>
      </w:r>
      <w:r>
        <w:rPr>
          <w:vertAlign w:val="subscript"/>
        </w:rPr>
        <w:t>1</w:t>
      </w:r>
      <w:r>
        <w:t>￣</w:t>
      </w:r>
      <w:r>
        <w:t xml:space="preserve"> </w:t>
      </w:r>
      <w:r>
        <w:rPr>
          <w:vertAlign w:val="subscript"/>
        </w:rPr>
        <w:t>1</w:t>
      </w:r>
      <w:r>
        <w:t>￣</w:t>
      </w:r>
      <w:r>
        <w:t xml:space="preserve"> </w:t>
      </w:r>
      <w:r>
        <w:rPr>
          <w:vertAlign w:val="subscript"/>
        </w:rPr>
        <w:t>0</w:t>
      </w:r>
      <w:r>
        <w:t xml:space="preserve"> </w:t>
      </w:r>
      <w:r>
        <w:t>无约束纳米颗粒中不存在的取向。这些结果为几何驱动的相和方向选择提供了机械基础，从而能够通过工程限制来合理设计纳米材料。</w:t>
      </w:r>
    </w:p>
    <w:p>
      <w:pPr>
        <w:spacing w:before="0" w:after="200" w:lineRule="auto" w:line="276"/>
      </w:pPr>
      <w:r>
        <w:rPr>
          <w:b/>
        </w:rPr>
        <w:t xml:space="preserve">Abstract (EN): </w:t>
      </w:r>
      <w:r>
        <w:t>Atomic-resolution observation of the liquid-solid phase transition within a geometrically confined nanocluster provides fundamental insights into heterogeneous nucleation mechanisms. In this work, using in situ transmission electron microscopy, we directly control and observe a single critical-sized bismuth nanocluster within a tunable nanoscale gap, driving it through a reversible cycle from quasi-amorphous nanodisc, to crystalline nanowire, to liquid nanodroplet. The cluster’s aspect ratio, rather than its volume, is the primary descriptor governing these phase transitions, determined by the interplay between intrinsic surface anisotropy and interfacial energetics. Confinement also imposes texture, forcing the nanowire to adopt a preferred</w:t>
      </w:r>
      <w:r>
        <w:t xml:space="preserve"> </w:t>
      </w:r>
      <w:r>
        <w:rPr>
          <w:vertAlign w:val="subscript"/>
        </w:rPr>
        <w:t>2</w:t>
      </w:r>
      <w:r>
        <w:t xml:space="preserve"> </w:t>
      </w:r>
      <w:r>
        <w:rPr>
          <w:vertAlign w:val="subscript"/>
        </w:rPr>
        <w:t>1</w:t>
      </w:r>
      <w:r>
        <w:t>¯</w:t>
      </w:r>
      <w:r>
        <w:t xml:space="preserve"> </w:t>
      </w:r>
      <w:r>
        <w:rPr>
          <w:vertAlign w:val="subscript"/>
        </w:rPr>
        <w:t>1</w:t>
      </w:r>
      <w:r>
        <w:t>¯</w:t>
      </w:r>
      <w:r>
        <w:t xml:space="preserve"> </w:t>
      </w:r>
      <w:r>
        <w:rPr>
          <w:vertAlign w:val="subscript"/>
        </w:rPr>
        <w:t>0</w:t>
      </w:r>
      <w:r>
        <w:t xml:space="preserve"> </w:t>
      </w:r>
      <w:r>
        <w:t>orientation that is absent in unconfined nanoparticles. These results provide the mechanistic foundation for geometry-driven phase and orientation selection, which enables the rational design of nanomaterials through engineered confinement.</w:t>
      </w:r>
    </w:p>
    <w:p>
      <w:pPr>
        <w:spacing w:before="120" w:after="120"/>
      </w:pPr>
      <w:r>
        <w:rPr>
          <w:sz w:val="18"/>
        </w:rPr>
        <w:t>——————————————————————————————————————————————————————————————————————</w:t>
      </w:r>
    </w:p>
    <w:p>
      <w:pPr>
        <w:spacing w:before="160" w:after="40" w:line="240" w:lineRule="auto"/>
      </w:pPr>
      <w:r>
        <w:rPr>
          <w:b/>
        </w:rPr>
        <w:t xml:space="preserve">[628] </w:t>
      </w:r>
      <w:hyperlink r:id="rId1483">
        <w:r>
          <w:rPr>
            <w:color w:val="1155CC"/>
            <w:u w:val="single"/>
          </w:rPr>
          <w:t>咸海干涸重塑了中亚的人为碳库存</w:t>
        </w:r>
      </w:hyperlink>
    </w:p>
    <w:p>
      <w:pPr>
        <w:spacing w:before="0" w:after="80"/>
      </w:pPr>
      <w:r>
        <w:rPr>
          <w:i/>
          <w:sz w:val="20"/>
        </w:rPr>
        <w:t>EN: Drying of the Aral Sea reshapes the anthropogenic carbon inventory of Central Asia</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84">
        <w:r>
          <w:rPr>
            <w:color w:val="1155CC"/>
            <w:u w:val="single"/>
          </w:rPr>
          <w:t>10.1126/science.aeb2344</w:t>
        </w:r>
      </w:hyperlink>
    </w:p>
    <w:p>
      <w:pPr>
        <w:spacing w:before="0" w:after="120"/>
      </w:pPr>
      <w:r>
        <w:rPr>
          <w:b/>
        </w:rPr>
        <w:t xml:space="preserve">Notes: </w:t>
      </w:r>
      <w:r>
        <w:t>abstract_source=crossref</w:t>
      </w:r>
    </w:p>
    <w:p>
      <w:pPr>
        <w:spacing w:before="0" w:after="80" w:lineRule="auto" w:line="276"/>
      </w:pPr>
      <w:r>
        <w:rPr>
          <w:b/>
        </w:rPr>
        <w:t xml:space="preserve">摘要（ZH）: </w:t>
      </w:r>
      <w:r>
        <w:t>湖泊的沉积物中储存了大量的碳，有助于气候调节。然而，湖泊干涸后这些碳的去向仍不清楚。我们采用时空替代方法，结合沉积岩芯、二氧化碳通量测量和遥感，量化了世界上最大的干涸湖咸海的有机碳损失。自 1960 年以来，暴露的湖床沉积物已经释放了 204 ± 53 太克碳 (Tg C)，植被生长抵消了不到 1%。将这些排放纳入其中会改变区域碳预算，将咸海盆地从假定的土地利用变化碳汇转变为净源。重新淹没海洋可以防止额外的 165 ± 13 Tg C 释放，将恢复重新定义为不仅是生态和人道主义的当务之急，也是缓解气候变化的机会。</w:t>
      </w:r>
    </w:p>
    <w:p>
      <w:pPr>
        <w:spacing w:before="0" w:after="200" w:lineRule="auto" w:line="276"/>
      </w:pPr>
      <w:r>
        <w:rPr>
          <w:b/>
        </w:rPr>
        <w:t xml:space="preserve">Abstract (EN): </w:t>
      </w:r>
      <w:r>
        <w:t>Lakes store large quantities of carbon in their sediments, contributing to climate regulation. Yet the fate of this carbon after lake desiccation remains unclear. Using a space-for-time substitution approach, combining sediment cores, carbon dioxide flux measurements, and remote sensing, we quantified organic carbon losses from the world’s largest desiccated lake, the Aral Sea. Since 1960, exposed lake bed sediments have released 204 ± 53 teragrams of carbon (Tg C), with vegetation growth offsetting less than 1%. Incorporating these emissions alters the regional carbon budget, transforming the Aral Sea basin from a presumed land-use-change carbon sink into a net source. Reflooding the sea could prevent an additional 165 ± 13 Tg C release, reframing restoration not only as an ecological and humanitarian imperative but also as a climate mitigation opportunity.</w:t>
      </w:r>
    </w:p>
    <w:p>
      <w:pPr>
        <w:spacing w:before="120" w:after="120"/>
      </w:pPr>
      <w:r>
        <w:rPr>
          <w:sz w:val="18"/>
        </w:rPr>
        <w:t>——————————————————————————————————————————————————————————————————————</w:t>
      </w:r>
    </w:p>
    <w:p>
      <w:pPr>
        <w:spacing w:before="160" w:after="40" w:line="240" w:lineRule="auto"/>
      </w:pPr>
      <w:r>
        <w:rPr>
          <w:b/>
        </w:rPr>
        <w:t xml:space="preserve">[629] </w:t>
      </w:r>
      <w:hyperlink r:id="rId1485">
        <w:r>
          <w:rPr>
            <w:color w:val="1155CC"/>
            <w:u w:val="single"/>
          </w:rPr>
          <w:t>泪水能诉说什么</w:t>
        </w:r>
      </w:hyperlink>
    </w:p>
    <w:p>
      <w:pPr>
        <w:spacing w:before="0" w:after="80"/>
      </w:pPr>
      <w:r>
        <w:rPr>
          <w:i/>
          <w:sz w:val="20"/>
        </w:rPr>
        <w:t>EN: What tears can say</w:t>
      </w:r>
    </w:p>
    <w:p>
      <w:pPr>
        <w:spacing w:before="0" w:after="120"/>
      </w:pPr>
      <w:r>
        <w:rPr>
          <w:b/>
        </w:rPr>
        <w:t xml:space="preserve">Source: </w:t>
      </w:r>
      <w:r>
        <w:t>AAAS: Science: Table of Contents</w:t>
      </w:r>
      <w:r>
        <w:t xml:space="preserve">    </w:t>
      </w:r>
      <w:r>
        <w:rPr>
          <w:b/>
        </w:rPr>
        <w:t xml:space="preserve">Pub date: </w:t>
      </w:r>
      <w:r>
        <w:t>2026-07-16 06:00:06+00:00</w:t>
      </w:r>
      <w:r>
        <w:t xml:space="preserve">    </w:t>
      </w:r>
      <w:r>
        <w:rPr>
          <w:b/>
        </w:rPr>
        <w:t xml:space="preserve">DOI: </w:t>
      </w:r>
      <w:hyperlink r:id="rId1486">
        <w:r>
          <w:rPr>
            <w:color w:val="1155CC"/>
            <w:u w:val="single"/>
          </w:rPr>
          <w:t>10.1126/science.aek5616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[630] </w:t>
      </w:r>
      <w:hyperlink r:id="rId1487">
        <w:r>
          <w:rPr>
            <w:color w:val="1155CC"/>
            <w:u w:val="single"/>
          </w:rPr>
          <w:t>染色质末端锚定的染色体大小的结构域和启动子环在四膜虫中组织转录活性基因组</w:t>
        </w:r>
      </w:hyperlink>
    </w:p>
    <w:p>
      <w:pPr>
        <w:spacing w:before="0" w:after="80"/>
      </w:pPr>
      <w:r>
        <w:rPr>
          <w:i/>
          <w:sz w:val="20"/>
        </w:rPr>
        <w:t>EN: Chromatin end–anchored chromosome-sized domains and promoter loops organize a transcriptionally active genome in Tetrahymena</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488">
        <w:r>
          <w:rPr>
            <w:color w:val="1155CC"/>
            <w:u w:val="single"/>
          </w:rPr>
          <w:t>10.1073/pnas.2607976123</w:t>
        </w:r>
      </w:hyperlink>
    </w:p>
    <w:p>
      <w:pPr>
        <w:spacing w:before="0" w:after="120"/>
      </w:pPr>
      <w:r>
        <w:rPr>
          <w:b/>
        </w:rPr>
        <w:t xml:space="preserve">Notes: </w:t>
      </w:r>
      <w:r>
        <w:t>abstract_source=crossref</w:t>
      </w:r>
    </w:p>
    <w:p>
      <w:pPr>
        <w:spacing w:before="0" w:after="80" w:lineRule="auto" w:line="276"/>
      </w:pPr>
      <w:r>
        <w:rPr>
          <w:b/>
        </w:rPr>
        <w:t xml:space="preserve">摘要（ZH）: </w:t>
      </w:r>
      <w:r>
        <w:t>三维（3D）基因组结构决定了基因调控，但紧凑单细胞基因组的折叠原理仍不清楚。在单细胞真核生物中，纤毛虫</w:t>
      </w:r>
      <w:r>
        <w:t xml:space="preserve"> </w:t>
      </w:r>
      <w:r>
        <w:t>嗜热四膜虫</w:t>
      </w:r>
      <w:r>
        <w:t xml:space="preserve"> </w:t>
      </w:r>
      <w:r>
        <w:t>提供了一个独特的模型，包含转录活性体细胞大核（MAC），其基因组片段化为基因密集的微型染色体和沉默的完整种系微核。为了描绘大核染色质组织，我们整合了核小体分辨率 Micro-C、ATAC-seq 和 RNA-seq</w:t>
      </w:r>
      <w:r>
        <w:t xml:space="preserve"> </w:t>
      </w:r>
      <w:r>
        <w:t>四膜虫</w:t>
      </w:r>
      <w:r>
        <w:t xml:space="preserve"> </w:t>
      </w:r>
      <w:r>
        <w:t>生命周期。我们发现大核染色体形成染色体大小的相互作用域，而不是典型的 A/B 区室或内部类似 TAD 的层次结构。每个大核染色体表现为端粒限制的结构单元，由两个主要特征组织：高度可及的端粒加帽末端形成稳定的端-端相互作用中心，启动子近端开放染色质位点锚定远程内部启动子中心环，其强度与转录活性相关。在接合过程中，性生命周期</w:t>
      </w:r>
      <w:r>
        <w:t xml:space="preserve"> </w:t>
      </w:r>
      <w:r>
        <w:t>四膜虫</w:t>
      </w:r>
      <w:r>
        <w:t xml:space="preserve"> </w:t>
      </w:r>
      <w:r>
        <w:t>、长程内部环和启动子-启动子接触短暂减少，随后在接合后期恢复，而染色体末端-末端接触保持相对稳定。在相关的纤毛虫中观察到类似的结构</w:t>
      </w:r>
      <w:r>
        <w:t xml:space="preserve"> </w:t>
      </w:r>
      <w:r>
        <w:t>梨形四膜虫</w:t>
      </w:r>
      <w:r>
        <w:t xml:space="preserve"> </w:t>
      </w:r>
      <w:r>
        <w:t>，表明属内的保护。</w:t>
      </w:r>
    </w:p>
    <w:p>
      <w:pPr>
        <w:spacing w:before="0" w:after="200" w:lineRule="auto" w:line="276"/>
      </w:pPr>
      <w:r>
        <w:rPr>
          <w:b/>
        </w:rPr>
        <w:t xml:space="preserve">Abstract (EN): </w:t>
      </w:r>
      <w:r>
        <w:t>Three-dimensional (3D) genome architecture shapes gene regulation, yet the folding principles of compact unicellular genomes remain unclear. Among unicellular eukaryotes, the ciliate</w:t>
      </w:r>
      <w:r>
        <w:t xml:space="preserve"> </w:t>
      </w:r>
      <w:r>
        <w:t>Tetrahymena thermophila</w:t>
      </w:r>
      <w:r>
        <w:t xml:space="preserve"> </w:t>
      </w:r>
      <w:r>
        <w:t>provides a distinctive model, harboring a transcriptionally active somatic macronucleus (MAC) with a genome fragmented into gene-dense minichromosomes and a silent, intact germline micronucleus. To delineate macronuclear chromatin organization, we integrated nucleosome-resolution Micro-C, ATAC-seq, and RNA-seq across the</w:t>
      </w:r>
      <w:r>
        <w:t xml:space="preserve"> </w:t>
      </w:r>
      <w:r>
        <w:t>Tetrahymena</w:t>
      </w:r>
      <w:r>
        <w:t xml:space="preserve"> </w:t>
      </w:r>
      <w:r>
        <w:t>life cycle. We find that macronuclear chromosomes form chromosome-sized interaction domains rather than canonical A/B compartments or internal TAD-like hierarchical structures. Each macronuclear chromosome behaves as a telomere-bounded structural unit organized by two major features: Highly accessible telomere-capped ends form stable end–end interaction hubs, and promoter-proximal open chromatin sites anchor long-range internal promoter-centered loops whose strength correlates with transcriptional activity. During conjugation, the sexual life cycle of</w:t>
      </w:r>
      <w:r>
        <w:t xml:space="preserve"> </w:t>
      </w:r>
      <w:r>
        <w:t>Tetrahymena</w:t>
      </w:r>
      <w:r>
        <w:t xml:space="preserve"> </w:t>
      </w:r>
      <w:r>
        <w:t>, long-range internal loops, and promoter–promoter contacts are transiently diminished and subsequently restored in later conjugation stages, whereas chromosome end–end contacts remain relatively stable. A similar architecture is observed in the related ciliate</w:t>
      </w:r>
      <w:r>
        <w:t xml:space="preserve"> </w:t>
      </w:r>
      <w:r>
        <w:t>Tetrahymena pyriformis</w:t>
      </w:r>
      <w:r>
        <w:t xml:space="preserve"> </w:t>
      </w:r>
      <w:r>
        <w:t>, indicating conservation within the genus. Together, our results define a compact, end-anchored, and promoter-centric genome-folding strategy that organizes a fragmented, gene-dense, transcriptionally active genome without the canonical compartment/TAD hierarchy seen in metazoan genomes. These findings expand the known repertoire of eukaryotic 3D genome architectures and suggest that promoter-associated transcription hubs can evolve independently in divergent eukaryotic lineages.</w:t>
      </w:r>
    </w:p>
    <w:p>
      <w:pPr>
        <w:spacing w:before="120" w:after="120"/>
      </w:pPr>
      <w:r>
        <w:rPr>
          <w:sz w:val="18"/>
        </w:rPr>
        <w:t>——————————————————————————————————————————————————————————————————————</w:t>
      </w:r>
    </w:p>
    <w:p>
      <w:pPr>
        <w:spacing w:before="160" w:after="40" w:line="240" w:lineRule="auto"/>
      </w:pPr>
      <w:r>
        <w:rPr>
          <w:b/>
        </w:rPr>
        <w:t xml:space="preserve">[631] </w:t>
      </w:r>
      <w:hyperlink r:id="rId1489">
        <w:r>
          <w:rPr>
            <w:color w:val="1155CC"/>
            <w:u w:val="single"/>
          </w:rPr>
          <w:t>转录生物传感器揭示了 α-酮戊二酸信号传导至染色质的机制</w:t>
        </w:r>
      </w:hyperlink>
    </w:p>
    <w:p>
      <w:pPr>
        <w:spacing w:before="0" w:after="80"/>
      </w:pPr>
      <w:r>
        <w:rPr>
          <w:i/>
          <w:sz w:val="20"/>
        </w:rPr>
        <w:t>EN: A transcriptional biosensor reveals mechanisms of α-ketoglutarate signaling to chromatin</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490">
        <w:r>
          <w:rPr>
            <w:color w:val="1155CC"/>
            <w:u w:val="single"/>
          </w:rPr>
          <w:t>10.1126/science.adx8675</w:t>
        </w:r>
      </w:hyperlink>
    </w:p>
    <w:p>
      <w:pPr>
        <w:spacing w:before="0" w:after="120"/>
      </w:pPr>
      <w:r>
        <w:rPr>
          <w:b/>
        </w:rPr>
        <w:t xml:space="preserve">Notes: </w:t>
      </w:r>
      <w:r>
        <w:t>abstract_source=crossref</w:t>
      </w:r>
    </w:p>
    <w:p>
      <w:pPr>
        <w:spacing w:before="0" w:after="80" w:lineRule="auto" w:line="276"/>
      </w:pPr>
      <w:r>
        <w:rPr>
          <w:b/>
        </w:rPr>
        <w:t xml:space="preserve">摘要（ZH）: </w:t>
      </w:r>
      <w:r>
        <w:t>染色质去甲基化需要代谢物 α-酮戊二酸 (αKG)，但控制细胞核中 αKG 丰度的机制尚不清楚。我们设计了一种生物传感器，使用 αKG 响应的蓝藻转录因子 NtcA 来监测人体细胞中的代谢物池，并用它来识别细胞核中调节 αKG 的基因。我们定义了一条细胞器间途径，其中谷氨酸-丙酮酸转氨酶 2 (GPT2) 和 SLC25A11 转运蛋白的连续线粒体活性提供核 αKG。在 GPT2 缺乏症（一种先天性代谢缺陷）的小鼠模型中，GPT2 缺失导致大脑中组蛋白高甲基化和神经发育基因失调。恢复 αKG 可以抵消这些变化并促进小鼠的健康。我们的工作提供了一种直接监测核 αKG 的工具，并揭示了核 αKG 耗竭是 GPT2 缺陷的关键致病机制。</w:t>
      </w:r>
    </w:p>
    <w:p>
      <w:pPr>
        <w:spacing w:before="0" w:after="200" w:lineRule="auto" w:line="276"/>
      </w:pPr>
      <w:r>
        <w:rPr>
          <w:b/>
        </w:rPr>
        <w:t xml:space="preserve">Abstract (EN): </w:t>
      </w:r>
      <w:r>
        <w:t>The metabolite α-ketoglutarate (αKG) is required for chromatin demethylation, but mechanisms that control αKG abundance in the nucleus are poorly defined. We designed a biosensor to monitor this metabolite pool in human cells using an αKG-responsive cyanobacterial transcription factor, NtcA, and used it to identify genes that regulate αKG in the nucleus. We defined an interorganelle pathway in which sequential mitochondrial activities of glutamic-pyruvic transaminase 2 (GPT2) and the SLC25A11 transporter supply nuclear αKG. In a mouse model of GPT2 deficiency, an inborn error of metabolism, Gpt2 loss caused histone hypermethylation in the brain and dysregulated neurodevelopmental genes. Restoring αKG counteracted these changes and promoted mouse fitness. Our work provides a tool to directly monitor nuclear αKG and reveals nuclear αKG depletion as a key pathogenic mechanism underlying GPT2 deficiency.</w:t>
      </w:r>
    </w:p>
    <w:p>
      <w:pPr>
        <w:spacing w:before="120" w:after="120"/>
      </w:pPr>
      <w:r>
        <w:rPr>
          <w:sz w:val="18"/>
        </w:rPr>
        <w:t>——————————————————————————————————————————————————————————————————————</w:t>
      </w:r>
    </w:p>
    <w:p>
      <w:pPr>
        <w:spacing w:before="160" w:after="40" w:line="240" w:lineRule="auto"/>
      </w:pPr>
      <w:r>
        <w:rPr>
          <w:b/>
        </w:rPr>
        <w:t xml:space="preserve">[632] </w:t>
      </w:r>
      <w:hyperlink r:id="rId1491">
        <w:r>
          <w:rPr>
            <w:color w:val="1155CC"/>
            <w:u w:val="single"/>
          </w:rPr>
          <w:t>TOPMed 中表达和剪接数量性状位点的跨队列分析</w:t>
        </w:r>
      </w:hyperlink>
    </w:p>
    <w:p>
      <w:pPr>
        <w:spacing w:before="0" w:after="80"/>
      </w:pPr>
      <w:r>
        <w:rPr>
          <w:i/>
          <w:sz w:val="20"/>
        </w:rPr>
        <w:t>EN: Cross-cohort analysis of expression and splicing quantitative trait loci in TOPMed</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492">
        <w:r>
          <w:rPr>
            <w:color w:val="1155CC"/>
            <w:u w:val="single"/>
          </w:rPr>
          <w:t>10.1126/science.adx2989</w:t>
        </w:r>
      </w:hyperlink>
    </w:p>
    <w:p>
      <w:pPr>
        <w:spacing w:before="0" w:after="120"/>
      </w:pPr>
      <w:r>
        <w:rPr>
          <w:b/>
        </w:rPr>
        <w:t xml:space="preserve">Notes: </w:t>
      </w:r>
      <w:r>
        <w:t>abstract_source=crossref</w:t>
      </w:r>
    </w:p>
    <w:p>
      <w:pPr>
        <w:spacing w:before="0" w:after="80" w:lineRule="auto" w:line="276"/>
      </w:pPr>
      <w:r>
        <w:rPr>
          <w:b/>
        </w:rPr>
        <w:t xml:space="preserve">摘要（ZH）: </w:t>
      </w:r>
      <w:r>
        <w:t>大多数与复杂性状相关的遗传变异被假设为调节基因表达。为了了解基因表达变异性背后的遗传学原理，我们对来自 Trans-Omics for Precision Medicine 项目的 14,324 个 RNA 测序样本进行了表征，并对六种组织和细胞类型（包括全血）进行了表达和剪接数量性状位点 (e/sQTL) 分析。</w:t>
      </w:r>
      <w:r>
        <w:t xml:space="preserve"> </w:t>
      </w:r>
      <w:r>
        <w:t>n</w:t>
      </w:r>
      <w:r>
        <w:t xml:space="preserve"> </w:t>
      </w:r>
      <w:r>
        <w:t>= 6454）和肺（</w:t>
      </w:r>
      <w:r>
        <w:t xml:space="preserve"> </w:t>
      </w:r>
      <w:r>
        <w:t>n</w:t>
      </w:r>
      <w:r>
        <w:t xml:space="preserve"> </w:t>
      </w:r>
      <w:r>
        <w:t>= 1291）。我们检测到了数以万计的次级 cis-e/sQTL，表明次级 cis-e/sQTL 的发现仍然不饱和。我们对来自英国生物银行的 164 个性状的全基因组关联研究 (GWAS) 信号进行了精细绘图，并确定了 10,611 个 GWAS 信号的 e/sQTL 共定位，其中包括 7096 个与次级 e/sQTL 共定位的信号。我们的结果表明，更大规模的 e/sQTL 分析将发现更多的次级 e/sQTL，进一步有利于 GWAS 解释。</w:t>
      </w:r>
    </w:p>
    <w:p>
      <w:pPr>
        <w:spacing w:before="0" w:after="200" w:lineRule="auto" w:line="276"/>
      </w:pPr>
      <w:r>
        <w:rPr>
          <w:b/>
        </w:rPr>
        <w:t xml:space="preserve">Abstract (EN): </w:t>
      </w:r>
      <w:r>
        <w:t>Most genetic variants associated with complex traits are hypothesized to regulate gene expression. To understand the genetics underlying gene expression variability, we characterized 14,324 RNA-sequencing samples from the Trans-Omics for Precision Medicine program and performed expression and splicing quantitative trait locus (e/sQTL) analyses in six tissues and cell types, including whole blood (</w:t>
      </w:r>
      <w:r>
        <w:t xml:space="preserve"> </w:t>
      </w:r>
      <w:r>
        <w:t>n</w:t>
      </w:r>
      <w:r>
        <w:t xml:space="preserve"> </w:t>
      </w:r>
      <w:r>
        <w:t>= 6454) and lung (</w:t>
      </w:r>
      <w:r>
        <w:t xml:space="preserve"> </w:t>
      </w:r>
      <w:r>
        <w:t>n</w:t>
      </w:r>
      <w:r>
        <w:t xml:space="preserve"> </w:t>
      </w:r>
      <w:r>
        <w:t>= 1291). We detected tens of thousands of secondary cis-e/sQTLs, showing that secondary cis-e/sQTL discovery remains unsaturated. We fine-mapped UK Biobank–derived genome-wide association study (GWAS) signals from 164 traits and identified e/sQTL colocalizations for 10,611 GWAS signals, including 7096 that colocalize with secondary e/sQTLs. Our results suggest that even larger e/sQTL analyses will uncover additional secondary e/sQTLs, further benefiting GWAS interpretation.</w:t>
      </w:r>
    </w:p>
    <w:p>
      <w:pPr>
        <w:spacing w:before="120" w:after="120"/>
      </w:pPr>
      <w:r>
        <w:rPr>
          <w:sz w:val="18"/>
        </w:rPr>
        <w:t>——————————————————————————————————————————————————————————————————————</w:t>
      </w:r>
    </w:p>
    <w:p>
      <w:pPr>
        <w:spacing w:before="160" w:after="40" w:line="240" w:lineRule="auto"/>
      </w:pPr>
      <w:r>
        <w:rPr>
          <w:b/>
        </w:rPr>
        <w:t xml:space="preserve">[633] </w:t>
      </w:r>
      <w:hyperlink r:id="rId1493">
        <w:r>
          <w:rPr>
            <w:color w:val="1155CC"/>
            <w:u w:val="single"/>
          </w:rPr>
          <w:t>通过惊喜设计推动科学发展</w:t>
        </w:r>
      </w:hyperlink>
    </w:p>
    <w:p>
      <w:pPr>
        <w:spacing w:before="0" w:after="80"/>
      </w:pPr>
      <w:r>
        <w:rPr>
          <w:i/>
          <w:sz w:val="20"/>
        </w:rPr>
        <w:t>EN: Advancing science by designing for surprise</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494">
        <w:r>
          <w:rPr>
            <w:color w:val="1155CC"/>
            <w:u w:val="single"/>
          </w:rPr>
          <w:t>10.1126/science.aej4257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[634] </w:t>
      </w:r>
      <w:hyperlink r:id="rId1495">
        <w:r>
          <w:rPr>
            <w:color w:val="1155CC"/>
            <w:u w:val="single"/>
          </w:rPr>
          <w:t>大洋转换断层的循环封闭与排水</w:t>
        </w:r>
      </w:hyperlink>
    </w:p>
    <w:p>
      <w:pPr>
        <w:spacing w:before="0" w:after="80"/>
      </w:pPr>
      <w:r>
        <w:rPr>
          <w:i/>
          <w:sz w:val="20"/>
        </w:rPr>
        <w:t>EN: Cyclic sealing and drainage on an oceanic transform fault</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496">
        <w:r>
          <w:rPr>
            <w:color w:val="1155CC"/>
            <w:u w:val="single"/>
          </w:rPr>
          <w:t>10.1126/science.aed5665</w:t>
        </w:r>
      </w:hyperlink>
    </w:p>
    <w:p>
      <w:pPr>
        <w:spacing w:before="0" w:after="120"/>
      </w:pPr>
      <w:r>
        <w:rPr>
          <w:b/>
        </w:rPr>
        <w:t xml:space="preserve">Notes: </w:t>
      </w:r>
      <w:r>
        <w:t>abstract_source=crossref</w:t>
      </w:r>
    </w:p>
    <w:p>
      <w:pPr>
        <w:spacing w:before="0" w:after="80" w:lineRule="auto" w:line="276"/>
      </w:pPr>
      <w:r>
        <w:rPr>
          <w:b/>
        </w:rPr>
        <w:t xml:space="preserve">摘要（ZH）: </w:t>
      </w:r>
      <w:r>
        <w:t>大洋转换断层被认为是保守的、剪切主导的边界，但它们靠近岩浆系统意味着流体参与。在这项工作中，我们在东太平洋海隆沿线的戈法尔转换断层发现了潮汐调制震颤。在稀疏地震活动和低现场压缩波与剪切波速度比期间，震颤幅度与半日潮汐相关（</w:t>
      </w:r>
      <w:r>
        <w:t xml:space="preserve"> </w:t>
      </w:r>
      <w:r>
        <w:t>V</w:t>
      </w:r>
      <w:r>
        <w:t xml:space="preserve"> </w:t>
      </w:r>
      <w:r>
        <w:t>p/</w:t>
      </w:r>
      <w:r>
        <w:t>V</w:t>
      </w:r>
      <w:r>
        <w:t xml:space="preserve"> </w:t>
      </w:r>
      <w:r>
        <w:t>s），但这种相关性在地震群伴随着高</w:t>
      </w:r>
      <w:r>
        <w:t xml:space="preserve"> </w:t>
      </w:r>
      <w:r>
        <w:t>V</w:t>
      </w:r>
      <w:r>
        <w:t xml:space="preserve"> </w:t>
      </w:r>
      <w:r>
        <w:t>p/</w:t>
      </w:r>
      <w:r>
        <w:t>V</w:t>
      </w:r>
      <w:r>
        <w:t xml:space="preserve"> </w:t>
      </w:r>
      <w:r>
        <w:t>s。我们提出了一种类似阀门的密封排水动态过程，其中密封捕获挥发物并提高潮汐敏感性，维持震动活动，直到破裂打开高孔隙度和渗透率通道，从而消除震动，触发微震，并通过热液重新密封重置系统。因此，转换断层可能具有渗透性和潮汐临界性，能量释放在震动和破裂之间振荡，并随着岩浆挥发性供应和愈合而变化。</w:t>
      </w:r>
    </w:p>
    <w:p>
      <w:pPr>
        <w:spacing w:before="0" w:after="200" w:lineRule="auto" w:line="276"/>
      </w:pPr>
      <w:r>
        <w:rPr>
          <w:b/>
        </w:rPr>
        <w:t xml:space="preserve">Abstract (EN): </w:t>
      </w:r>
      <w:r>
        <w:t>Oceanic transform faults have been considered conservative, shear-dominated boundaries, yet their proximity to magmatic systems implies fluid involvement. In this work, we discovered tidally modulated tremor at the Gofar transform fault along the East Pacific Rise. Tremor amplitude correlates with semidiurnal tides during periods of sparse seismicity and low in situ compressional to shear wave velocity ratio (</w:t>
      </w:r>
      <w:r>
        <w:t xml:space="preserve"> </w:t>
      </w:r>
      <w:r>
        <w:t>V</w:t>
      </w:r>
      <w:r>
        <w:t xml:space="preserve"> </w:t>
      </w:r>
      <w:r>
        <w:t>p/</w:t>
      </w:r>
      <w:r>
        <w:t>V</w:t>
      </w:r>
      <w:r>
        <w:t xml:space="preserve"> </w:t>
      </w:r>
      <w:r>
        <w:t>s), but this correlation weakens following earthquake swarms accompanied by high</w:t>
      </w:r>
      <w:r>
        <w:t xml:space="preserve"> </w:t>
      </w:r>
      <w:r>
        <w:t>V</w:t>
      </w:r>
      <w:r>
        <w:t xml:space="preserve"> </w:t>
      </w:r>
      <w:r>
        <w:t>p/</w:t>
      </w:r>
      <w:r>
        <w:t>V</w:t>
      </w:r>
      <w:r>
        <w:t xml:space="preserve"> </w:t>
      </w:r>
      <w:r>
        <w:t>s. We propose a valve-like sealing-drainage dynamic process where sealing traps volatiles and boosts tidal sensitivity, sustaining tremor activity until rupture opens high porosity and permeability pathways, which silences tremors, triggers microseismicity, and resets the system through hydrothermal resealing. Thus, transform faults are likely permeable and tide critical, with energy release oscillating between tremors and rupture, paced by magmatic volatile supply and healing.</w:t>
      </w:r>
    </w:p>
    <w:p>
      <w:pPr>
        <w:spacing w:before="120" w:after="120"/>
      </w:pPr>
      <w:r>
        <w:rPr>
          <w:sz w:val="18"/>
        </w:rPr>
        <w:t>——————————————————————————————————————————————————————————————————————</w:t>
      </w:r>
    </w:p>
    <w:p>
      <w:pPr>
        <w:spacing w:before="160" w:after="40" w:line="240" w:lineRule="auto"/>
      </w:pPr>
      <w:r>
        <w:rPr>
          <w:b/>
        </w:rPr>
        <w:t xml:space="preserve">[635] </w:t>
      </w:r>
      <w:hyperlink r:id="rId1497">
        <w:r>
          <w:rPr>
            <w:color w:val="1155CC"/>
            <w:u w:val="single"/>
          </w:rPr>
          <w:t>组织驻留巨噬细胞恢复对衰老中性粒细胞的清除限制器官衰老</w:t>
        </w:r>
      </w:hyperlink>
    </w:p>
    <w:p>
      <w:pPr>
        <w:spacing w:before="0" w:after="80"/>
      </w:pPr>
      <w:r>
        <w:rPr>
          <w:i/>
          <w:sz w:val="20"/>
        </w:rPr>
        <w:t>EN: Restored clearance of senescent neutrophils by tissue-resident macrophages limits organ aging</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498">
        <w:r>
          <w:rPr>
            <w:color w:val="1155CC"/>
            <w:u w:val="single"/>
          </w:rPr>
          <w:t>10.1126/science.aea3075</w:t>
        </w:r>
      </w:hyperlink>
    </w:p>
    <w:p>
      <w:pPr>
        <w:spacing w:before="0" w:after="120"/>
      </w:pPr>
      <w:r>
        <w:rPr>
          <w:b/>
        </w:rPr>
        <w:t xml:space="preserve">Notes: </w:t>
      </w:r>
      <w:r>
        <w:t>abstract_source=crossref</w:t>
      </w:r>
    </w:p>
    <w:p>
      <w:pPr>
        <w:spacing w:before="0" w:after="80" w:lineRule="auto" w:line="276"/>
      </w:pPr>
      <w:r>
        <w:rPr>
          <w:b/>
        </w:rPr>
        <w:t xml:space="preserve">摘要（ZH）: </w:t>
      </w:r>
      <w:r>
        <w:t>衰老会破坏各个器官系统的组织稳态。在这里，我们将组织驻留巨噬细胞 (TRM) 确定为通过衰老中性粒细胞清除受损而导致与年龄相关的器官衰退的中央协调者，这一过程受免疫调节性前列腺素 E2 (PGE2) 调节</w:t>
      </w:r>
      <w:r>
        <w:rPr>
          <w:vertAlign w:val="subscript"/>
        </w:rPr>
        <w:t>2</w:t>
      </w:r>
      <w:r>
        <w:t>）受体EP2。减少老年小鼠的 TRM EP2 信号传导可以保持年轻的线粒体健康，并预防认知能力下降、虚弱、肌肉减少症、肥胖、心脏损伤和全身炎症。血浆蛋白质组学表明肝脏是与年龄相关的免疫变化的主要来源，其中减少 TRM EP2 信号可挽救中性粒细胞胞吐作用并防止邻近细胞的旁分泌应激。在衰老和患病的人体组织中还观察到 TRM EP2 表达升高和中性粒细胞衰老。药理学 EP2 抑制可恢复年轻的中性粒细胞清除率，将受损的 TRM 胞吞作用确定为衰老过程中器官衰退的可逆驱动因素。</w:t>
      </w:r>
    </w:p>
    <w:p>
      <w:pPr>
        <w:spacing w:before="0" w:after="200" w:lineRule="auto" w:line="276"/>
      </w:pPr>
      <w:r>
        <w:rPr>
          <w:b/>
        </w:rPr>
        <w:t xml:space="preserve">Abstract (EN): </w:t>
      </w:r>
      <w:r>
        <w:t>Aging disrupts tissue homeostasis across organ systems. Here, we identify tissue-resident macrophages (TRMs) as central coordinators of age-related organ decline through impaired clearance of senescent neutrophils, a process regulated by the immunomodulatory prostaglandin E2 (PGE</w:t>
      </w:r>
      <w:r>
        <w:rPr>
          <w:vertAlign w:val="subscript"/>
        </w:rPr>
        <w:t>2</w:t>
      </w:r>
      <w:r>
        <w:t>) receptor EP2. Reducing TRM EP2 signaling in aged mice preserved youthful mitochondrial fitness and prevented cognitive decline, frailty, sarcopenia, adiposity, cardiac impairment, and systemic inflammation. Plasma proteomics implicated the liver as a major source of age-associated immune change, in which reduced TRM EP2 signaling rescued neutrophil efferocytosis and prevented paracrine stress in neighboring cells. Elevated TRM EP2 expression and senescent neutrophils were also observed in aged and diseased human tissues. Pharmacologic EP2 inhibition restored youthful neutrophil clearance, establishing impaired TRM efferocytosis as a reversible driver of organ decline in aging.</w:t>
      </w:r>
    </w:p>
    <w:p>
      <w:pPr>
        <w:spacing w:before="120" w:after="120"/>
      </w:pPr>
      <w:r>
        <w:rPr>
          <w:sz w:val="18"/>
        </w:rPr>
        <w:t>——————————————————————————————————————————————————————————————————————</w:t>
      </w:r>
    </w:p>
    <w:p>
      <w:pPr>
        <w:spacing w:before="160" w:after="40" w:line="240" w:lineRule="auto"/>
      </w:pPr>
      <w:r>
        <w:rPr>
          <w:b/>
        </w:rPr>
        <w:t xml:space="preserve">[636] </w:t>
      </w:r>
      <w:hyperlink r:id="rId1499">
        <w:r>
          <w:rPr>
            <w:color w:val="1155CC"/>
            <w:u w:val="single"/>
          </w:rPr>
          <w:t>树突状细胞控制癌症中三级淋巴结构的发育和维持</w:t>
        </w:r>
      </w:hyperlink>
    </w:p>
    <w:p>
      <w:pPr>
        <w:spacing w:before="0" w:after="80"/>
      </w:pPr>
      <w:r>
        <w:rPr>
          <w:i/>
          <w:sz w:val="20"/>
        </w:rPr>
        <w:t>EN: Dendritic cells control tertiary lymphoid structure development and maintenance in cancer</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500">
        <w:r>
          <w:rPr>
            <w:color w:val="1155CC"/>
            <w:u w:val="single"/>
          </w:rPr>
          <w:t>10.1126/science.ady1678</w:t>
        </w:r>
      </w:hyperlink>
    </w:p>
    <w:p>
      <w:pPr>
        <w:spacing w:before="0" w:after="120"/>
      </w:pPr>
      <w:r>
        <w:rPr>
          <w:b/>
        </w:rPr>
        <w:t xml:space="preserve">Notes: </w:t>
      </w:r>
      <w:r>
        <w:t>abstract_source=crossref</w:t>
      </w:r>
    </w:p>
    <w:p>
      <w:pPr>
        <w:spacing w:before="0" w:after="80" w:lineRule="auto" w:line="276"/>
      </w:pPr>
      <w:r>
        <w:rPr>
          <w:b/>
        </w:rPr>
        <w:t xml:space="preserve">摘要（ZH）: </w:t>
      </w:r>
      <w:r>
        <w:t>三级淋巴结构（TLS）与免疫治疗反应相关，但控制其形成和维持的机制仍不清楚。通过对人类肿瘤进行空间转录组学和多重成像，我们发现 CCR7</w:t>
      </w:r>
      <w:r>
        <w:t xml:space="preserve"> </w:t>
      </w:r>
      <w:r>
        <w:t>+</w:t>
      </w:r>
      <w:r>
        <w:t xml:space="preserve"> </w:t>
      </w:r>
      <w:r>
        <w:t>成熟的树突状细胞 (DC) 在 TLS 中积累。在形成成熟 TLS 的小鼠非小细胞肺癌模型中，我们发现早期 TLS 的发育需要干扰素 γ (IFN-γ) 驱动的 1 型常规树突状细胞 (cDC1) 成熟、迁移到肿瘤引流淋巴结 (tdLN) 和 T 细胞招募。随着肿瘤的进展，TLS 独立于 tdLN T 细胞的排出而持续存在，与肿瘤内 CCL19 基质中心内的 cDC1 积累一致。在那里，cDC1-主要组织相容性复合物 1 类 (MHC-I) 和 -MHC-II 伴随抗原呈递，以及 CD40 信号传导，维持 TLS、T 滤泡辅助细胞 (T</w:t>
      </w:r>
      <w:r>
        <w:t xml:space="preserve"> </w:t>
      </w:r>
      <w:r>
        <w:t>跳频</w:t>
      </w:r>
      <w:r>
        <w:t xml:space="preserve"> </w:t>
      </w:r>
      <w:r>
        <w:t>) 细胞库、生发中心和肿瘤特异性免疫球蛋白 G (IgG)。这些发现强调了本地成熟的 cDC1 作为关键 TLS 协调器和增强抗肿瘤 TLS 功能的潜在目标。</w:t>
      </w:r>
    </w:p>
    <w:p>
      <w:pPr>
        <w:spacing w:before="0" w:after="200" w:lineRule="auto" w:line="276"/>
      </w:pPr>
      <w:r>
        <w:rPr>
          <w:b/>
        </w:rPr>
        <w:t xml:space="preserve">Abstract (EN): </w:t>
      </w:r>
      <w:r>
        <w:t>Tertiary lymphoid structures (TLSs) are associated with immunotherapy response, yet the mechanisms controlling their formation and maintenance remain unclear. Using spatial transcriptomics and multiplex imaging across human tumors, we found that CCR7</w:t>
      </w:r>
      <w:r>
        <w:t xml:space="preserve"> </w:t>
      </w:r>
      <w:r>
        <w:t>+</w:t>
      </w:r>
      <w:r>
        <w:t xml:space="preserve"> </w:t>
      </w:r>
      <w:r>
        <w:t>mature dendritic cells (DCs) accumulate in TLSs. In a mouse non–small cell lung cancer model that forms mature TLSs, we show that early TLS development requires interferon-γ (IFN-γ)–driven type 1 conventional dendritic cell (cDC1) maturation, migration to tumor-draining lymph nodes (tdLNs), and T cell recruitment. As tumors progress, TLSs persist independently of tdLN T cell egress, coinciding with cDC1 accumulation within intratumoral CCL19 stromal hubs. There, cDC1–major histocompatibility complex class 1 (MHC-I) and –MHC-II concomitant antigen presentation, along with CD40 signaling, sustain TLS, T follicular helper (T</w:t>
      </w:r>
      <w:r>
        <w:t xml:space="preserve"> </w:t>
      </w:r>
      <w:r>
        <w:t>FH</w:t>
      </w:r>
      <w:r>
        <w:t xml:space="preserve"> </w:t>
      </w:r>
      <w:r>
        <w:t>) cell pool, germinal centers, and tumor-specific immunoglobulin G (IgG). These findings highlight local mature cDC1s as key TLS orchestrators and potential targets to enhance antitumor TLS function.</w:t>
      </w:r>
    </w:p>
    <w:p>
      <w:pPr>
        <w:spacing w:before="120" w:after="120"/>
      </w:pPr>
      <w:r>
        <w:rPr>
          <w:sz w:val="18"/>
        </w:rPr>
        <w:t>——————————————————————————————————————————————————————————————————————</w:t>
      </w:r>
    </w:p>
    <w:p>
      <w:pPr>
        <w:spacing w:before="160" w:after="40" w:line="240" w:lineRule="auto"/>
      </w:pPr>
      <w:r>
        <w:rPr>
          <w:b/>
        </w:rPr>
        <w:t xml:space="preserve">[637] </w:t>
      </w:r>
      <w:hyperlink r:id="rId1501">
        <w:r>
          <w:rPr>
            <w:color w:val="1155CC"/>
            <w:u w:val="single"/>
          </w:rPr>
          <w:t>对 Raghuvanshi 等人的担忧，结核分枝杆菌通过招募间充质干细胞来逃避宿主免疫</w:t>
        </w:r>
      </w:hyperlink>
    </w:p>
    <w:p>
      <w:pPr>
        <w:spacing w:before="0" w:after="80"/>
      </w:pPr>
      <w:r>
        <w:rPr>
          <w:i/>
          <w:sz w:val="20"/>
        </w:rPr>
        <w:t>EN: Expression of Concern for Raghuvanshi et al., Mycobacterium tuberculosis evades host immunity by recruiting mesenchymal stem cells</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02">
        <w:r>
          <w:rPr>
            <w:color w:val="1155CC"/>
            <w:u w:val="single"/>
          </w:rPr>
          <w:t>10.1073/pnas.2622755123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[638] </w:t>
      </w:r>
      <w:hyperlink r:id="rId1503">
        <w:r>
          <w:rPr>
            <w:color w:val="1155CC"/>
            <w:u w:val="single"/>
          </w:rPr>
          <w:t>追踪圣赫勒拿岛解放非洲人的起源</w:t>
        </w:r>
      </w:hyperlink>
    </w:p>
    <w:p>
      <w:pPr>
        <w:spacing w:before="0" w:after="80"/>
      </w:pPr>
      <w:r>
        <w:rPr>
          <w:i/>
          <w:sz w:val="20"/>
        </w:rPr>
        <w:t>EN: Tracing the origins of St Helena’s liberated Africans</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504">
        <w:r>
          <w:rPr>
            <w:color w:val="1155CC"/>
            <w:u w:val="single"/>
          </w:rPr>
          <w:t>10.1126/science.aeb3661</w:t>
        </w:r>
      </w:hyperlink>
    </w:p>
    <w:p>
      <w:pPr>
        <w:spacing w:before="0" w:after="120"/>
      </w:pPr>
      <w:r>
        <w:rPr>
          <w:b/>
        </w:rPr>
        <w:t xml:space="preserve">Notes: </w:t>
      </w:r>
      <w:r>
        <w:t>abstract_source=crossref</w:t>
      </w:r>
    </w:p>
    <w:p>
      <w:pPr>
        <w:spacing w:before="0" w:after="80" w:lineRule="auto" w:line="276"/>
      </w:pPr>
      <w:r>
        <w:rPr>
          <w:b/>
        </w:rPr>
        <w:t xml:space="preserve">摘要（ZH）: </w:t>
      </w:r>
      <w:r>
        <w:t>19 世纪中叶，圣赫勒拿岛成为英国皇家海军从非法奴隶船上“解放”出来的非洲人的重要接收点。在约 27,000 名登陆者中，约 8000 人在抵达后不久就死亡并被埋葬在当地。结合更广泛的社区主导的纪念活动，我们分析了牙釉质锶同位素（</w:t>
      </w:r>
      <w:r>
        <w:rPr>
          <w:vertAlign w:val="subscript"/>
        </w:rPr>
        <w:t>87</w:t>
      </w:r>
      <w:r>
        <w:t>锶/</w:t>
      </w:r>
      <w:r>
        <w:rPr>
          <w:vertAlign w:val="subscript"/>
        </w:rPr>
        <w:t>86</w:t>
      </w:r>
      <w:r>
        <w:t>Sr) 152 个人的数据，包括高分辨率的牙内轮廓，用于识别可能的起源并推断登船前的强迫运动。基于等景观的概率分配，结合历史证据和已发表的古代 DNA 数据，限制了从中非沿海到遥远内陆地区的家园，揭示了长距离运动，有时从童年开始。通过细化出处，这些数据为当地有关护理和潜在遣返的决策提供了信息，突出了返回的复杂性，并最终支持在圣赫勒拿岛重新埋葬。</w:t>
      </w:r>
    </w:p>
    <w:p>
      <w:pPr>
        <w:spacing w:before="0" w:after="200" w:lineRule="auto" w:line="276"/>
      </w:pPr>
      <w:r>
        <w:rPr>
          <w:b/>
        </w:rPr>
        <w:t xml:space="preserve">Abstract (EN): </w:t>
      </w:r>
      <w:r>
        <w:t>In the mid-19th century, St Helena became a key receiving point for Africans “liberated” from illegal slave ships by the British Royal Navy. Of the ~27,000 landed, ~8000 died soon after arrival and were buried locally. In connection with a broader community-led commemorative effort, we analyzed tooth enamel strontium isotope (</w:t>
      </w:r>
      <w:r>
        <w:rPr>
          <w:vertAlign w:val="subscript"/>
        </w:rPr>
        <w:t>87</w:t>
      </w:r>
      <w:r>
        <w:t>Sr/</w:t>
      </w:r>
      <w:r>
        <w:rPr>
          <w:vertAlign w:val="subscript"/>
        </w:rPr>
        <w:t>86</w:t>
      </w:r>
      <w:r>
        <w:t>Sr) data for 152 individuals, including high-resolution intratooth profiles, to identify likely origins and infer forced movements before embarkation. Isoscape-based probabilistic assignment, integrated with historical evidence and published ancient DNA data, constrains homelands ranging from coastal Central Africa to far inland areas, revealing long-distance movements, sometimes beginning in childhood. By refining provenance, these data informed local decisions about care and potential repatriation, highlighting the complexities of return and ultimately supporting reburial on St Helena.</w:t>
      </w:r>
    </w:p>
    <w:p>
      <w:pPr>
        <w:spacing w:before="120" w:after="120"/>
      </w:pPr>
      <w:r>
        <w:rPr>
          <w:sz w:val="18"/>
        </w:rPr>
        <w:t>——————————————————————————————————————————————————————————————————————</w:t>
      </w:r>
    </w:p>
    <w:p>
      <w:pPr>
        <w:spacing w:before="160" w:after="40" w:line="240" w:lineRule="auto"/>
      </w:pPr>
      <w:r>
        <w:rPr>
          <w:b/>
        </w:rPr>
        <w:t xml:space="preserve">[639] </w:t>
      </w:r>
      <w:hyperlink r:id="rId1505">
        <w:r>
          <w:rPr>
            <w:color w:val="1155CC"/>
            <w:u w:val="single"/>
          </w:rPr>
          <w:t>IL-7-葡萄糖-Aiolos 轴协调脊柱关节炎中致病性 CD8+ T 细胞功能</w:t>
        </w:r>
      </w:hyperlink>
    </w:p>
    <w:p>
      <w:pPr>
        <w:spacing w:before="0" w:after="80"/>
      </w:pPr>
      <w:r>
        <w:rPr>
          <w:i/>
          <w:sz w:val="20"/>
        </w:rPr>
        <w:t>EN: IL-7–glucose–Aiolos axis orchestrates pathogenic CD8+ T cell function in spondyloarthritis</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06">
        <w:r>
          <w:rPr>
            <w:color w:val="1155CC"/>
            <w:u w:val="single"/>
          </w:rPr>
          <w:t>10.1073/pnas.2536238123</w:t>
        </w:r>
      </w:hyperlink>
    </w:p>
    <w:p>
      <w:pPr>
        <w:spacing w:before="0" w:after="120"/>
      </w:pPr>
      <w:r>
        <w:rPr>
          <w:b/>
        </w:rPr>
        <w:t xml:space="preserve">Notes: </w:t>
      </w:r>
      <w:r>
        <w:t>abstract_source=crossref</w:t>
      </w:r>
    </w:p>
    <w:p>
      <w:pPr>
        <w:spacing w:before="0" w:after="80" w:lineRule="auto" w:line="276"/>
      </w:pPr>
      <w:r>
        <w:rPr>
          <w:b/>
        </w:rPr>
        <w:t xml:space="preserve">摘要（ZH）: </w:t>
      </w:r>
      <w:r>
        <w:t>CD8</w:t>
      </w:r>
      <w:r>
        <w:t xml:space="preserve"> </w:t>
      </w:r>
      <w:r>
        <w:t>+</w:t>
      </w:r>
      <w:r>
        <w:t xml:space="preserve"> </w:t>
      </w:r>
      <w:r>
        <w:t>T 细胞是宿主防御的重要介质，而它们的异常激活会导致脊柱关节炎等炎症性疾病。控制人类CD8的分子机制</w:t>
      </w:r>
      <w:r>
        <w:t xml:space="preserve"> </w:t>
      </w:r>
      <w:r>
        <w:t>+</w:t>
      </w:r>
      <w:r>
        <w:t xml:space="preserve"> </w:t>
      </w:r>
      <w:r>
        <w:t>T 细胞效应器编程仍不完全清楚。在这里，我们鉴定了人类 CD8 的代谢上不同的子集</w:t>
      </w:r>
      <w:r>
        <w:t xml:space="preserve"> </w:t>
      </w:r>
      <w:r>
        <w:t>+</w:t>
      </w:r>
      <w:r>
        <w:t xml:space="preserve"> </w:t>
      </w:r>
      <w:r>
        <w:t>T 细胞的特征是 CXCR3、IL-7R 和 GLUT1 高表达，转录因子 Aiolos 低表达。 IL-7–JAK–STAT 信号传导与 GLUT1 表达和葡萄糖摄取增加相关，同时伴随 CD8 中 Aiolos 表达减少</w:t>
      </w:r>
      <w:r>
        <w:t xml:space="preserve"> </w:t>
      </w:r>
      <w:r>
        <w:t>+</w:t>
      </w:r>
      <w:r>
        <w:t xml:space="preserve"> </w:t>
      </w:r>
      <w:r>
        <w:t>T细胞。与此一致的是，Aiolos 在葡萄糖限制条件下起到了对效应细胞因子产生的调节约束作用，并且其减少与代谢活性 CD8 中细胞因子产生的增强有关</w:t>
      </w:r>
      <w:r>
        <w:t xml:space="preserve"> </w:t>
      </w:r>
      <w:r>
        <w:t>+</w:t>
      </w:r>
      <w:r>
        <w:t xml:space="preserve"> </w:t>
      </w:r>
      <w:r>
        <w:t>T细胞。循环CD8</w:t>
      </w:r>
      <w:r>
        <w:t xml:space="preserve"> </w:t>
      </w:r>
      <w:r>
        <w:t>+</w:t>
      </w:r>
      <w:r>
        <w:t xml:space="preserve"> </w:t>
      </w:r>
      <w:r>
        <w:t>与类风湿性关节炎和健康对照相比，脊柱关节炎患者的 T 细胞表现出 GLUT1 表达升高，这与疾病活动性相关。此外，CXCR3</w:t>
      </w:r>
      <w:r>
        <w:t xml:space="preserve"> </w:t>
      </w:r>
      <w:r>
        <w:t>+</w:t>
      </w:r>
      <w:r>
        <w:t xml:space="preserve"> </w:t>
      </w:r>
      <w:r>
        <w:t>白细胞介素7R</w:t>
      </w:r>
      <w:r>
        <w:t xml:space="preserve"> </w:t>
      </w:r>
      <w:r>
        <w:t>+</w:t>
      </w:r>
      <w:r>
        <w:t xml:space="preserve"> </w:t>
      </w:r>
      <w:r>
        <w:t>pSTAT5</w:t>
      </w:r>
      <w:r>
        <w:t xml:space="preserve"> </w:t>
      </w:r>
      <w:r>
        <w:t>+</w:t>
      </w:r>
      <w:r>
        <w:t xml:space="preserve"> </w:t>
      </w:r>
      <w:r>
        <w:t>过剩1</w:t>
      </w:r>
      <w:r>
        <w:t xml:space="preserve"> </w:t>
      </w:r>
      <w:r>
        <w:t>+</w:t>
      </w:r>
      <w:r>
        <w:t xml:space="preserve"> </w:t>
      </w:r>
      <w:r>
        <w:t>艾俄洛斯</w:t>
      </w:r>
      <w:r>
        <w:t xml:space="preserve"> </w:t>
      </w:r>
      <w:r>
        <w:t>低</w:t>
      </w:r>
      <w:r>
        <w:t xml:space="preserve"> </w:t>
      </w:r>
      <w:r>
        <w:t>CD8</w:t>
      </w:r>
      <w:r>
        <w:t xml:space="preserve"> </w:t>
      </w:r>
      <w:r>
        <w:t>+</w:t>
      </w:r>
      <w:r>
        <w:t xml:space="preserve"> </w:t>
      </w:r>
      <w:r>
        <w:t>T 细胞富含炎症</w:t>
      </w:r>
    </w:p>
    <w:p>
      <w:pPr>
        <w:spacing w:before="0" w:after="200" w:lineRule="auto" w:line="276"/>
      </w:pPr>
      <w:r>
        <w:rPr>
          <w:b/>
        </w:rPr>
        <w:t xml:space="preserve">Abstract (EN): </w:t>
      </w:r>
      <w:r>
        <w:t>CD8</w:t>
      </w:r>
      <w:r>
        <w:t xml:space="preserve"> </w:t>
      </w:r>
      <w:r>
        <w:t>+</w:t>
      </w:r>
      <w:r>
        <w:t xml:space="preserve"> </w:t>
      </w:r>
      <w:r>
        <w:t>T cells are essential mediators of host defense, whereas their aberrant activation contributes to inflammatory diseases such as spondyloarthritis. The molecular mechanisms governing human CD8</w:t>
      </w:r>
      <w:r>
        <w:t xml:space="preserve"> </w:t>
      </w:r>
      <w:r>
        <w:t>+</w:t>
      </w:r>
      <w:r>
        <w:t xml:space="preserve"> </w:t>
      </w:r>
      <w:r>
        <w:t>T cell effector programming remain incompletely understood. Here, we identify a metabolically distinct subset of human CD8</w:t>
      </w:r>
      <w:r>
        <w:t xml:space="preserve"> </w:t>
      </w:r>
      <w:r>
        <w:t>+</w:t>
      </w:r>
      <w:r>
        <w:t xml:space="preserve"> </w:t>
      </w:r>
      <w:r>
        <w:t>T cells defined by high expression of CXCR3, IL-7R, and GLUT1 and low expression of the transcription factor Aiolos. IL-7–JAK–STAT signaling was associated with increased GLUT1 expression and glucose uptake, accompanied by reduced Aiolos expression in CD8</w:t>
      </w:r>
      <w:r>
        <w:t xml:space="preserve"> </w:t>
      </w:r>
      <w:r>
        <w:t>+</w:t>
      </w:r>
      <w:r>
        <w:t xml:space="preserve"> </w:t>
      </w:r>
      <w:r>
        <w:t>T cells. Consistent with this, Aiolos functioned as a regulatory constraint on effector cytokine production under glucose-limited conditions, and its reduction was associated with enhanced cytokine production in metabolically active CD8</w:t>
      </w:r>
      <w:r>
        <w:t xml:space="preserve"> </w:t>
      </w:r>
      <w:r>
        <w:t>+</w:t>
      </w:r>
      <w:r>
        <w:t xml:space="preserve"> </w:t>
      </w:r>
      <w:r>
        <w:t>T cells. Circulating CD8</w:t>
      </w:r>
      <w:r>
        <w:t xml:space="preserve"> </w:t>
      </w:r>
      <w:r>
        <w:t>+</w:t>
      </w:r>
      <w:r>
        <w:t xml:space="preserve"> </w:t>
      </w:r>
      <w:r>
        <w:t>T cells from patients with spondyloarthritis exhibited elevated GLUT1 expression compared with rheumatoid arthritis and healthy controls, which correlated with disease activity. In addition, CXCR3</w:t>
      </w:r>
      <w:r>
        <w:t xml:space="preserve"> </w:t>
      </w:r>
      <w:r>
        <w:t>+</w:t>
      </w:r>
      <w:r>
        <w:t xml:space="preserve"> </w:t>
      </w:r>
      <w:r>
        <w:t>IL-7R</w:t>
      </w:r>
      <w:r>
        <w:t xml:space="preserve"> </w:t>
      </w:r>
      <w:r>
        <w:t>+</w:t>
      </w:r>
      <w:r>
        <w:t xml:space="preserve"> </w:t>
      </w:r>
      <w:r>
        <w:t>pSTAT5</w:t>
      </w:r>
      <w:r>
        <w:t xml:space="preserve"> </w:t>
      </w:r>
      <w:r>
        <w:t>+</w:t>
      </w:r>
      <w:r>
        <w:t xml:space="preserve"> </w:t>
      </w:r>
      <w:r>
        <w:t>GLUT1</w:t>
      </w:r>
      <w:r>
        <w:t xml:space="preserve"> </w:t>
      </w:r>
      <w:r>
        <w:t>+</w:t>
      </w:r>
      <w:r>
        <w:t xml:space="preserve"> </w:t>
      </w:r>
      <w:r>
        <w:t>Aiolos</w:t>
      </w:r>
      <w:r>
        <w:t xml:space="preserve"> </w:t>
      </w:r>
      <w:r>
        <w:t>low</w:t>
      </w:r>
      <w:r>
        <w:t xml:space="preserve"> </w:t>
      </w:r>
      <w:r>
        <w:t>CD8</w:t>
      </w:r>
      <w:r>
        <w:t xml:space="preserve"> </w:t>
      </w:r>
      <w:r>
        <w:t>+</w:t>
      </w:r>
      <w:r>
        <w:t xml:space="preserve"> </w:t>
      </w:r>
      <w:r>
        <w:t>T cells were enriched in inflamed joints, where CXCL10 may contribute to their recruitment. Increased FDG uptake in inflamed sacroiliac joints further supports enhanced metabolic activity at sites of inflammation. JAK inhibitor therapy was associated with reduced GLUT1 expression and increased Aiolos expression in CD8</w:t>
      </w:r>
      <w:r>
        <w:t xml:space="preserve"> </w:t>
      </w:r>
      <w:r>
        <w:t>+</w:t>
      </w:r>
      <w:r>
        <w:t xml:space="preserve"> </w:t>
      </w:r>
      <w:r>
        <w:t>T cells, accompanied by decreased effector cytokine production and clinical improvement in patients with spondyloarthritis. Together, these findings support a model in which cytokine signaling, metabolic state, and transcriptional regulation are functionally linked in human CD8</w:t>
      </w:r>
      <w:r>
        <w:t xml:space="preserve"> </w:t>
      </w:r>
      <w:r>
        <w:t>+</w:t>
      </w:r>
      <w:r>
        <w:t xml:space="preserve"> </w:t>
      </w:r>
      <w:r>
        <w:t>T cells, and suggest that Aiolos may act as a regulatory node integrating these inputs in inflammatory diseases.</w:t>
      </w:r>
    </w:p>
    <w:p>
      <w:pPr>
        <w:spacing w:before="120" w:after="120"/>
      </w:pPr>
      <w:r>
        <w:rPr>
          <w:sz w:val="18"/>
        </w:rPr>
        <w:t>——————————————————————————————————————————————————————————————————————</w:t>
      </w:r>
    </w:p>
    <w:p>
      <w:pPr>
        <w:spacing w:before="160" w:after="40" w:line="240" w:lineRule="auto"/>
      </w:pPr>
      <w:r>
        <w:rPr>
          <w:b/>
        </w:rPr>
        <w:t xml:space="preserve">[640] </w:t>
      </w:r>
      <w:hyperlink r:id="rId1507">
        <w:r>
          <w:rPr>
            <w:color w:val="1155CC"/>
            <w:u w:val="single"/>
          </w:rPr>
          <w:t>Vδ7 TCR 与 IL17RA 的直接相互作用驱动 TH1 样 γδT 细胞的分化</w:t>
        </w:r>
      </w:hyperlink>
    </w:p>
    <w:p>
      <w:pPr>
        <w:spacing w:before="0" w:after="80"/>
      </w:pPr>
      <w:r>
        <w:rPr>
          <w:i/>
          <w:sz w:val="20"/>
        </w:rPr>
        <w:t>EN: Direct interaction of Vδ7 TCRs with IL17RA drives the differentiation of TH1-like γδT cells</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508">
        <w:r>
          <w:rPr>
            <w:color w:val="1155CC"/>
            <w:u w:val="single"/>
          </w:rPr>
          <w:t>10.1126/science.adx9264</w:t>
        </w:r>
      </w:hyperlink>
    </w:p>
    <w:p>
      <w:pPr>
        <w:spacing w:before="0" w:after="120"/>
      </w:pPr>
      <w:r>
        <w:rPr>
          <w:b/>
        </w:rPr>
        <w:t xml:space="preserve">Notes: </w:t>
      </w:r>
      <w:r>
        <w:t>abstract_source=crossref</w:t>
      </w:r>
    </w:p>
    <w:p>
      <w:pPr>
        <w:spacing w:before="0" w:after="80" w:lineRule="auto" w:line="276"/>
      </w:pPr>
      <w:r>
        <w:rPr>
          <w:b/>
        </w:rPr>
        <w:t xml:space="preserve">摘要（ZH）: </w:t>
      </w:r>
      <w:r>
        <w:t>在构成适应性免疫系统的三类淋巴细胞中，γδT 细胞是唯一一类抗原识别原理仍然神秘的细胞。尽管内源性 γδT 细胞抗原受体 (γδTCR) 配体被认为可以调节 γδT 细胞发育，但它们的身份很大程度上难以捉摸。在这里，我们确定了白细胞介素 17 受体 A 链 (IL17RA) 作为 γδTCR 配体，驱动 Vδ7 的分化</w:t>
      </w:r>
      <w:r>
        <w:t xml:space="preserve"> </w:t>
      </w:r>
      <w:r>
        <w:t>+</w:t>
      </w:r>
      <w:r>
        <w:t xml:space="preserve"> </w:t>
      </w:r>
      <w:r>
        <w:t>具有 T 辅助细胞 1 (T</w:t>
      </w:r>
      <w:r>
        <w:t xml:space="preserve"> </w:t>
      </w:r>
      <w:r>
        <w:t>H</w:t>
      </w:r>
      <w:r>
        <w:t xml:space="preserve"> </w:t>
      </w:r>
      <w:r>
        <w:t>1）类似小鼠的效应程序。 IL17RA 通过涉及 Vδ7 链种系编码区域的相互作用促进这种分化，从而能够选择具有多种 CDR3 库的细胞，从而充当非克隆型 γδTCR 配体。连同嗜丁酸蛋白与 γδTCR 结合的非克隆型模式，这些结果表明这种相互作用代表了塑造 γδT 细胞区室的一般生物学机制。</w:t>
      </w:r>
    </w:p>
    <w:p>
      <w:pPr>
        <w:spacing w:before="0" w:after="200" w:lineRule="auto" w:line="276"/>
      </w:pPr>
      <w:r>
        <w:rPr>
          <w:b/>
        </w:rPr>
        <w:t xml:space="preserve">Abstract (EN): </w:t>
      </w:r>
      <w:r>
        <w:t>Of the three classes of lymphocytes that constitute the adaptive immune system, γδT cells are the only class for which the principles of antigen recognition remain enigmatic. Although endogenous γδT cell antigen receptor (γδTCR) ligands are thought to regulate γδT cell development, their identities are largely elusive. Here, we identified the interleukin 17 receptor A chain (IL17RA) as a γδTCR ligand that drove the differentiation of Vδ7</w:t>
      </w:r>
      <w:r>
        <w:t xml:space="preserve"> </w:t>
      </w:r>
      <w:r>
        <w:t>+</w:t>
      </w:r>
      <w:r>
        <w:t xml:space="preserve"> </w:t>
      </w:r>
      <w:r>
        <w:t>γδT cells with a T helper 1 (T</w:t>
      </w:r>
      <w:r>
        <w:t xml:space="preserve"> </w:t>
      </w:r>
      <w:r>
        <w:t>H</w:t>
      </w:r>
      <w:r>
        <w:t xml:space="preserve"> </w:t>
      </w:r>
      <w:r>
        <w:t>1)–like effector program in mice. IL17RA promoted this differentiation through an interaction involving germline-encoded regions of the Vδ7 chain, enabling the selection of cells with a diverse CDR3 repertoire and thus acting as a nonclonotypic γδTCR ligand. Together with the nonclonotypic mode of γδTCR engagement by butyrophilins, these results suggest that such interactions represent a general biological mechanism shaping the γδT cell compartment.</w:t>
      </w:r>
    </w:p>
    <w:p>
      <w:pPr>
        <w:spacing w:before="120" w:after="120"/>
      </w:pPr>
      <w:r>
        <w:rPr>
          <w:sz w:val="18"/>
        </w:rPr>
        <w:t>——————————————————————————————————————————————————————————————————————</w:t>
      </w:r>
    </w:p>
    <w:p>
      <w:pPr>
        <w:spacing w:before="160" w:after="40" w:line="240" w:lineRule="auto"/>
      </w:pPr>
      <w:r>
        <w:rPr>
          <w:b/>
        </w:rPr>
        <w:t xml:space="preserve">[641] </w:t>
      </w:r>
      <w:hyperlink r:id="rId1509">
        <w:r>
          <w:rPr>
            <w:color w:val="1155CC"/>
            <w:u w:val="single"/>
          </w:rPr>
          <w:t>强制性劳动力市场的生产率提高和工作条件：来自孟加拉国砖业部门的实验证据</w:t>
        </w:r>
      </w:hyperlink>
    </w:p>
    <w:p>
      <w:pPr>
        <w:spacing w:before="0" w:after="80"/>
      </w:pPr>
      <w:r>
        <w:rPr>
          <w:i/>
          <w:sz w:val="20"/>
        </w:rPr>
        <w:t>EN: Productivity gains and work conditions in coercive labor markets: Experimental evidence from the Bangladesh brick sector</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10">
        <w:r>
          <w:rPr>
            <w:color w:val="1155CC"/>
            <w:u w:val="single"/>
          </w:rPr>
          <w:t>10.1073/pnas.2528388123</w:t>
        </w:r>
      </w:hyperlink>
    </w:p>
    <w:p>
      <w:pPr>
        <w:spacing w:before="0" w:after="120"/>
      </w:pPr>
      <w:r>
        <w:rPr>
          <w:b/>
        </w:rPr>
        <w:t xml:space="preserve">Notes: </w:t>
      </w:r>
      <w:r>
        <w:t>abstract_source=crossref</w:t>
      </w:r>
    </w:p>
    <w:p>
      <w:pPr>
        <w:spacing w:before="0" w:after="80" w:lineRule="auto" w:line="276"/>
      </w:pPr>
      <w:r>
        <w:rPr>
          <w:b/>
        </w:rPr>
        <w:t xml:space="preserve">摘要（ZH）: </w:t>
      </w:r>
      <w:r>
        <w:t>随着时间的推移，竞争性劳动力市场的生产率增长可以通过提高工资或改善条件来改善工人福利，但尚不清楚生产率的提高是否有利于强制劳动力市场（强制或威胁塑造就业）中的工人。我们通过随机试验研究了孟加拉国砖行业的这个问题，该试验引入了更有效的生产方法。尽管生产率大幅提高，但我们发现劳动力贩运或童工的（高）比率并没有减少。这些发现表明，在短期内，仅靠生产率增长可能不足以改善强制性环境中的工作条件。</w:t>
      </w:r>
    </w:p>
    <w:p>
      <w:pPr>
        <w:spacing w:before="0" w:after="200" w:lineRule="auto" w:line="276"/>
      </w:pPr>
      <w:r>
        <w:rPr>
          <w:b/>
        </w:rPr>
        <w:t xml:space="preserve">Abstract (EN): </w:t>
      </w:r>
      <w:r>
        <w:t>Productivity growth in competitive labor markets can improve worker welfare over time through higher wages or better conditions, but it is unclear if productivity gains benefit workers in coercive labor markets (where force or threats shape employment). We examine this issue in the Bangladesh brick sector using a randomized trial that introduced a more efficient production method. Despite large productivity improvements, we find no reduction in (high) rates of labor trafficking or child labor. These findings suggest that in the short-term, productivity growth alone may be insufficient to improve work conditions in coercive settings.</w:t>
      </w:r>
    </w:p>
    <w:p>
      <w:pPr>
        <w:spacing w:before="120" w:after="120"/>
      </w:pPr>
      <w:r>
        <w:rPr>
          <w:sz w:val="18"/>
        </w:rPr>
        <w:t>——————————————————————————————————————————————————————————————————————</w:t>
      </w:r>
    </w:p>
    <w:p>
      <w:pPr>
        <w:spacing w:before="160" w:after="40" w:line="240" w:lineRule="auto"/>
      </w:pPr>
      <w:r>
        <w:rPr>
          <w:b/>
        </w:rPr>
        <w:t xml:space="preserve">[642] </w:t>
      </w:r>
      <w:hyperlink r:id="rId1511">
        <w:r>
          <w:rPr>
            <w:color w:val="1155CC"/>
            <w:u w:val="single"/>
          </w:rPr>
          <w:t>难熔包裹体中镁同位素记录的快速演化的星云坠落成分</w:t>
        </w:r>
      </w:hyperlink>
    </w:p>
    <w:p>
      <w:pPr>
        <w:spacing w:before="0" w:after="80"/>
      </w:pPr>
      <w:r>
        <w:rPr>
          <w:i/>
          <w:sz w:val="20"/>
        </w:rPr>
        <w:t>EN: Rapidly evolving composition of nebular infall recorded by magnesium isotopes in refractory inclusions</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12">
        <w:r>
          <w:rPr>
            <w:color w:val="1155CC"/>
            <w:u w:val="single"/>
          </w:rPr>
          <w:t>10.1073/pnas.2529765123</w:t>
        </w:r>
      </w:hyperlink>
    </w:p>
    <w:p>
      <w:pPr>
        <w:spacing w:before="0" w:after="120"/>
      </w:pPr>
      <w:r>
        <w:rPr>
          <w:b/>
        </w:rPr>
        <w:t xml:space="preserve">Notes: </w:t>
      </w:r>
      <w:r>
        <w:t>abstract_source=crossref</w:t>
      </w:r>
    </w:p>
    <w:p>
      <w:pPr>
        <w:spacing w:before="0" w:after="80" w:lineRule="auto" w:line="276"/>
      </w:pPr>
      <w:r>
        <w:rPr>
          <w:b/>
        </w:rPr>
        <w:t xml:space="preserve">摘要（ZH）: </w:t>
      </w:r>
      <w:r>
        <w:t>的</w:t>
      </w:r>
      <w:r>
        <w:rPr>
          <w:vertAlign w:val="subscript"/>
        </w:rPr>
        <w:t>26</w:t>
      </w:r>
      <w:r>
        <w:t>铝-</w:t>
      </w:r>
      <w:r>
        <w:rPr>
          <w:vertAlign w:val="subscript"/>
        </w:rPr>
        <w:t>26</w:t>
      </w:r>
      <w:r>
        <w:t>富含钙铝包裹体（CAI）（已知最古老的太阳系固体）中的镁系统学传统上被用来为早期太阳系演化提供高分辨率的时间约束。最近，对初始镁同位素组成变化的研究已成为探测新生太阳星云中潜在组成异质性的一种手段。在此，我们报告了 19 种 CAI 集合的高精度镁同位素数据，这些数据捕获了难熔夹杂物的多样性。数据揭示了广泛的镁同位素异质性</w:t>
      </w:r>
      <w:r>
        <w:rPr>
          <w:vertAlign w:val="subscript"/>
        </w:rPr>
        <w:t>26</w:t>
      </w:r>
      <w:r>
        <w:t>Al衰变，覆盖从-0.285到+0.088‰的大范围。结合文献数据，CAI 中镁同位素异质性的分布形成一个连续体，不再定义不同的群体。因此，我们的研究结果表明，CAI 的形成过程是连续的，该过程捕捉到了太阳系母体分子云落入物质成分的快速时间变化。</w:t>
      </w:r>
    </w:p>
    <w:p>
      <w:pPr>
        <w:spacing w:before="0" w:after="200" w:lineRule="auto" w:line="276"/>
      </w:pPr>
      <w:r>
        <w:rPr>
          <w:b/>
        </w:rPr>
        <w:t xml:space="preserve">Abstract (EN): </w:t>
      </w:r>
      <w:r>
        <w:t>The</w:t>
      </w:r>
      <w:r>
        <w:rPr>
          <w:vertAlign w:val="subscript"/>
        </w:rPr>
        <w:t>26</w:t>
      </w:r>
      <w:r>
        <w:t>Al-</w:t>
      </w:r>
      <w:r>
        <w:rPr>
          <w:vertAlign w:val="subscript"/>
        </w:rPr>
        <w:t>26</w:t>
      </w:r>
      <w:r>
        <w:t>Mg systematics in calcium–aluminum-rich inclusions (CAIs)—the oldest known Solar System solids—has traditionally been used to provide high-resolution temporal constraints on the early Solar System evolution. More recently, the study of variations in the initial Mg isotope composition has emerged as a means to probe for potential compositional heterogeneity in the nascent solar nebula. Here, we report high-precision magnesium isotope data for a collection of 19 CAIs that captures the diversity of refractory inclusions. The data reveal widespread Mg isotope heterogeneity prior to</w:t>
      </w:r>
      <w:r>
        <w:rPr>
          <w:vertAlign w:val="subscript"/>
        </w:rPr>
        <w:t>26</w:t>
      </w:r>
      <w:r>
        <w:t>Al decay, covering a large range from −0.285 to +0.088‰. Combined with literature data, the distribution of Mg isotope heterogeneity in CAIs forms a continuum and no longer defines distinct populations. Our findings therefore suggest a continuous CAI formation process that captured a rapid temporal change in the composition of infalling material from the parental molecular cloud of the Solar System.</w:t>
      </w:r>
    </w:p>
    <w:p>
      <w:pPr>
        <w:spacing w:before="120" w:after="120"/>
      </w:pPr>
      <w:r>
        <w:rPr>
          <w:sz w:val="18"/>
        </w:rPr>
        <w:t>——————————————————————————————————————————————————————————————————————</w:t>
      </w:r>
    </w:p>
    <w:p>
      <w:pPr>
        <w:spacing w:before="160" w:after="40" w:line="240" w:lineRule="auto"/>
      </w:pPr>
      <w:r>
        <w:rPr>
          <w:b/>
        </w:rPr>
        <w:t xml:space="preserve">[643] </w:t>
      </w:r>
      <w:hyperlink r:id="rId1513">
        <w:r>
          <w:rPr>
            <w:color w:val="1155CC"/>
            <w:u w:val="single"/>
          </w:rPr>
          <w:t>在 GHz 至 MHz 频率范围内运行的虚拟超声机，用于基于粒子的生物医学模拟</w:t>
        </w:r>
      </w:hyperlink>
    </w:p>
    <w:p>
      <w:pPr>
        <w:spacing w:before="0" w:after="80"/>
      </w:pPr>
      <w:r>
        <w:rPr>
          <w:i/>
          <w:sz w:val="20"/>
        </w:rPr>
        <w:t>EN: Virtual ultrasound machine operating in a GHz to MHz frequency range for particle-based biomedical simulations</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14">
        <w:r>
          <w:rPr>
            <w:color w:val="1155CC"/>
            <w:u w:val="single"/>
          </w:rPr>
          <w:t>10.1073/pnas.2610567123</w:t>
        </w:r>
      </w:hyperlink>
    </w:p>
    <w:p>
      <w:pPr>
        <w:spacing w:before="0" w:after="120"/>
      </w:pPr>
      <w:r>
        <w:rPr>
          <w:b/>
        </w:rPr>
        <w:t xml:space="preserve">Notes: </w:t>
      </w:r>
      <w:r>
        <w:t>abstract_source=crossref</w:t>
      </w:r>
    </w:p>
    <w:p>
      <w:pPr>
        <w:spacing w:before="0" w:after="80" w:lineRule="auto" w:line="276"/>
      </w:pPr>
      <w:r>
        <w:rPr>
          <w:b/>
        </w:rPr>
        <w:t xml:space="preserve">摘要（ZH）: </w:t>
      </w:r>
      <w:r>
        <w:t>超声波与物质的相互作用支撑着众多生物医学和软物质应用，但由于粘性和声波时间尺度的巨大分离，模拟这些现象具有挑战性。连续体方法捕获大规模波传播，但无法解决微观相互作用，而基于粒子的方法提供分子分辨率，但在更大尺度上难以提高效率和稳定性。我们引入了一种基于粒子的虚拟超声机，它使用平滑耗散粒子动力学变体以及隐式压力求解器和负压稳定方案，需要模拟医学相关 MHz-GHz 频率的声学传播。我们通过模拟封装微泡的声泳来展示其功能，这是超声介导的药物输送的关键机制。除了这一应用之外，该方法还建立了一个通用平台，用于模拟软材料和生物材料中的波与物质相互作用，为科学和工程中声学驱动现象的计算研究开辟了有希望的方向。</w:t>
      </w:r>
    </w:p>
    <w:p>
      <w:pPr>
        <w:spacing w:before="0" w:after="200" w:lineRule="auto" w:line="276"/>
      </w:pPr>
      <w:r>
        <w:rPr>
          <w:b/>
        </w:rPr>
        <w:t xml:space="preserve">Abstract (EN): </w:t>
      </w:r>
      <w:r>
        <w:t>Ultrasound–matter interactions underpin numerous biomedical and soft-matter applications, yet simulating these phenomena is challenging due to the large separation of viscous and sonic time scales. Continuum methods capture large-scale wave propagation but cannot resolve microscale interactions, while particle-based approaches offer molecular resolution but struggle with efficiency and stability at larger scales. We introduce a particle-based virtual ultrasound machine that uses a smoothed dissipative particle dynamics variant with an implicit pressure solver and a negative-pressure stabilization scheme, required to mimic acoustic propagation across medically relevant MHz–GHz frequencies. We demonstrate its capabilities by modeling the acoustophoresis of encapsulated microbubbles, a key mechanism in ultrasound-mediated drug delivery. Beyond this application, the approach establishes a generalizable platform for simulating wave–matter interactions in soft and biological materials, opening promising directions for computational studies of acoustics-driven phenomena in science and engineering.</w:t>
      </w:r>
    </w:p>
    <w:p>
      <w:pPr>
        <w:spacing w:before="120" w:after="120"/>
      </w:pPr>
      <w:r>
        <w:rPr>
          <w:sz w:val="18"/>
        </w:rPr>
        <w:t>——————————————————————————————————————————————————————————————————————</w:t>
      </w:r>
    </w:p>
    <w:p>
      <w:pPr>
        <w:spacing w:before="160" w:after="40" w:line="240" w:lineRule="auto"/>
      </w:pPr>
      <w:r>
        <w:rPr>
          <w:b/>
        </w:rPr>
        <w:t xml:space="preserve">[644] </w:t>
      </w:r>
      <w:hyperlink r:id="rId1515">
        <w:r>
          <w:rPr>
            <w:color w:val="1155CC"/>
            <w:u w:val="single"/>
          </w:rPr>
          <w:t>无需 IVT、化学合成的蛋白质编码 RNA 寡核苷酸，用于快速生产个性化癌症疫苗</w:t>
        </w:r>
      </w:hyperlink>
    </w:p>
    <w:p>
      <w:pPr>
        <w:spacing w:before="0" w:after="80"/>
      </w:pPr>
      <w:r>
        <w:rPr>
          <w:i/>
          <w:sz w:val="20"/>
        </w:rPr>
        <w:t>EN: IVT-free, chemically synthesized protein-encoding RNA oligonucleotides for rapid production of personalized cancer vaccines</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16">
        <w:r>
          <w:rPr>
            <w:color w:val="1155CC"/>
            <w:u w:val="single"/>
          </w:rPr>
          <w:t>10.1073/pnas.2529799123</w:t>
        </w:r>
      </w:hyperlink>
    </w:p>
    <w:p>
      <w:pPr>
        <w:spacing w:before="0" w:after="120"/>
      </w:pPr>
      <w:r>
        <w:rPr>
          <w:b/>
        </w:rPr>
        <w:t xml:space="preserve">Notes: </w:t>
      </w:r>
      <w:r>
        <w:t>abstract_source=crossref</w:t>
      </w:r>
    </w:p>
    <w:p>
      <w:pPr>
        <w:spacing w:before="0" w:after="80" w:lineRule="auto" w:line="276"/>
      </w:pPr>
      <w:r>
        <w:rPr>
          <w:b/>
        </w:rPr>
        <w:t xml:space="preserve">摘要（ZH）: </w:t>
      </w:r>
      <w:r>
        <w:t>个性化 mRNA 新抗原疫苗在癌症治疗中展现出巨大潜力，但其定制通常需要三个月以上的时间，存在患者失去最佳治疗窗口的风险。这种延迟主要是由于当前 mRNA 疫苗生产依赖于质粒发酵和体外转录 (IVT)，其中涉及多个复杂步骤。化学合成的 RNA 寡核苷酸，例如反义寡核苷酸 (ASO)，在生产时无需使用 DNA 模板或 IVT，从而实现快速生产。然而，ASO 的长度有限，这妨碍了它们编码蛋白质的能力。在这里，我们引入了一个 39 个核苷酸的帽独立翻译增强子 (CITE) 元件，称为 BBV，可以驱动 RNA 翻译。此外，BBV 与高效的滚环平移 (RCT) 兼容。我们化学合成了含有 BBV 和目的基因 (GOI) 的 RNA 寡核苷酸，具有特征性 5'-OH 和 3'-P 末端，可以通过内源性 RtcB RNA 连接酶进行环化，并在哺乳动物细胞中通过 RCT 有效编码蛋白质。我们将这些 RNA 寡核苷酸命名为蛋白质编码 RNA 寡核苷酸 (PEO)。值得注意的是，与 IVT 产生的 RNA 相比，PEO 含有不可检测水平的促炎双链 RNA，并且表现出最小的免疫原性。我们进一步证明，与 mRNA 疫苗相比，PEO-OVA（编码 OVA 抗原）可显着抑制肿瘤生长。在原位神经胶质瘤模型中，PEO 疫苗还通过检查点阻断表现出治疗益处</w:t>
      </w:r>
    </w:p>
    <w:p>
      <w:pPr>
        <w:spacing w:before="0" w:after="200" w:lineRule="auto" w:line="276"/>
      </w:pPr>
      <w:r>
        <w:rPr>
          <w:b/>
        </w:rPr>
        <w:t xml:space="preserve">Abstract (EN): </w:t>
      </w:r>
      <w:r>
        <w:t>Personalized mRNA neoantigen vaccines demonstrate great potential in cancer therapy, but their customization typically requires more than three months, risking the loss of the optimal therapeutic window for patients. This delay is primarily due to the reliance of current mRNA vaccine production on plasmid fermentation and in vitro transcription (IVT), which involve multiple complex steps. Chemically synthesized RNA oligonucleotides, such as antisense oligonucleotides (ASOs), are produced sparing DNA templates or IVT, thus enabling rapid manufacturing. However, ASOs are limited in length, which precludes their ability to encode proteins. Here, we introduced a 39 nucleotides cap-independent translation enhancer (CITE) element termed BBV that can drive RNA translation. Furthermore, BBV was compatible with efficient rolling circle translation (RCT). We chemically synthesized RNA oligonucleotides containing BBV and gene of interest (GOI) with characteristic 5’-OH and 3’-P termini, which could undergo circularization by endogenous RtcB RNA ligases and efficiently encode proteins through RCT in mammalian cells. We designated these RNA oligonucleotides as Protein-Encoding RNA Oligonucleotides (PEOs). Notably, compared with IVT-produced RNAs, PEOs contained undetectable levels of proinflammatory double-stranded RNAs and exhibited minimal immunogenicity. We further demonstrated that PEO-OVA (encoding OVA antigens) significantly inhibited tumor growth comparable to mRNA vaccine. In an orthotopic glioma model, PEO vaccine also exhibited therapeutic benefits with checkpoint blockade therapy. This study establishes an IVT-free RNA vaccine platform that enables rapid, safe, and highly druggable manufacturing of personalized cancer vaccines, offering substantial potential for clinical application.</w:t>
      </w:r>
    </w:p>
    <w:p>
      <w:pPr>
        <w:spacing w:before="120" w:after="120"/>
      </w:pPr>
      <w:r>
        <w:rPr>
          <w:sz w:val="18"/>
        </w:rPr>
        <w:t>——————————————————————————————————————————————————————————————————————</w:t>
      </w:r>
    </w:p>
    <w:p>
      <w:pPr>
        <w:spacing w:before="160" w:after="40" w:line="240" w:lineRule="auto"/>
      </w:pPr>
      <w:r>
        <w:rPr>
          <w:b/>
        </w:rPr>
        <w:t xml:space="preserve">[645] </w:t>
      </w:r>
      <w:hyperlink r:id="rId1517">
        <w:r>
          <w:rPr>
            <w:color w:val="1155CC"/>
            <w:u w:val="single"/>
          </w:rPr>
          <w:t>研究文章“弹性冰微纤维”的勘误表</w:t>
        </w:r>
      </w:hyperlink>
    </w:p>
    <w:p>
      <w:pPr>
        <w:spacing w:before="0" w:after="80"/>
      </w:pPr>
      <w:r>
        <w:rPr>
          <w:i/>
          <w:sz w:val="20"/>
        </w:rPr>
        <w:t>EN: Erratum for the Research Article “Elastic ice microfibers”</w:t>
      </w:r>
    </w:p>
    <w:p>
      <w:pPr>
        <w:spacing w:before="0" w:after="120"/>
      </w:pPr>
      <w:r>
        <w:rPr>
          <w:b/>
        </w:rPr>
        <w:t xml:space="preserve">Source: </w:t>
      </w:r>
      <w:r>
        <w:t>AAAS: Science: Table of Contents</w:t>
      </w:r>
      <w:r>
        <w:t xml:space="preserve">    </w:t>
      </w:r>
      <w:r>
        <w:rPr>
          <w:b/>
        </w:rPr>
        <w:t xml:space="preserve">Pub date: </w:t>
      </w:r>
      <w:r>
        <w:t>2026-07-16 07:00:00+00:00</w:t>
      </w:r>
      <w:r>
        <w:t xml:space="preserve">    </w:t>
      </w:r>
      <w:r>
        <w:rPr>
          <w:b/>
        </w:rPr>
        <w:t xml:space="preserve">DOI: </w:t>
      </w:r>
      <w:hyperlink r:id="rId1518">
        <w:r>
          <w:rPr>
            <w:color w:val="1155CC"/>
            <w:u w:val="single"/>
          </w:rPr>
          <w:t>10.1126/science.aej7555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[646] </w:t>
      </w:r>
      <w:hyperlink r:id="rId1519">
        <w:r>
          <w:rPr>
            <w:color w:val="1155CC"/>
            <w:u w:val="single"/>
          </w:rPr>
          <w:t>举报人可以遏制人类与人工智能授权的不道德外部性</w:t>
        </w:r>
      </w:hyperlink>
    </w:p>
    <w:p>
      <w:pPr>
        <w:spacing w:before="0" w:after="80"/>
      </w:pPr>
      <w:r>
        <w:rPr>
          <w:i/>
          <w:sz w:val="20"/>
        </w:rPr>
        <w:t>EN: Whistleblowers can contain the unethical externalities of human–AI delegation</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20">
        <w:r>
          <w:rPr>
            <w:color w:val="1155CC"/>
            <w:u w:val="single"/>
          </w:rPr>
          <w:t>10.1073/pnas.2536668123</w:t>
        </w:r>
      </w:hyperlink>
    </w:p>
    <w:p>
      <w:pPr>
        <w:spacing w:before="0" w:after="120"/>
      </w:pPr>
      <w:r>
        <w:rPr>
          <w:b/>
        </w:rPr>
        <w:t xml:space="preserve">Notes: </w:t>
      </w:r>
      <w:r>
        <w:t>abstract_source=crossref</w:t>
      </w:r>
    </w:p>
    <w:p>
      <w:pPr>
        <w:spacing w:before="0" w:after="80" w:lineRule="auto" w:line="276"/>
      </w:pPr>
      <w:r>
        <w:rPr>
          <w:b/>
        </w:rPr>
        <w:t xml:space="preserve">摘要（ZH）: </w:t>
      </w:r>
      <w:r>
        <w:t>先前使用受控委托代理实验的研究表明，将任务委托给人工智能系统存在两个风险：与人类代理相比，人类委托人更有可能要求人工智能代理做出利润最大化的不当行为，而人工智能代理更有可能遵守。在这里，我们测试第三方观察者是否可以遏制由此产生的危害。在激励性死亡报告范式中，负责人指示人类或人工智能代理如何强烈地优先考虑利润而不是准确性，从而对慈善机构造成潜在的财务损失。我们首先确认，与人类原则（</w:t>
      </w:r>
      <w:r>
        <w:t xml:space="preserve"> </w:t>
      </w:r>
      <w:r>
        <w:t>氮</w:t>
      </w:r>
      <w:r>
        <w:t xml:space="preserve"> </w:t>
      </w:r>
      <w:r>
        <w:t>= 600）和三个大型语言模型作为人工智能代理，委托给人工智能比委托给人类产生更大的负外部性。然后，我们研究观察者，他们可以支付个人费用来标记校长的指示，从而取消校长为慈善机构带来的收益，就像实验室中的举报一样。在这项观察者研究中（</w:t>
      </w:r>
      <w:r>
        <w:t xml:space="preserve"> </w:t>
      </w:r>
      <w:r>
        <w:t>氮</w:t>
      </w:r>
      <w:r>
        <w:t xml:space="preserve"> </w:t>
      </w:r>
      <w:r>
        <w:t>= 300），举报的概率随着委托人请求的不道德程度而增加，但并不取决于请求是针对人类还是人工智能代理。由于校长在人工智能授权下提出了更多不道德的要求，因此在人工智能授权下举报更加频繁。当与代理行为相结合时，标记的增加完全抵消了我们实验环境中人工智能委托的负面外部性。这些发现支持对举报人的制度保护，作为防止人类人工智能危害的一种潜在组织保障措施。</w:t>
      </w:r>
    </w:p>
    <w:p>
      <w:pPr>
        <w:spacing w:before="0" w:after="200" w:lineRule="auto" w:line="276"/>
      </w:pPr>
      <w:r>
        <w:rPr>
          <w:b/>
        </w:rPr>
        <w:t xml:space="preserve">Abstract (EN): </w:t>
      </w:r>
      <w:r>
        <w:t>Prior work using controlled principal-agent experiments suggests two risks from delegating tasks to AI systems: Human principals are more likely to request profit-maximizing misconduct from AI agents than from human agents, and AI agents are more likely to comply. Here we test whether third-party observers can contain the resulting harm. In an incentivized die-reporting paradigm, principals instructed either a human or an AI agent how strongly to prioritize profit over accuracy, creating potential financial harm to a charity. We first confirm, with human principals (</w:t>
      </w:r>
      <w:r>
        <w:t xml:space="preserve"> </w:t>
      </w:r>
      <w:r>
        <w:t>N</w:t>
      </w:r>
      <w:r>
        <w:t xml:space="preserve"> </w:t>
      </w:r>
      <w:r>
        <w:t>= 600) and three large language models as AI agents, that delegation to AI produces larger negative externalities than delegation to humans. We then study observers who could pay a personal cost to flag a principal’s instruction, canceling the principal’s gain in favor of the charity, as a laboratory analogue of whistleblowing. In this observer study (</w:t>
      </w:r>
      <w:r>
        <w:t xml:space="preserve"> </w:t>
      </w:r>
      <w:r>
        <w:t>N</w:t>
      </w:r>
      <w:r>
        <w:t xml:space="preserve"> </w:t>
      </w:r>
      <w:r>
        <w:t>= 300), the probability of flagging increased with how unethical the principal’s request was, but did not depend on whether the request was directed to a human or an AI agent. Because principals made more unethical requests under AI delegation, flagging was more frequent under AI delegation. When combined with agent behavior, this increase in flagging fully neutralized the negative externalities of AI delegation in our experimental setting. These findings support institutional protections for whistleblowers as one potential organizational safeguard against the harms of human–AI delegation.</w:t>
      </w:r>
    </w:p>
    <w:p>
      <w:pPr>
        <w:spacing w:before="120" w:after="120"/>
      </w:pPr>
      <w:r>
        <w:rPr>
          <w:sz w:val="18"/>
        </w:rPr>
        <w:t>——————————————————————————————————————————————————————————————————————</w:t>
      </w:r>
    </w:p>
    <w:p>
      <w:pPr>
        <w:spacing w:before="160" w:after="40" w:line="240" w:lineRule="auto"/>
      </w:pPr>
      <w:r>
        <w:rPr>
          <w:b/>
        </w:rPr>
        <w:t xml:space="preserve">[647] </w:t>
      </w:r>
      <w:hyperlink r:id="rId1521">
        <w:r>
          <w:rPr>
            <w:color w:val="1155CC"/>
            <w:u w:val="single"/>
          </w:rPr>
          <w:t>环境系统发育学支持冠真核生物从中元古代开始的稳定多样化</w:t>
        </w:r>
      </w:hyperlink>
    </w:p>
    <w:p>
      <w:pPr>
        <w:spacing w:before="0" w:after="80"/>
      </w:pPr>
      <w:r>
        <w:rPr>
          <w:i/>
          <w:sz w:val="20"/>
        </w:rPr>
        <w:t>EN: Environmental phylogenetics supports a steady diversification of crown eukaryotes starting from the mid-Proterozoic</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22">
        <w:r>
          <w:rPr>
            <w:color w:val="1155CC"/>
            <w:u w:val="single"/>
          </w:rPr>
          <w:t>10.1073/pnas.2600283123</w:t>
        </w:r>
      </w:hyperlink>
    </w:p>
    <w:p>
      <w:pPr>
        <w:spacing w:before="0" w:after="120"/>
      </w:pPr>
      <w:r>
        <w:rPr>
          <w:b/>
        </w:rPr>
        <w:t xml:space="preserve">Notes: </w:t>
      </w:r>
      <w:r>
        <w:t>abstract_source=crossref</w:t>
      </w:r>
    </w:p>
    <w:p>
      <w:pPr>
        <w:spacing w:before="0" w:after="80" w:lineRule="auto" w:line="276"/>
      </w:pPr>
      <w:r>
        <w:rPr>
          <w:b/>
        </w:rPr>
        <w:t xml:space="preserve">摘要（ZH）: </w:t>
      </w:r>
      <w:r>
        <w:t>分子钟和早期微化石组合的保存表明真核生物在大约 16 亿年前就已经存在并且已经多样化 (Ma)。然而，最早可识别的真核冠群化石仅在1050 Ma左右出现，在中元古代留下了约600 My的空白，在此期间早期真核生物的进化和多样化仍然知之甚少。在这里，我们使用分子钟和生死多样化模型推断真核生物进化的时间表，包括环境序列的巨大多样性，以考虑到大多数未经培养的微生物生命。我们的分析基于 75,975 个非冗余操作分类单位和 77 个得到充分支持的化石校准的独特数据集，表明在最后的真核共同祖先之后的元古代期间，冠群真核生物出现了稳定的多样化。我们表明，古质体是最早多样化的超类群之一，也是整个元古代最多样化的，这表明第一个成功的质体内共生给古质体带来了可测量的进化优势。在整个元古代，Discoba、Amoebozoa 和 Rhizaria 在系统发育多样性方面紧随古质体，表明冠真核生物在这个时代已经蓬勃发展。这些结果与人们普遍认为地质稳定的元古代几乎没有经历真核进化创新的观点形成鲜明对比，并表明当前所有的超群都已经在中元古代建立了。</w:t>
      </w:r>
    </w:p>
    <w:p>
      <w:pPr>
        <w:spacing w:before="0" w:after="200" w:lineRule="auto" w:line="276"/>
      </w:pPr>
      <w:r>
        <w:rPr>
          <w:b/>
        </w:rPr>
        <w:t xml:space="preserve">Abstract (EN): </w:t>
      </w:r>
      <w:r>
        <w:t>Molecular clock and preservation of early microfossil assemblages suggest that eukaryotes were present and already diverse more than ~1600 million years ago (Ma). Yet, the earliest identifiable eukaryotic crown group fossil only appeared around 1050 Ma, leaving a ~600 My gap in the Mesoproterozoic during which the evolution and diversification of early eukaryotes remain poorly understood. Here, we infer a timeline of eukaryote evolution using molecular clock and birth–death diversification models, including the large diversity of environmental sequences to take into account the uncultured majority of microbial life. Our analyses, based on a unique dataset of 75,975 nonredundant Operational Taxonomic Units and 77 well-supported fossil calibrations, indicate a steady diversification of crown group eukaryotes during the Proterozoic after the Last Eukaryotic Common Ancestor. We show that Archaeplastida was one of the earliest diversifying supergroups and the most diverse throughout the Proterozoic, suggesting that the first successful plastid endosymbiosis gave Archaeplastida a measurable evolutionary advantage. Discoba, Amoebozoa, and Rhizaria followed Archaeplastida in phylogenetic diversity throughout the Proterozoic, indicating that crown eukaryotes were already thriving in this Era. These results contrast with the common view that the geologically stable Proterozoic Era experienced little eukaryotic evolutionary innovation and indicate that all current supergroups were already established in the Mesoproterozoic.</w:t>
      </w:r>
    </w:p>
    <w:p>
      <w:pPr>
        <w:spacing w:before="120" w:after="120"/>
      </w:pPr>
      <w:r>
        <w:rPr>
          <w:sz w:val="18"/>
        </w:rPr>
        <w:t>——————————————————————————————————————————————————————————————————————</w:t>
      </w:r>
    </w:p>
    <w:p>
      <w:pPr>
        <w:spacing w:before="160" w:after="40" w:line="240" w:lineRule="auto"/>
      </w:pPr>
      <w:r>
        <w:rPr>
          <w:b/>
        </w:rPr>
        <w:t xml:space="preserve">[648] </w:t>
      </w:r>
      <w:hyperlink r:id="rId1523">
        <w:r>
          <w:rPr>
            <w:color w:val="1155CC"/>
            <w:u w:val="single"/>
          </w:rPr>
          <w:t>压力引起的饮水缓解焦虑的神经回路</w:t>
        </w:r>
      </w:hyperlink>
    </w:p>
    <w:p>
      <w:pPr>
        <w:spacing w:before="0" w:after="80"/>
      </w:pPr>
      <w:r>
        <w:rPr>
          <w:i/>
          <w:sz w:val="20"/>
        </w:rPr>
        <w:t>EN: Neural circuits for stress-induced water drinking in relief of anxiety</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24">
        <w:r>
          <w:rPr>
            <w:color w:val="1155CC"/>
            <w:u w:val="single"/>
          </w:rPr>
          <w:t>10.1073/pnas.2602749123</w:t>
        </w:r>
      </w:hyperlink>
    </w:p>
    <w:p>
      <w:pPr>
        <w:spacing w:before="0" w:after="120"/>
      </w:pPr>
      <w:r>
        <w:rPr>
          <w:b/>
        </w:rPr>
        <w:t xml:space="preserve">Notes: </w:t>
      </w:r>
      <w:r>
        <w:t>abstract_source=crossref</w:t>
      </w:r>
    </w:p>
    <w:p>
      <w:pPr>
        <w:spacing w:before="0" w:after="80" w:lineRule="auto" w:line="276"/>
      </w:pPr>
      <w:r>
        <w:rPr>
          <w:b/>
        </w:rPr>
        <w:t xml:space="preserve">摘要（ZH）: </w:t>
      </w:r>
      <w:r>
        <w:t>喝水是哺乳动物在承受压力后的快速本能行为。这种压力引起的饮水行为的作用及其神经机制仍然知之甚少。在这里，我们确定了两个顺序激活的神经回路，分别介导压力引起的饮酒行为和奖励编码，共同促进小鼠焦虑样行为的消失。具体来说，轻微的短期压力会诱发类似焦虑的行为，并激活内侧前额皮质（mPFC）中的谷氨酸能神经元</w:t>
      </w:r>
      <w:r>
        <w:t xml:space="preserve"> </w:t>
      </w:r>
      <w:r>
        <w:t>谷氨酸</w:t>
      </w:r>
      <w:r>
        <w:t xml:space="preserve"> </w:t>
      </w:r>
      <w:r>
        <w:t>）投射到正中视前核（MnPO</w:t>
      </w:r>
      <w:r>
        <w:t xml:space="preserve"> </w:t>
      </w:r>
      <w:r>
        <w:t>谷氨酸</w:t>
      </w:r>
      <w:r>
        <w:t xml:space="preserve"> </w:t>
      </w:r>
      <w:r>
        <w:t>），从而驱动小鼠的饮酒行为。这种饮酒行为随后会激活 MnPO 中的 GABA 能神经元（MnPO</w:t>
      </w:r>
      <w:r>
        <w:t xml:space="preserve"> </w:t>
      </w:r>
      <w:r>
        <w:t>氨基丁酸</w:t>
      </w:r>
      <w:r>
        <w:t xml:space="preserve"> </w:t>
      </w:r>
      <w:r>
        <w:t>），然后抑制腹侧被盖区（VTA</w:t>
      </w:r>
      <w:r>
        <w:t xml:space="preserve"> </w:t>
      </w:r>
      <w:r>
        <w:t>氨基丁酸</w:t>
      </w:r>
      <w:r>
        <w:t xml:space="preserve"> </w:t>
      </w:r>
      <w:r>
        <w:t>），导致奖赏编码多巴胺能 VTA 神经元（VTA</w:t>
      </w:r>
      <w:r>
        <w:t xml:space="preserve"> </w:t>
      </w:r>
      <w:r>
        <w:t>DA</w:t>
      </w:r>
      <w:r>
        <w:t xml:space="preserve"> </w:t>
      </w:r>
      <w:r>
        <w:t>），最终调解压力引起的焦虑样行为的消失。本研究定义了饮酒行为缓解焦虑作用背后的皮质-下丘脑-中脑连接，为先天压力应对策略提供了回路基础。</w:t>
      </w:r>
    </w:p>
    <w:p>
      <w:pPr>
        <w:spacing w:before="0" w:after="200" w:lineRule="auto" w:line="276"/>
      </w:pPr>
      <w:r>
        <w:rPr>
          <w:b/>
        </w:rPr>
        <w:t xml:space="preserve">Abstract (EN): </w:t>
      </w:r>
      <w:r>
        <w:t>Drinking water is a rapid, instinctive behavior of mammals following stress. The role of such stress-induced water drinking behavior and its neural mechanisms remain poorly known. Here, we identify two sequentially activated neural circuits that respectively mediate stress-induced drinking behavior and reward encoding, which collectively promote the extinction of anxiety-like behaviors in mice. Specifically, mild short-term stress induces anxiety-like behaviors and activates glutamatergic neurons in the medial prefrontal cortex (mPFC</w:t>
      </w:r>
      <w:r>
        <w:t xml:space="preserve"> </w:t>
      </w:r>
      <w:r>
        <w:t>Glu</w:t>
      </w:r>
      <w:r>
        <w:t xml:space="preserve"> </w:t>
      </w:r>
      <w:r>
        <w:t>) projecting to glutamatergic neurons in the median preoptic nucleus (MnPO</w:t>
      </w:r>
      <w:r>
        <w:t xml:space="preserve"> </w:t>
      </w:r>
      <w:r>
        <w:t>Glu</w:t>
      </w:r>
      <w:r>
        <w:t xml:space="preserve"> </w:t>
      </w:r>
      <w:r>
        <w:t>), consequently driving drinking behavior in mice. This drinking behavior subsequently activates GABAergic neurons in the MnPO (MnPO</w:t>
      </w:r>
      <w:r>
        <w:t xml:space="preserve"> </w:t>
      </w:r>
      <w:r>
        <w:t>GABA</w:t>
      </w:r>
      <w:r>
        <w:t xml:space="preserve"> </w:t>
      </w:r>
      <w:r>
        <w:t>), which then inhibit GABAergic neurons in the ventral tegmental area (VTA</w:t>
      </w:r>
      <w:r>
        <w:t xml:space="preserve"> </w:t>
      </w:r>
      <w:r>
        <w:t>GABA</w:t>
      </w:r>
      <w:r>
        <w:t xml:space="preserve"> </w:t>
      </w:r>
      <w:r>
        <w:t>), leading to disinhibition of reward-encoding dopaminergic VTA neurons (VTA</w:t>
      </w:r>
      <w:r>
        <w:t xml:space="preserve"> </w:t>
      </w:r>
      <w:r>
        <w:t>DA</w:t>
      </w:r>
      <w:r>
        <w:t xml:space="preserve"> </w:t>
      </w:r>
      <w:r>
        <w:t>), ultimately mediating the extinction of stress-induced anxiety-like behaviors. The present study defines cortical–hypothalamic–midbrain connections underlying the anxiety-relieving effects of drinking behavior, providing a circuit basis for innate stress coping strategies.</w:t>
      </w:r>
    </w:p>
    <w:p>
      <w:pPr>
        <w:spacing w:before="120" w:after="120"/>
      </w:pPr>
      <w:r>
        <w:rPr>
          <w:sz w:val="18"/>
        </w:rPr>
        <w:t>——————————————————————————————————————————————————————————————————————</w:t>
      </w:r>
    </w:p>
    <w:p>
      <w:pPr>
        <w:spacing w:before="160" w:after="40" w:line="240" w:lineRule="auto"/>
      </w:pPr>
      <w:r>
        <w:rPr>
          <w:b/>
        </w:rPr>
        <w:t xml:space="preserve">[649] </w:t>
      </w:r>
      <w:hyperlink r:id="rId1525">
        <w:r>
          <w:rPr>
            <w:color w:val="1155CC"/>
            <w:u w:val="single"/>
          </w:rPr>
          <w:t>N-(3-甲基丁基)乙酰胺通过行为阈值调节介导橘小实蝇雄性求偶</w:t>
        </w:r>
      </w:hyperlink>
    </w:p>
    <w:p>
      <w:pPr>
        <w:spacing w:before="0" w:after="80"/>
      </w:pPr>
      <w:r>
        <w:rPr>
          <w:i/>
          <w:sz w:val="20"/>
        </w:rPr>
        <w:t>EN: N-(3-methylbutyl)acetamide mediates male–male courtship in Bactrocera dorsalis through behavioral threshold modulation</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26">
        <w:r>
          <w:rPr>
            <w:color w:val="1155CC"/>
            <w:u w:val="single"/>
          </w:rPr>
          <w:t>10.1073/pnas.2605503123</w:t>
        </w:r>
      </w:hyperlink>
    </w:p>
    <w:p>
      <w:pPr>
        <w:spacing w:before="0" w:after="120"/>
      </w:pPr>
      <w:r>
        <w:rPr>
          <w:b/>
        </w:rPr>
        <w:t xml:space="preserve">Notes: </w:t>
      </w:r>
      <w:r>
        <w:t>abstract_source=crossref</w:t>
      </w:r>
    </w:p>
    <w:p>
      <w:pPr>
        <w:spacing w:before="0" w:after="80" w:lineRule="auto" w:line="276"/>
      </w:pPr>
      <w:r>
        <w:rPr>
          <w:b/>
        </w:rPr>
        <w:t xml:space="preserve">摘要（ZH）: </w:t>
      </w:r>
      <w:r>
        <w:t>在不同类群中观察到的雄性求爱通常被视为进化悖论。在这里，我们通过证明全球入侵害虫的这种行为来解决这个悖论</w:t>
      </w:r>
      <w:r>
        <w:t xml:space="preserve"> </w:t>
      </w:r>
      <w:r>
        <w:t>橘小实蝇</w:t>
      </w:r>
      <w:r>
        <w:t xml:space="preserve"> </w:t>
      </w:r>
      <w:r>
        <w:t>是交配过滤器中上下文相关转变的副产品。我们确定</w:t>
      </w:r>
      <w:r>
        <w:t xml:space="preserve"> </w:t>
      </w:r>
      <w:r>
        <w:t>氮</w:t>
      </w:r>
      <w:r>
        <w:t xml:space="preserve"> </w:t>
      </w:r>
      <w:r>
        <w:t>-(3-甲基丁基)乙酰胺（MBA）是在雄性密度高和雌性稀缺的情况下积累的关键信号。在阈值量（约 1,800 ng）下，MBA 拓宽了雄性的交配过滤器，降低了对潜在伴侣的接受阈值，从而提高了求爱动机并诱发多动症。这种扩大的过滤器使雄性能够向次优但可能可用的雌性（例如，已交配的或年长的个体）求爱，否则这些雌性可能会被忽视，同时也顺便触发雄性之间的求爱。这种行为转变在遇到处女和年轻雌性时会迅速逆转，从而保留了对这些最佳伴侣的天生偏好。通过将 MBA 识别为配偶不可用的化学信号，我们将男性与男性的求爱重新解释为女性稀缺情况下交配过滤器调整的中性副产品，是最大化交配机会和接受错误求爱的附带成本之间的权衡。这项工作将行为生态学与生理学联系起来，为社会环境如何动态重塑配偶接受阈值提供了一个机制框架。</w:t>
      </w:r>
    </w:p>
    <w:p>
      <w:pPr>
        <w:spacing w:before="0" w:after="200" w:lineRule="auto" w:line="276"/>
      </w:pPr>
      <w:r>
        <w:rPr>
          <w:b/>
        </w:rPr>
        <w:t xml:space="preserve">Abstract (EN): </w:t>
      </w:r>
      <w:r>
        <w:t>Male–male courtship, observed across diverse taxa, is often regarded as an evolutionary paradox. Here, we address this paradox by demonstrating that such behavior in the globally invasive pest</w:t>
      </w:r>
      <w:r>
        <w:t xml:space="preserve"> </w:t>
      </w:r>
      <w:r>
        <w:t>Bactrocera dorsalis</w:t>
      </w:r>
      <w:r>
        <w:t xml:space="preserve"> </w:t>
      </w:r>
      <w:r>
        <w:t>arises as a byproduct of a context-dependent shift in the mating filter. We identify</w:t>
      </w:r>
      <w:r>
        <w:t xml:space="preserve"> </w:t>
      </w:r>
      <w:r>
        <w:t>N</w:t>
      </w:r>
      <w:r>
        <w:t xml:space="preserve"> </w:t>
      </w:r>
      <w:r>
        <w:t>-(3-methylbutyl)acetamide (MBA) as a critical signal that accumulates under high male density and female scarcity. At a threshold amount (~ 1,800 ng), MBA broadens the male’s mating filter, lowering the acceptance threshold for potential partners, thereby elevating courtship motivation and inducing hyperactivity. This broadened filter enables males to court suboptimal but potentially available females (e.g., mated or older individuals) that would otherwise be ignored, while also incidentally triggering male–male courtship. This behavioral shift is rapidly reversible upon encounter with virgin and young females, preserving an innate preference for these optimal partners. By identifying MBA as a chemical signal of mate unavailability, we reinterpret male–male courtship as a neutral byproduct of an adjustment of the mating filter under female scarcity, a trade-off between maximizing mating opportunities and accepting the incidental cost of misdirected courtship. This work bridges behavioral ecology with physiology, offering a mechanistic framework for how social environments dynamically reshape mate acceptance thresholds.</w:t>
      </w:r>
    </w:p>
    <w:p>
      <w:pPr>
        <w:spacing w:before="120" w:after="120"/>
      </w:pPr>
      <w:r>
        <w:rPr>
          <w:sz w:val="18"/>
        </w:rPr>
        <w:t>——————————————————————————————————————————————————————————————————————</w:t>
      </w:r>
    </w:p>
    <w:p>
      <w:pPr>
        <w:spacing w:before="160" w:after="40" w:line="240" w:lineRule="auto"/>
      </w:pPr>
      <w:r>
        <w:rPr>
          <w:b/>
        </w:rPr>
        <w:t xml:space="preserve">[650] </w:t>
      </w:r>
      <w:hyperlink r:id="rId1527">
        <w:r>
          <w:rPr>
            <w:color w:val="1155CC"/>
            <w:u w:val="single"/>
          </w:rPr>
          <w:t>人类特异性长非编码 RNA 调节抗原呈递细胞活力和抗菌防御</w:t>
        </w:r>
      </w:hyperlink>
    </w:p>
    <w:p>
      <w:pPr>
        <w:spacing w:before="0" w:after="80"/>
      </w:pPr>
      <w:r>
        <w:rPr>
          <w:i/>
          <w:sz w:val="20"/>
        </w:rPr>
        <w:t>EN: A human-specific long noncoding RNA regulator of antigen-presenting cell viability and antimicrobial defense</w:t>
      </w:r>
    </w:p>
    <w:p>
      <w:pPr>
        <w:spacing w:before="0" w:after="120"/>
      </w:pPr>
      <w:r>
        <w:rPr>
          <w:b/>
        </w:rPr>
        <w:t xml:space="preserve">Source: </w:t>
      </w:r>
      <w:r>
        <w:t>Proceedings of the National Academy of Sciences: Keyword search for query</w:t>
      </w:r>
      <w:r>
        <w:t xml:space="preserve">    </w:t>
      </w:r>
      <w:r>
        <w:rPr>
          <w:b/>
        </w:rPr>
        <w:t xml:space="preserve">Pub date: </w:t>
      </w:r>
      <w:r>
        <w:t>2026-07-16 07:00:00+00:00</w:t>
      </w:r>
      <w:r>
        <w:t xml:space="preserve">    </w:t>
      </w:r>
      <w:r>
        <w:rPr>
          <w:b/>
        </w:rPr>
        <w:t xml:space="preserve">DOI: </w:t>
      </w:r>
      <w:hyperlink r:id="rId1528">
        <w:r>
          <w:rPr>
            <w:color w:val="1155CC"/>
            <w:u w:val="single"/>
          </w:rPr>
          <w:t>10.1073/pnas.2520205123</w:t>
        </w:r>
      </w:hyperlink>
    </w:p>
    <w:p>
      <w:pPr>
        <w:spacing w:before="0" w:after="120"/>
      </w:pPr>
      <w:r>
        <w:rPr>
          <w:b/>
        </w:rPr>
        <w:t xml:space="preserve">Notes: </w:t>
      </w:r>
      <w:r>
        <w:t>abstract_source=crossref</w:t>
      </w:r>
    </w:p>
    <w:p>
      <w:pPr>
        <w:spacing w:before="0" w:after="80" w:lineRule="auto" w:line="276"/>
      </w:pPr>
      <w:r>
        <w:rPr>
          <w:b/>
        </w:rPr>
        <w:t xml:space="preserve">摘要（ZH）: </w:t>
      </w:r>
      <w:r>
        <w:t>巨噬细胞对于清除病原体和保持组织稳态都至关重要，但这种平衡的分子调节因子仍未完全确定。在这里，我们确定了 SAILR（生存相关免疫调节 RNA），一种灵长类特异性长非编码 RNA (lncRNA)，作为感染条件下巨噬细胞活力的关键调节剂。 SAILR 在单核细胞向巨噬细胞分化过程中被诱导，但在细菌攻击后以核因子 kappa B (NF-κB) 依赖性方式迅速下调。在幼稚巨噬细胞和免疫激活巨噬细胞中，SAILR 都会抑制粘附、吞噬和侵袭因子（包括 SIGLEC1 和 MMP7）的表达。感染期间</w:t>
      </w:r>
      <w:r>
        <w:t xml:space="preserve"> </w:t>
      </w:r>
      <w:r>
        <w:t>沙门氏菌</w:t>
      </w:r>
      <w:r>
        <w:t xml:space="preserve"> </w:t>
      </w:r>
      <w:r>
        <w:t>在鼠伤寒杆菌中，SAILR 的消耗会使巨噬细胞对细胞凋亡敏感，导致细胞内复制生态位丧失并减少细菌回收率。相反，强制 SAILR 表达可促进巨噬细胞存活并增加细胞内病原体负担。从机制上讲，SAILR 与抗凋亡衔接蛋白 14-3-3β 相互作用以支持巨噬细胞存活。值得注意的是，SAILR 的下调反映在重症 COVID-19 和脓毒症患者的循环免疫细胞中。总之，我们的研究结果将 SAILR 定位为将巨噬细胞存活与宿主-病原体相互作用和疾病病理生理学联系起来的中央调节器。</w:t>
      </w:r>
    </w:p>
    <w:p>
      <w:pPr>
        <w:spacing w:before="0" w:after="200" w:lineRule="auto" w:line="276"/>
      </w:pPr>
      <w:r>
        <w:rPr>
          <w:b/>
        </w:rPr>
        <w:t xml:space="preserve">Abstract (EN): </w:t>
      </w:r>
      <w:r>
        <w:t>Macrophages are essential for both, to clear pathogens and preserve tissue homeostasis, yet the molecular regulators of this equilibrium remain incompletely defined. Here, we identify SAILR (survival associated immune-regulatory RNA), a primate-specific long noncoding RNA (lncRNA), as a critical modulator of macrophage viability under infection conditions. SAILR is induced during monocyte-to-macrophage differentiation, but rapidly downregulated upon bacterial challenge in a nuclear factor kappa B (NF-κB) dependent manner. In both naïve and immune-activated macrophages, SAILR dampens the expression of adhesion, phagocytosis, and invasion factors, which include SIGLEC1 and MMP7. During infection with</w:t>
      </w:r>
      <w:r>
        <w:t xml:space="preserve"> </w:t>
      </w:r>
      <w:r>
        <w:t>Salmonella</w:t>
      </w:r>
      <w:r>
        <w:t xml:space="preserve"> </w:t>
      </w:r>
      <w:r>
        <w:t>Typhimurium, depletion of SAILR sensitizes macrophages to apoptosis, resulting in loss of intracellular replication niches and reduced bacterial recovery. Conversely, enforced SAILR expression promotes macrophage survival and increases intracellular pathogen burden. Mechanistically, SAILR interacts with the antiapoptotic adaptor protein 14-3-3β to support macrophage survival. Notably, downregulation of SAILR is mirrored in circulating immune cells from patients with severe COVID-19 and sepsis. Together, our findings position SAILR as a central regulator in linking macrophage survival to host–pathogen interaction and disease pathophysiology.</w:t>
      </w:r>
    </w:p>
    <w:p>
      <w:pPr>
        <w:spacing w:before="120" w:after="120"/>
      </w:pPr>
      <w:r>
        <w:rPr>
          <w:sz w:val="18"/>
        </w:rPr>
        <w:t>——————————————————————————————————————————————————————————————————————</w:t>
      </w:r>
    </w:p>
    <w:p>
      <w:pPr>
        <w:spacing w:before="160" w:after="40" w:line="240" w:lineRule="auto"/>
      </w:pPr>
      <w:r>
        <w:rPr>
          <w:b/>
        </w:rPr>
        <w:t xml:space="preserve">[651] </w:t>
      </w:r>
      <w:hyperlink r:id="rId1529">
        <w:r>
          <w:rPr>
            <w:color w:val="1155CC"/>
            <w:u w:val="single"/>
          </w:rPr>
          <w:t>通过工程耗散同步 Aharonov-Bohm 图案</w:t>
        </w:r>
      </w:hyperlink>
    </w:p>
    <w:p>
      <w:pPr>
        <w:spacing w:before="0" w:after="80"/>
      </w:pPr>
      <w:r>
        <w:rPr>
          <w:i/>
          <w:sz w:val="20"/>
        </w:rPr>
        <w:t>EN: Synchronized Aharonov-Bohm Motifs via Engineered Dissipation</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30">
        <w:r>
          <w:rPr>
            <w:color w:val="1155CC"/>
            <w:u w:val="single"/>
          </w:rPr>
          <w:t>10.1103/lllj-4k5y</w:t>
        </w:r>
      </w:hyperlink>
    </w:p>
    <w:p>
      <w:pPr>
        <w:spacing w:before="0" w:after="120"/>
      </w:pPr>
      <w:r>
        <w:rPr>
          <w:b/>
        </w:rPr>
        <w:t xml:space="preserve">Notes: </w:t>
      </w:r>
      <w:r>
        <w:t>abstract_source=rss_description</w:t>
      </w:r>
    </w:p>
    <w:p>
      <w:pPr>
        <w:spacing w:before="0" w:after="80" w:lineRule="auto" w:line="276"/>
      </w:pPr>
      <w:r>
        <w:rPr>
          <w:b/>
        </w:rPr>
        <w:t xml:space="preserve">摘要（ZH）: </w:t>
      </w:r>
      <w:r>
        <w:t>作者：Christopher W. Wächtler 和 Gloria Platero 外部规范场和晶格几何之间的相互作用可以通过完全相消干涉来引发极端的局域化动力学。我们证明，将这种通量引起的局域化与工程耗散相结合，可以在旋转对称自旋 g 中实现强大的自旋同步……[Phys。莱特牧师。 137, 030405] 发布于 2026 年 7 月 16 日星期四</w:t>
      </w:r>
    </w:p>
    <w:p>
      <w:pPr>
        <w:spacing w:before="0" w:after="200" w:lineRule="auto" w:line="276"/>
      </w:pPr>
      <w:r>
        <w:rPr>
          <w:b/>
        </w:rPr>
        <w:t xml:space="preserve">Abstract (EN): </w:t>
      </w:r>
      <w:r>
        <w:t>Author(s): Christopher W. Wächtler and Gloria PlateroThe interplay between external gauge fields and lattice geometry can induce extreme localization dynamics through complete destructive interference. We show that combining this flux-induced localization with engineered dissipation leads to robust spin synchronization in rotationally symmetric spin g…[Phys. Rev. Lett. 137, 030405] Published Thu Jul 16, 2026</w:t>
      </w:r>
    </w:p>
    <w:p>
      <w:pPr>
        <w:spacing w:before="120" w:after="120"/>
      </w:pPr>
      <w:r>
        <w:rPr>
          <w:sz w:val="18"/>
        </w:rPr>
        <w:t>——————————————————————————————————————————————————————————————————————</w:t>
      </w:r>
    </w:p>
    <w:p>
      <w:pPr>
        <w:spacing w:before="160" w:after="40" w:line="240" w:lineRule="auto"/>
      </w:pPr>
      <w:r>
        <w:rPr>
          <w:b/>
        </w:rPr>
        <w:t xml:space="preserve">[652] </w:t>
      </w:r>
      <w:hyperlink r:id="rId1531">
        <w:r>
          <w:rPr>
            <w:color w:val="1155CC"/>
            <w:u w:val="single"/>
          </w:rPr>
          <w:t>$^{92}\mathrm{Rb}$ 和 $^{142}\mathrm{Cs}$ 中 $\mathrm{Δ}{I}^{π}={0}^{−}$ 的第一禁止跃迁的 $β$ 谱形状衰减</w:t>
        </w:r>
      </w:hyperlink>
    </w:p>
    <w:p>
      <w:pPr>
        <w:spacing w:before="0" w:after="80"/>
      </w:pPr>
      <w:r>
        <w:rPr>
          <w:i/>
          <w:sz w:val="20"/>
        </w:rPr>
        <w:t>EN: $β$-spectrum shapes of first-forbidden transitions with $\mathrm{Δ}{I}^{π}={0}^{−}$ in $^{92}\mathrm{Rb}$ and $^{142}\mathrm{Cs}$ decays</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32">
        <w:r>
          <w:rPr>
            <w:color w:val="1155CC"/>
            <w:u w:val="single"/>
          </w:rPr>
          <w:t>10.1103/zvdk-57bt</w:t>
        </w:r>
      </w:hyperlink>
    </w:p>
    <w:p>
      <w:pPr>
        <w:spacing w:before="0" w:after="120"/>
      </w:pPr>
      <w:r>
        <w:rPr>
          <w:b/>
        </w:rPr>
        <w:t xml:space="preserve">Notes: </w:t>
      </w:r>
      <w:r>
        <w:t>abstract_source=rss_description</w:t>
      </w:r>
    </w:p>
    <w:p>
      <w:pPr>
        <w:spacing w:before="0" w:after="80" w:lineRule="auto" w:line="276"/>
      </w:pPr>
      <w:r>
        <w:rPr>
          <w:b/>
        </w:rPr>
        <w:t xml:space="preserve">摘要（ZH）: </w:t>
      </w:r>
      <w:r>
        <w:t>作者：G. A. Alcalá 等人。$^{92}\mathrm{Rb}$ 和 $^{142}\mathrm{Cs}$ 的 $β$ 衰变电子谱是反应堆反中微子谱的关键贡献者，在 IGISOL 设施中使用高同位素纯度的放射性束进行测量。将测量的 $β$ 光谱的形状与各种 $β$-sha 进行比较......[Phys。 Rev. C 114, 014319] 2026 年 7 月 16 日星期四发布</w:t>
      </w:r>
    </w:p>
    <w:p>
      <w:pPr>
        <w:spacing w:before="0" w:after="200" w:lineRule="auto" w:line="276"/>
      </w:pPr>
      <w:r>
        <w:rPr>
          <w:b/>
        </w:rPr>
        <w:t xml:space="preserve">Abstract (EN): </w:t>
      </w:r>
      <w:r>
        <w:t>Author(s): G. A. Alcalá et al.The electron spectra of the $β$ decays of $^{92}\mathrm{Rb}$ and $^{142}\mathrm{Cs}$, key contributors to the reactor antineutrino spectrum, were measured at the IGISOL facility using radioactive beams of high isotopic purity. The shapes of the measured $β$ spectra were compared with various $β$-sha…[Phys. Rev. C 114, 014319] Published Thu Jul 16, 2026</w:t>
      </w:r>
    </w:p>
    <w:p>
      <w:pPr>
        <w:spacing w:before="120" w:after="120"/>
      </w:pPr>
      <w:r>
        <w:rPr>
          <w:sz w:val="18"/>
        </w:rPr>
        <w:t>——————————————————————————————————————————————————————————————————————</w:t>
      </w:r>
    </w:p>
    <w:p>
      <w:pPr>
        <w:spacing w:before="160" w:after="40" w:line="240" w:lineRule="auto"/>
      </w:pPr>
      <w:r>
        <w:rPr>
          <w:b/>
        </w:rPr>
        <w:t xml:space="preserve">[653] </w:t>
      </w:r>
      <w:hyperlink r:id="rId1533">
        <w:r>
          <w:rPr>
            <w:color w:val="1155CC"/>
            <w:u w:val="single"/>
          </w:rPr>
          <w:t>通过微观能量修正改进 $α$ 衰变能和半衰期预测</w:t>
        </w:r>
      </w:hyperlink>
    </w:p>
    <w:p>
      <w:pPr>
        <w:spacing w:before="0" w:after="80"/>
      </w:pPr>
      <w:r>
        <w:rPr>
          <w:i/>
          <w:sz w:val="20"/>
        </w:rPr>
        <w:t>EN: Improving $α$-decay energy and half-life predictions with microscopic energy corrections</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34">
        <w:r>
          <w:rPr>
            <w:color w:val="1155CC"/>
            <w:u w:val="single"/>
          </w:rPr>
          <w:t>10.1103/knwh-996r</w:t>
        </w:r>
      </w:hyperlink>
    </w:p>
    <w:p>
      <w:pPr>
        <w:spacing w:before="0" w:after="120"/>
      </w:pPr>
      <w:r>
        <w:rPr>
          <w:b/>
        </w:rPr>
        <w:t xml:space="preserve">Notes: </w:t>
      </w:r>
      <w:r>
        <w:t>abstract_source=rss_description</w:t>
      </w:r>
    </w:p>
    <w:p>
      <w:pPr>
        <w:spacing w:before="0" w:after="80" w:lineRule="auto" w:line="276"/>
      </w:pPr>
      <w:r>
        <w:rPr>
          <w:b/>
        </w:rPr>
        <w:t xml:space="preserve">摘要（ZH）: </w:t>
      </w:r>
      <w:r>
        <w:t>作者：胡明辉、马鹏飞、任凯、田俊龙、李成在$α$-衰变能相关公式中引入微观能量项，并进一步扩展到半衰期预测，显着提高了这两个量的预测精度，特别是在核壳闭合区域附近。对于 96 个参考目标对，根均值…[Phys. Rev. C 114, 014321] 2026 年 7 月 16 日星期四发布</w:t>
      </w:r>
    </w:p>
    <w:p>
      <w:pPr>
        <w:spacing w:before="0" w:after="200" w:lineRule="auto" w:line="276"/>
      </w:pPr>
      <w:r>
        <w:rPr>
          <w:b/>
        </w:rPr>
        <w:t xml:space="preserve">Abstract (EN): </w:t>
      </w:r>
      <w:r>
        <w:t>Author(s): Minghui Hu, Pengfei Ma, Kai Ren, Junlong Tian, and Cheng LiA microscopic energy term is introduced into the $α$-decay energy correlation formula and further extended to half-life predictions, substantially improving the predictive accuracy of both quantities, particularly in regions near nuclear shell closures. For 96 reference-target pairs, the root-mean-s…[Phys. Rev. C 114, 014321] Published Thu Jul 16, 2026</w:t>
      </w:r>
    </w:p>
    <w:p>
      <w:pPr>
        <w:spacing w:before="120" w:after="120"/>
      </w:pPr>
      <w:r>
        <w:rPr>
          <w:sz w:val="18"/>
        </w:rPr>
        <w:t>——————————————————————————————————————————————————————————————————————</w:t>
      </w:r>
    </w:p>
    <w:p>
      <w:pPr>
        <w:spacing w:before="160" w:after="40" w:line="240" w:lineRule="auto"/>
      </w:pPr>
      <w:r>
        <w:rPr>
          <w:b/>
        </w:rPr>
        <w:t xml:space="preserve">[654] </w:t>
      </w:r>
      <w:hyperlink r:id="rId1535">
        <w:r>
          <w:rPr>
            <w:color w:val="1155CC"/>
            <w:u w:val="single"/>
          </w:rPr>
          <w:t>在反对称分子动力学中用 $^{208}\mathrm{Pb}$ 中的电偶极子极化率和中子表皮特性来约束核对称能</w:t>
        </w:r>
      </w:hyperlink>
    </w:p>
    <w:p>
      <w:pPr>
        <w:spacing w:before="0" w:after="80"/>
      </w:pPr>
      <w:r>
        <w:rPr>
          <w:i/>
          <w:sz w:val="20"/>
        </w:rPr>
        <w:t>EN: Constraining the nuclear symmetry energy with electric dipole polarizability and neutron skin characteristics in $^{208}\mathrm{Pb}$ within antisymmetrized molecular dynamics</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36">
        <w:r>
          <w:rPr>
            <w:color w:val="1155CC"/>
            <w:u w:val="single"/>
          </w:rPr>
          <w:t>10.1103/wwzf-2pzk</w:t>
        </w:r>
      </w:hyperlink>
    </w:p>
    <w:p>
      <w:pPr>
        <w:spacing w:before="0" w:after="120"/>
      </w:pPr>
      <w:r>
        <w:rPr>
          <w:b/>
        </w:rPr>
        <w:t xml:space="preserve">Notes: </w:t>
      </w:r>
      <w:r>
        <w:t>abstract_source=rss_description</w:t>
      </w:r>
    </w:p>
    <w:p>
      <w:pPr>
        <w:spacing w:before="0" w:after="80" w:lineRule="auto" w:line="276"/>
      </w:pPr>
      <w:r>
        <w:rPr>
          <w:b/>
        </w:rPr>
        <w:t xml:space="preserve">摘要（ZH）: </w:t>
      </w:r>
      <w:r>
        <w:t>作者：牛丹丹、王新宇、崔英、赵强、赵凯、小野晃和张英勋$^{208}\mathrm{Pb}$ 的电偶极子极化率 ${α}_{D}$ 和中子皮厚度 $\mathrm{Δ}{R}_{np}$ 是两个强大而干净的探针，用于约束次饱和对称能密度。在反对称分子动力学 (AMD) 模型的框架内，w…[Phys。 Rev. C 114, 014622] 2026 年 7 月 16 日星期四发布</w:t>
      </w:r>
    </w:p>
    <w:p>
      <w:pPr>
        <w:spacing w:before="0" w:after="200" w:lineRule="auto" w:line="276"/>
      </w:pPr>
      <w:r>
        <w:rPr>
          <w:b/>
        </w:rPr>
        <w:t xml:space="preserve">Abstract (EN): </w:t>
      </w:r>
      <w:r>
        <w:t>Author(s): Dandan Niu, Xinyu Wang, Ying Cui, Qiang Zhao, Kai Zhao, Akira Ono, and Yingxun ZhangThe electric dipole polarizability ${α}_{D}$ and the neutron-skin thickness $\mathrm{Δ}{R}_{np}$ of $^{208}\mathrm{Pb}$ are two powerful and clean probes for constraining the symmetry energy at subsaturation densities. Within the framework of the antisymmetrized molecular dynamics (AMD) model, the w…[Phys. Rev. C 114, 014622] Published Thu Jul 16, 2026</w:t>
      </w:r>
    </w:p>
    <w:p>
      <w:pPr>
        <w:spacing w:before="120" w:after="120"/>
      </w:pPr>
      <w:r>
        <w:rPr>
          <w:sz w:val="18"/>
        </w:rPr>
        <w:t>——————————————————————————————————————————————————————————————————————</w:t>
      </w:r>
    </w:p>
    <w:p>
      <w:pPr>
        <w:spacing w:before="160" w:after="40" w:line="240" w:lineRule="auto"/>
      </w:pPr>
      <w:r>
        <w:rPr>
          <w:b/>
        </w:rPr>
        <w:t xml:space="preserve">[655] </w:t>
      </w:r>
      <w:hyperlink r:id="rId1537">
        <w:r>
          <w:rPr>
            <w:color w:val="1155CC"/>
            <w:u w:val="single"/>
          </w:rPr>
          <w:t>利用高动量 $π$ 光束诱导的质子前向 ${K}^{*}$ 产物研究低洼 $\mathrm{Λ}$ 和 $\mathrm{Σ}$ 共振</w:t>
        </w:r>
      </w:hyperlink>
    </w:p>
    <w:p>
      <w:pPr>
        <w:spacing w:before="0" w:after="80"/>
      </w:pPr>
      <w:r>
        <w:rPr>
          <w:i/>
          <w:sz w:val="20"/>
        </w:rPr>
        <w:t>EN: Low-lying $\mathrm{Λ}$ and $\mathrm{Σ}$ resonances studied with the forward ${K}^{*}$ productions off the proton induced by a high-momentum $π$ beam</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38">
        <w:r>
          <w:rPr>
            <w:color w:val="1155CC"/>
            <w:u w:val="single"/>
          </w:rPr>
          <w:t>10.1103/7ffl-qytm</w:t>
        </w:r>
      </w:hyperlink>
    </w:p>
    <w:p>
      <w:pPr>
        <w:spacing w:before="0" w:after="120"/>
      </w:pPr>
      <w:r>
        <w:rPr>
          <w:b/>
        </w:rPr>
        <w:t xml:space="preserve">Notes: </w:t>
      </w:r>
      <w:r>
        <w:t>abstract_source=rss_description</w:t>
      </w:r>
    </w:p>
    <w:p>
      <w:pPr>
        <w:spacing w:before="0" w:after="80" w:lineRule="auto" w:line="276"/>
      </w:pPr>
      <w:r>
        <w:rPr>
          <w:b/>
        </w:rPr>
        <w:t xml:space="preserve">摘要（ZH）: </w:t>
      </w:r>
      <w:r>
        <w:t>作者：H. Kamano 和 T.-S。 H. Lee我们开发了一种新颖的模型，利用由高动量$π$光束诱导的核子正向${K}^{*}$产生反应$πN→{K}^{*}MB$，作为研究低于和略高于$\overline{K}N$阈值的低位${Y}^{*}$共振的工具。因为传统的 ${K}^{−}p$ 散射实验...[Phys. Rev. C 114, 015205] 2026 年 7 月 16 日星期四发布</w:t>
      </w:r>
    </w:p>
    <w:p>
      <w:pPr>
        <w:spacing w:before="0" w:after="200" w:lineRule="auto" w:line="276"/>
      </w:pPr>
      <w:r>
        <w:rPr>
          <w:b/>
        </w:rPr>
        <w:t xml:space="preserve">Abstract (EN): </w:t>
      </w:r>
      <w:r>
        <w:t>Author(s): H. Kamano and T.-S. H. LeeWe develop a novel model utilizing the forward ${K}^{*}$ production reaction off the nucleon, $πN→{K}^{*}MB$, induced by a high-momentum $π$ beam, as a tool to study low-lying ${Y}^{*}$ resonances below and just above the $\overline{K}N$ threshold. Because conventional ${K}^{−}p$ scattering experime…[Phys. Rev. C 114, 015205] Published Thu Jul 16, 2026</w:t>
      </w:r>
    </w:p>
    <w:p>
      <w:pPr>
        <w:spacing w:before="120" w:after="120"/>
      </w:pPr>
      <w:r>
        <w:rPr>
          <w:sz w:val="18"/>
        </w:rPr>
        <w:t>——————————————————————————————————————————————————————————————————————</w:t>
      </w:r>
    </w:p>
    <w:p>
      <w:pPr>
        <w:spacing w:before="160" w:after="40" w:line="240" w:lineRule="auto"/>
      </w:pPr>
      <w:r>
        <w:rPr>
          <w:b/>
        </w:rPr>
        <w:t xml:space="preserve">[656] </w:t>
      </w:r>
      <w:hyperlink r:id="rId1539">
        <w:r>
          <w:rPr>
            <w:color w:val="1155CC"/>
            <w:u w:val="single"/>
          </w:rPr>
          <w:t>$N=40$ 逆温岛附近的 $β$ 衰变测量，用于量化吸积中子星外壳的冷却</w:t>
        </w:r>
      </w:hyperlink>
    </w:p>
    <w:p>
      <w:pPr>
        <w:spacing w:before="0" w:after="80"/>
      </w:pPr>
      <w:r>
        <w:rPr>
          <w:i/>
          <w:sz w:val="20"/>
        </w:rPr>
        <w:t>EN: $β$-decay measurements near the $N=40$ island of inversion to quantify cooling of accreted neutron star crusts</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40">
        <w:r>
          <w:rPr>
            <w:color w:val="1155CC"/>
            <w:u w:val="single"/>
          </w:rPr>
          <w:t>10.1103/vmfw-c2kb</w:t>
        </w:r>
      </w:hyperlink>
    </w:p>
    <w:p>
      <w:pPr>
        <w:spacing w:before="0" w:after="120"/>
      </w:pPr>
      <w:r>
        <w:rPr>
          <w:b/>
        </w:rPr>
        <w:t xml:space="preserve">Notes: </w:t>
      </w:r>
      <w:r>
        <w:t>abstract_source=rss_description</w:t>
      </w:r>
    </w:p>
    <w:p>
      <w:pPr>
        <w:spacing w:before="0" w:after="80" w:lineRule="auto" w:line="276"/>
      </w:pPr>
      <w:r>
        <w:rPr>
          <w:b/>
        </w:rPr>
        <w:t xml:space="preserve">摘要（ZH）: </w:t>
      </w:r>
      <w:r>
        <w:t>作者：K. Hermansen, W.-J. Ong、H. Schatz、J. Browne、A. Chester、K. Childers、R. Jain、S. Liddick、S. Lyons、S. A. Miskovich、P. Möller、F. Montes、J. Owens-Fryar、A. Palmisano-Kyle、A. L. Richard、N. Rijal、M. K. Smith、D. Soltesz、A. Spyrou、S. K. Subedi 和 L. Wagner 了解吸积中子星外壳的热结构对于解释天文 X 射线观测结果非常重要。构成地壳的富中子核的基态到基态$β$衰变转变使得乌卡中微子冷却过程影响了这个温度......[物理。 Rev. C 114, 015806] 2026 年 7 月 16 日星期四发布</w:t>
      </w:r>
    </w:p>
    <w:p>
      <w:pPr>
        <w:spacing w:before="0" w:after="200" w:lineRule="auto" w:line="276"/>
      </w:pPr>
      <w:r>
        <w:rPr>
          <w:b/>
        </w:rPr>
        <w:t xml:space="preserve">Abstract (EN): </w:t>
      </w:r>
      <w:r>
        <w:t>Author(s): K. Hermansen, W.-J. Ong, H. Schatz, J. Browne, A. Chester, K. Childers, R. Jain, S. Liddick, S. Lyons, S. A. Miskovich, P. Möller, F. Montes, J. Owens-Fryar, A. Palmisano-Kyle, A. L. Richard, N. Rijal, M. K. Smith, D. Soltesz, A. Spyrou, S. K. Subedi, and L. WagnerUnderstanding the thermal structure of the outer crust of accreting neutron stars is important for interpreting astronomical x-ray observations. Ground-state to ground-state $β$-decay transitions of neutron-rich nuclei comprising the crust enable Urca neutrino cooling processes that affect this ther…[Phys. Rev. C 114, 015806] Published Thu Jul 16, 2026</w:t>
      </w:r>
    </w:p>
    <w:p>
      <w:pPr>
        <w:spacing w:before="120" w:after="120"/>
      </w:pPr>
      <w:r>
        <w:rPr>
          <w:sz w:val="18"/>
        </w:rPr>
        <w:t>——————————————————————————————————————————————————————————————————————</w:t>
      </w:r>
    </w:p>
    <w:p>
      <w:pPr>
        <w:spacing w:before="160" w:after="40" w:line="240" w:lineRule="auto"/>
      </w:pPr>
      <w:r>
        <w:rPr>
          <w:b/>
        </w:rPr>
        <w:t xml:space="preserve">[657] </w:t>
      </w:r>
      <w:hyperlink r:id="rId1541">
        <w:r>
          <w:rPr>
            <w:color w:val="1155CC"/>
            <w:u w:val="single"/>
          </w:rPr>
          <w:t>${K}^{*}\mathrm{Σ}$光生产反应的横截面和自旋密度矩阵元素数据的组合分析</w:t>
        </w:r>
      </w:hyperlink>
    </w:p>
    <w:p>
      <w:pPr>
        <w:spacing w:before="0" w:after="80"/>
      </w:pPr>
      <w:r>
        <w:rPr>
          <w:i/>
          <w:sz w:val="20"/>
        </w:rPr>
        <w:t>EN: Combined analysis of the data on cross sections and spin density matrix elements for ${K}^{*}\mathrm{Σ}$ photoproduction reactions</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42">
        <w:r>
          <w:rPr>
            <w:color w:val="1155CC"/>
            <w:u w:val="single"/>
          </w:rPr>
          <w:t>10.1103/lkg6-j9h9</w:t>
        </w:r>
      </w:hyperlink>
    </w:p>
    <w:p>
      <w:pPr>
        <w:spacing w:before="0" w:after="120"/>
      </w:pPr>
      <w:r>
        <w:rPr>
          <w:b/>
        </w:rPr>
        <w:t xml:space="preserve">Notes: </w:t>
      </w:r>
      <w:r>
        <w:t>abstract_source=rss_description</w:t>
      </w:r>
    </w:p>
    <w:p>
      <w:pPr>
        <w:spacing w:before="0" w:after="80" w:lineRule="auto" w:line="276"/>
      </w:pPr>
      <w:r>
        <w:rPr>
          <w:b/>
        </w:rPr>
        <w:t xml:space="preserve">摘要（ZH）: </w:t>
      </w:r>
      <w:r>
        <w:t>作者：王爱超、魏能昌、黄飞在我们早期的工作中 [A. C. Wang 等人，物理学。 Rev. C 98, 045209 (2018)]，我们使用有效的拉格朗日方法分析了 CLAS Collaboration 反应 $γp→{K}^{*+}{\mathrm{Σ}}^{0}$ 和 $γp→{K}^{*0}{\mathrm{Σ}}^{+}$ 反应的微分截面数据。我们发现令人满意的……[物理。 Rev. C 114, 015206] 2026 年 7 月 16 日星期四发布</w:t>
      </w:r>
    </w:p>
    <w:p>
      <w:pPr>
        <w:spacing w:before="0" w:after="200" w:lineRule="auto" w:line="276"/>
      </w:pPr>
      <w:r>
        <w:rPr>
          <w:b/>
        </w:rPr>
        <w:t xml:space="preserve">Abstract (EN): </w:t>
      </w:r>
      <w:r>
        <w:t>Author(s): Ai-Chao Wang, Neng-Chang Wei, and Fei HuangIn our earlier work [A. C. Wang et al., Phys. Rev. C 98, 045209 (2018)], we analyzed the differential cross-section data from the CLAS Collaboration for the reactions $γp→{K}^{*+}{\mathrm{Σ}}^{0}$ and $γp→{K}^{*0}{\mathrm{Σ}}^{+}$ using an effective Lagrangian approach. We found that a satisfactory…[Phys. Rev. C 114, 015206] Published Thu Jul 16, 2026</w:t>
      </w:r>
    </w:p>
    <w:p>
      <w:pPr>
        <w:spacing w:before="120" w:after="120"/>
      </w:pPr>
      <w:r>
        <w:rPr>
          <w:sz w:val="18"/>
        </w:rPr>
        <w:t>——————————————————————————————————————————————————————————————————————</w:t>
      </w:r>
    </w:p>
    <w:p>
      <w:pPr>
        <w:spacing w:before="160" w:after="40" w:line="240" w:lineRule="auto"/>
      </w:pPr>
      <w:r>
        <w:rPr>
          <w:b/>
        </w:rPr>
        <w:t xml:space="preserve">[658] </w:t>
      </w:r>
      <w:hyperlink r:id="rId1543">
        <w:r>
          <w:rPr>
            <w:color w:val="1155CC"/>
            <w:u w:val="single"/>
          </w:rPr>
          <w:t>免校准非马尔可夫噪声抑制的实验演示</w:t>
        </w:r>
      </w:hyperlink>
    </w:p>
    <w:p>
      <w:pPr>
        <w:spacing w:before="0" w:after="80"/>
      </w:pPr>
      <w:r>
        <w:rPr>
          <w:i/>
          <w:sz w:val="20"/>
        </w:rPr>
        <w:t>EN: Experimental Demonstration of Calibration-Free Non-Markovian Noise Suppression</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44">
        <w:r>
          <w:rPr>
            <w:color w:val="1155CC"/>
            <w:u w:val="single"/>
          </w:rPr>
          <w:t>10.1103/77n6-slpf</w:t>
        </w:r>
      </w:hyperlink>
    </w:p>
    <w:p>
      <w:pPr>
        <w:spacing w:before="0" w:after="120"/>
      </w:pPr>
      <w:r>
        <w:rPr>
          <w:b/>
        </w:rPr>
        <w:t xml:space="preserve">Notes: </w:t>
      </w:r>
      <w:r>
        <w:t>abstract_source=rss_description</w:t>
      </w:r>
    </w:p>
    <w:p>
      <w:pPr>
        <w:spacing w:before="0" w:after="80" w:lineRule="auto" w:line="276"/>
      </w:pPr>
      <w:r>
        <w:rPr>
          <w:b/>
        </w:rPr>
        <w:t xml:space="preserve">摘要（ZH）: </w:t>
      </w:r>
      <w:r>
        <w:t>作者：刘洪峰、韩子钊、聂新芳、刘振寰和陆大伟 由环境记忆效应引起的非马尔可夫噪声是量子计算中最普遍和最具挑战性的噪声形式，通常难以表征和抑制。在这里，我们分析并实验演示了受量子启发的非马尔可夫噪声抑制方案......[Phys。莱特牧师。 137, 030601] 发布于 2026 年 7 月 16 日星期四</w:t>
      </w:r>
    </w:p>
    <w:p>
      <w:pPr>
        <w:spacing w:before="0" w:after="200" w:lineRule="auto" w:line="276"/>
      </w:pPr>
      <w:r>
        <w:rPr>
          <w:b/>
        </w:rPr>
        <w:t xml:space="preserve">Abstract (EN): </w:t>
      </w:r>
      <w:r>
        <w:t>Author(s): Hongfeng Liu, Zizhao Han, Xinfang Nie, Zhenhuan Liu, and Dawei LuNon-Markovian noise, arising from environmental memory effects, is the most general and challenging form of noise in quantum computing, and is typically difficult to characterize and suppress. Here, we analyze and experimentally demonstrate a non-Markovian noise suppression scheme inspired by quantu…[Phys. Rev. Lett. 137, 030601] Published Thu Jul 16, 2026</w:t>
      </w:r>
    </w:p>
    <w:p>
      <w:pPr>
        <w:spacing w:before="120" w:after="120"/>
      </w:pPr>
      <w:r>
        <w:rPr>
          <w:sz w:val="18"/>
        </w:rPr>
        <w:t>——————————————————————————————————————————————————————————————————————</w:t>
      </w:r>
    </w:p>
    <w:p>
      <w:pPr>
        <w:spacing w:before="160" w:after="40" w:line="240" w:lineRule="auto"/>
      </w:pPr>
      <w:r>
        <w:rPr>
          <w:b/>
        </w:rPr>
        <w:t xml:space="preserve">[659] </w:t>
      </w:r>
      <w:hyperlink r:id="rId1545">
        <w:r>
          <w:rPr>
            <w:color w:val="1155CC"/>
            <w:u w:val="single"/>
          </w:rPr>
          <w:t>Skyrme 模型中重重子的纯重子弱衰变</w:t>
        </w:r>
      </w:hyperlink>
    </w:p>
    <w:p>
      <w:pPr>
        <w:spacing w:before="0" w:after="80"/>
      </w:pPr>
      <w:r>
        <w:rPr>
          <w:i/>
          <w:sz w:val="20"/>
        </w:rPr>
        <w:t>EN: Purely baryonic weak decays of heavy baryons in a Skyrme model</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46">
        <w:r>
          <w:rPr>
            <w:color w:val="1155CC"/>
            <w:u w:val="single"/>
          </w:rPr>
          <w:t>10.1103/6mwr-98zh</w:t>
        </w:r>
      </w:hyperlink>
    </w:p>
    <w:p>
      <w:pPr>
        <w:spacing w:before="0" w:after="120"/>
      </w:pPr>
      <w:r>
        <w:rPr>
          <w:b/>
        </w:rPr>
        <w:t xml:space="preserve">Notes: </w:t>
      </w:r>
      <w:r>
        <w:t>abstract_source=rss_description</w:t>
      </w:r>
    </w:p>
    <w:p>
      <w:pPr>
        <w:spacing w:before="0" w:after="80" w:lineRule="auto" w:line="276"/>
      </w:pPr>
      <w:r>
        <w:rPr>
          <w:b/>
        </w:rPr>
        <w:t xml:space="preserve">摘要（ZH）: </w:t>
      </w:r>
      <w:r>
        <w:t>作者：耿超强和韩超 在 Skyrme 模型的框架内研究了重重子的纯重子弱衰变。这些衰变属于一类新的未观测到的衰变通道，这将有助于我们测试标准模型，特别是重子区域中 $\mathit{CP}$ 违规的潜在来源。 B……[物理。 Rev. C 114, 015204] 2026 年 7 月 16 日星期四发布</w:t>
      </w:r>
    </w:p>
    <w:p>
      <w:pPr>
        <w:spacing w:before="0" w:after="200" w:lineRule="auto" w:line="276"/>
      </w:pPr>
      <w:r>
        <w:rPr>
          <w:b/>
        </w:rPr>
        <w:t xml:space="preserve">Abstract (EN): </w:t>
      </w:r>
      <w:r>
        <w:t>Author(s): Chao-Qiang Geng and Chao HanPurely baryonic weak decays of heavy baryons are investigated within the framework of the Skyrme model. These decays belong to a new class of unobserved decay channels, which would help us to test the standard model, particularly potential sources of $\mathit{CP}$ violation in the baryonic sector. B…[Phys. Rev. C 114, 015204] Published Thu Jul 16, 2026</w:t>
      </w:r>
    </w:p>
    <w:p>
      <w:pPr>
        <w:spacing w:before="120" w:after="120"/>
      </w:pPr>
      <w:r>
        <w:rPr>
          <w:sz w:val="18"/>
        </w:rPr>
        <w:t>——————————————————————————————————————————————————————————————————————</w:t>
      </w:r>
    </w:p>
    <w:p>
      <w:pPr>
        <w:spacing w:before="160" w:after="40" w:line="240" w:lineRule="auto"/>
      </w:pPr>
      <w:r>
        <w:rPr>
          <w:b/>
        </w:rPr>
        <w:t xml:space="preserve">[660] </w:t>
      </w:r>
      <w:hyperlink r:id="rId1547">
        <w:r>
          <w:rPr>
            <w:color w:val="1155CC"/>
            <w:u w:val="single"/>
          </w:rPr>
          <w:t>量子干涉控制产生的定向光电流</w:t>
        </w:r>
      </w:hyperlink>
    </w:p>
    <w:p>
      <w:pPr>
        <w:spacing w:before="0" w:after="80"/>
      </w:pPr>
      <w:r>
        <w:rPr>
          <w:i/>
          <w:sz w:val="20"/>
        </w:rPr>
        <w:t>EN: Directional Photocurrent Generated by Quantum Interference Control</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48">
        <w:r>
          <w:rPr>
            <w:color w:val="1155CC"/>
            <w:u w:val="single"/>
          </w:rPr>
          <w:t>10.1103/3v91-5pzf</w:t>
        </w:r>
      </w:hyperlink>
    </w:p>
    <w:p>
      <w:pPr>
        <w:spacing w:before="0" w:after="120"/>
      </w:pPr>
      <w:r>
        <w:rPr>
          <w:b/>
        </w:rPr>
        <w:t xml:space="preserve">Notes: </w:t>
      </w:r>
      <w:r>
        <w:t>abstract_source=rss_description</w:t>
      </w:r>
    </w:p>
    <w:p>
      <w:pPr>
        <w:spacing w:before="0" w:after="80" w:lineRule="auto" w:line="276"/>
      </w:pPr>
      <w:r>
        <w:rPr>
          <w:b/>
        </w:rPr>
        <w:t xml:space="preserve">摘要（ZH）: </w:t>
      </w:r>
      <w:r>
        <w:t>作者：龚一鸣、王凯和 Steven T. Cundiff 利用高阶量子干涉，创建了一座“电子灯塔”，具有对半导体中高定向二维光电流束进行光学控制的能力。莱特牧师。 137, 036901] 发布于 2026 年 7 月 16 日星期四</w:t>
      </w:r>
    </w:p>
    <w:p>
      <w:pPr>
        <w:spacing w:before="0" w:after="200" w:lineRule="auto" w:line="276"/>
      </w:pPr>
      <w:r>
        <w:rPr>
          <w:b/>
        </w:rPr>
        <w:t xml:space="preserve">Abstract (EN): </w:t>
      </w:r>
      <w:r>
        <w:t>Author(s): Yiming Gong, Kai Wang, and Steven T. CundiffUsing higher-order quantum interference, an “electron lighthouse” is created with the capability of optically steering highly directional 2D beams of photocurrent in semiconductors.[Phys. Rev. Lett. 137, 036901] Published Thu Jul 16, 2026</w:t>
      </w:r>
    </w:p>
    <w:p>
      <w:pPr>
        <w:spacing w:before="120" w:after="120"/>
      </w:pPr>
      <w:r>
        <w:rPr>
          <w:sz w:val="18"/>
        </w:rPr>
        <w:t>——————————————————————————————————————————————————————————————————————</w:t>
      </w:r>
    </w:p>
    <w:p>
      <w:pPr>
        <w:spacing w:before="160" w:after="40" w:line="240" w:lineRule="auto"/>
      </w:pPr>
      <w:r>
        <w:rPr>
          <w:b/>
        </w:rPr>
        <w:t xml:space="preserve">[661] </w:t>
      </w:r>
      <w:hyperlink r:id="rId1549">
        <w:r>
          <w:rPr>
            <w:color w:val="1155CC"/>
            <w:u w:val="single"/>
          </w:rPr>
          <w:t>$β$延迟质子混乱：第一个详细的$^{31}\mathrm{Cl}$($βpγ)^{30}\mathrm{P}$衰变方案</w:t>
        </w:r>
      </w:hyperlink>
    </w:p>
    <w:p>
      <w:pPr>
        <w:spacing w:before="0" w:after="80"/>
      </w:pPr>
      <w:r>
        <w:rPr>
          <w:i/>
          <w:sz w:val="20"/>
        </w:rPr>
        <w:t>EN: $β$-delayed proton pandemonium: A first detailed $^{31}\mathrm{Cl}$($βpγ)^{30}\mathrm{P}$ decay scheme</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50">
        <w:r>
          <w:rPr>
            <w:color w:val="1155CC"/>
            <w:u w:val="single"/>
          </w:rPr>
          <w:t>10.1103/v4dz-yytr</w:t>
        </w:r>
      </w:hyperlink>
    </w:p>
    <w:p>
      <w:pPr>
        <w:spacing w:before="0" w:after="120"/>
      </w:pPr>
      <w:r>
        <w:rPr>
          <w:b/>
        </w:rPr>
        <w:t xml:space="preserve">Notes: </w:t>
      </w:r>
      <w:r>
        <w:t>abstract_source=rss_description</w:t>
      </w:r>
    </w:p>
    <w:p>
      <w:pPr>
        <w:spacing w:before="0" w:after="80" w:lineRule="auto" w:line="276"/>
      </w:pPr>
      <w:r>
        <w:rPr>
          <w:b/>
        </w:rPr>
        <w:t xml:space="preserve">摘要（ZH）: </w:t>
      </w:r>
      <w:r>
        <w:t>作者：T. Budner、M. Friedman、L. J. Sun、C. Wrede、B. A. Brown、D. Pérez-Loureiro、J. Surbrook、A. Adams、Y. Ayyad、D. W. Bardayan、K. Chae、A. A. Chen、K. A. Chipps、M. Cortesi、B. Glassman、M. R. Hall、M. Janasik、J. Liang、P. O'Malley、E. Pollacco、A. Psaltis、J. Stomps 和 T. Wheeler 背景：富质子核素的正电子衰变表现出较大的 $Q$ 值，产生复杂的级联，经常涉及各种辐射，包括质子和 $γ$ 射线。通常，在一次实验中仅测量两者之一，限制了衰变图的准确性和完整性……[物理。 Rev. C 114, 014320] 2026 年 7 月 16 日星期四发布</w:t>
      </w:r>
    </w:p>
    <w:p>
      <w:pPr>
        <w:spacing w:before="0" w:after="200" w:lineRule="auto" w:line="276"/>
      </w:pPr>
      <w:r>
        <w:rPr>
          <w:b/>
        </w:rPr>
        <w:t xml:space="preserve">Abstract (EN): </w:t>
      </w:r>
      <w:r>
        <w:t>Author(s): T. Budner, M. Friedman, L. J. Sun, C. Wrede, B. A. Brown, D. Pérez-Loureiro, J. Surbrook, A. Adams, Y. Ayyad, D. W. Bardayan, K. Chae, A. A. Chen, K. A. Chipps, M. Cortesi, B. Glassman, M. R. Hall, M. Janasik, J. Liang, P. O'Malley, E. Pollacco, A. Psaltis, J. Stomps, and T. WheelerBackground: Positron decays of proton-rich nuclides exhibit large $Q$ values, producing complex cascades which frequently involve various radiations, including protons and $γ$ rays. Often, only one of the two is measured in a single experiment, limiting the accuracy and completeness of the decay sch…[Phys. Rev. C 114, 014320] Published Thu Jul 16, 2026</w:t>
      </w:r>
    </w:p>
    <w:p>
      <w:pPr>
        <w:spacing w:before="120" w:after="120"/>
      </w:pPr>
      <w:r>
        <w:rPr>
          <w:sz w:val="18"/>
        </w:rPr>
        <w:t>——————————————————————————————————————————————————————————————————————</w:t>
      </w:r>
    </w:p>
    <w:p>
      <w:pPr>
        <w:spacing w:before="160" w:after="40" w:line="240" w:lineRule="auto"/>
      </w:pPr>
      <w:r>
        <w:rPr>
          <w:b/>
        </w:rPr>
        <w:t xml:space="preserve">[662] </w:t>
      </w:r>
      <w:hyperlink r:id="rId1551">
        <w:r>
          <w:rPr>
            <w:color w:val="1155CC"/>
            <w:u w:val="single"/>
          </w:rPr>
          <w:t>萤石氧化物中掺杂诱导的多晶转变</w:t>
        </w:r>
      </w:hyperlink>
    </w:p>
    <w:p>
      <w:pPr>
        <w:spacing w:before="0" w:after="80"/>
      </w:pPr>
      <w:r>
        <w:rPr>
          <w:i/>
          <w:sz w:val="20"/>
        </w:rPr>
        <w:t>EN: Doping-Induced Polyamorphic Transitions in Fluorite Oxides</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52">
        <w:r>
          <w:rPr>
            <w:color w:val="1155CC"/>
            <w:u w:val="single"/>
          </w:rPr>
          <w:t>10.1103/16bf-nm1m</w:t>
        </w:r>
      </w:hyperlink>
    </w:p>
    <w:p>
      <w:pPr>
        <w:spacing w:before="0" w:after="120"/>
      </w:pPr>
      <w:r>
        <w:rPr>
          <w:b/>
        </w:rPr>
        <w:t xml:space="preserve">Notes: </w:t>
      </w:r>
      <w:r>
        <w:t>abstract_source=rss_description</w:t>
      </w:r>
    </w:p>
    <w:p>
      <w:pPr>
        <w:spacing w:before="0" w:after="80" w:lineRule="auto" w:line="276"/>
      </w:pPr>
      <w:r>
        <w:rPr>
          <w:b/>
        </w:rPr>
        <w:t xml:space="preserve">摘要（ZH）: </w:t>
      </w:r>
      <w:r>
        <w:t>作者：杨浩、栾桥通、张庆、孙永清、郑伟杰、王振、王焕华、刘晓辉、文正和孙兆茹 萤石氧化物，如 ${\mathrm{HfO}}_{2}$，表现出丰富且可调节的相行为，使其成为下一代电子器件的有希望的候选者。在这一领域，一个关键的挑战在于设计具有结构和……[Phys.]的非晶${\mathrm{HfO}}_{2}$基高$k$材料。莱特牧师。 137, 036101] 发布于 2026 年 7 月 16 日星期四</w:t>
      </w:r>
    </w:p>
    <w:p>
      <w:pPr>
        <w:spacing w:before="0" w:after="200" w:lineRule="auto" w:line="276"/>
      </w:pPr>
      <w:r>
        <w:rPr>
          <w:b/>
        </w:rPr>
        <w:t xml:space="preserve">Abstract (EN): </w:t>
      </w:r>
      <w:r>
        <w:t>Author(s): Hao Yang, Qiaotong Luan, Qing Zhang, Yongqing Sun, Weijie Zheng, Zhen Wang, Huan-hua Wang, Xiaohui Liu, Zheng Wen, and Zhaoru SunFluorite oxides, such as ${\mathrm{HfO}}_{2}$, exhibit rich and tunable phase behaviors, making them promising candidates for next-generation electronic devices. In this field, a key challenge consists in the design of amorphous ${\mathrm{HfO}}_{2}$-based high-$k$ materials with both structural and …[Phys. Rev. Lett. 137, 036101] Published Thu Jul 16, 2026</w:t>
      </w:r>
    </w:p>
    <w:p>
      <w:pPr>
        <w:spacing w:before="120" w:after="120"/>
      </w:pPr>
      <w:r>
        <w:rPr>
          <w:sz w:val="18"/>
        </w:rPr>
        <w:t>——————————————————————————————————————————————————————————————————————</w:t>
      </w:r>
    </w:p>
    <w:p>
      <w:pPr>
        <w:spacing w:before="160" w:after="40" w:line="240" w:lineRule="auto"/>
      </w:pPr>
      <w:r>
        <w:rPr>
          <w:b/>
        </w:rPr>
        <w:t xml:space="preserve">[663] </w:t>
      </w:r>
      <w:hyperlink r:id="rId1553">
        <w:r>
          <w:rPr>
            <w:color w:val="1155CC"/>
            <w:u w:val="single"/>
          </w:rPr>
          <w:t>正则半经典引力中的异常</w:t>
        </w:r>
      </w:hyperlink>
    </w:p>
    <w:p>
      <w:pPr>
        <w:spacing w:before="0" w:after="80"/>
      </w:pPr>
      <w:r>
        <w:rPr>
          <w:i/>
          <w:sz w:val="20"/>
        </w:rPr>
        <w:t>EN: Anomaly in Canonical Semiclassical Gravity</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54">
        <w:r>
          <w:rPr>
            <w:color w:val="1155CC"/>
            <w:u w:val="single"/>
          </w:rPr>
          <w:t>10.1103/q81l-xfkx</w:t>
        </w:r>
      </w:hyperlink>
    </w:p>
    <w:p>
      <w:pPr>
        <w:spacing w:before="0" w:after="120"/>
      </w:pPr>
      <w:r>
        <w:rPr>
          <w:b/>
        </w:rPr>
        <w:t xml:space="preserve">Notes: </w:t>
      </w:r>
      <w:r>
        <w:t>abstract_source=rss_description</w:t>
      </w:r>
    </w:p>
    <w:p>
      <w:pPr>
        <w:spacing w:before="0" w:after="80" w:lineRule="auto" w:line="276"/>
      </w:pPr>
      <w:r>
        <w:rPr>
          <w:b/>
        </w:rPr>
        <w:t xml:space="preserve">摘要（ZH）: </w:t>
      </w:r>
      <w:r>
        <w:t>作者：Viqar Husain 和 Irfan Javed 我们表明，半经典爱因斯坦方程的规范公式（其中约束中的物质项被量子态中相应算子的期望值替换）由于所得约束代数的非封闭性而不一致。莱特牧师。 137, 031501] 发布于 2026 年 7 月 16 日星期四</w:t>
      </w:r>
    </w:p>
    <w:p>
      <w:pPr>
        <w:spacing w:before="0" w:after="200" w:lineRule="auto" w:line="276"/>
      </w:pPr>
      <w:r>
        <w:rPr>
          <w:b/>
        </w:rPr>
        <w:t xml:space="preserve">Abstract (EN): </w:t>
      </w:r>
      <w:r>
        <w:t>Author(s): Viqar Husain and Irfan JavedWe show that the canonical formulation of the semiclassical Einstein equation, where the matter terms in the constraints are replaced by expectation values of the corresponding operators in quantum states, is inconsistent due to the nonclosure of the resulting constraint algebra.[Phys. Rev. Lett. 137, 031501] Published Thu Jul 16, 2026</w:t>
      </w:r>
    </w:p>
    <w:p>
      <w:pPr>
        <w:spacing w:before="120" w:after="120"/>
      </w:pPr>
      <w:r>
        <w:rPr>
          <w:sz w:val="18"/>
        </w:rPr>
        <w:t>——————————————————————————————————————————————————————————————————————</w:t>
      </w:r>
    </w:p>
    <w:p>
      <w:pPr>
        <w:spacing w:before="160" w:after="40" w:line="240" w:lineRule="auto"/>
      </w:pPr>
      <w:r>
        <w:rPr>
          <w:b/>
        </w:rPr>
        <w:t xml:space="preserve">[664] </w:t>
      </w:r>
      <w:hyperlink r:id="rId1555">
        <w:r>
          <w:rPr>
            <w:color w:val="1155CC"/>
            <w:u w:val="single"/>
          </w:rPr>
          <w:t>范德华反铁磁体中张赖斯三重态的微观证据，${\mathrm{NiPS}}_{3}$</w:t>
        </w:r>
      </w:hyperlink>
    </w:p>
    <w:p>
      <w:pPr>
        <w:spacing w:before="0" w:after="80"/>
      </w:pPr>
      <w:r>
        <w:rPr>
          <w:i/>
          <w:sz w:val="20"/>
        </w:rPr>
        <w:t>EN: Microscopic Evidence for a Zhang-Rice Triplet State in the van der Waals Antiferromagnet, ${\mathrm{NiPS}}_{3}$</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56">
        <w:r>
          <w:rPr>
            <w:color w:val="1155CC"/>
            <w:u w:val="single"/>
          </w:rPr>
          <w:t>10.1103/hhtt-ffgg</w:t>
        </w:r>
      </w:hyperlink>
    </w:p>
    <w:p>
      <w:pPr>
        <w:spacing w:before="0" w:after="120"/>
      </w:pPr>
      <w:r>
        <w:rPr>
          <w:b/>
        </w:rPr>
        <w:t xml:space="preserve">Notes: </w:t>
      </w:r>
      <w:r>
        <w:t>abstract_source=rss_description</w:t>
      </w:r>
    </w:p>
    <w:p>
      <w:pPr>
        <w:spacing w:before="0" w:after="80" w:lineRule="auto" w:line="276"/>
      </w:pPr>
      <w:r>
        <w:rPr>
          <w:b/>
        </w:rPr>
        <w:t xml:space="preserve">摘要（ZH）: </w:t>
      </w:r>
      <w:r>
        <w:t>作者：Beom Hyun Kim、Youjin Lee、Junik Hwang、Junghyun Kim、Je-Geun Park 和 Seung-Ho Baek 核磁共振测量验证了范德华反铁磁体 NiPS3 中的 Zhang-Rice 三重态基态。莱特牧师。 137, 036505] 发布于 2026 年 7 月 16 日星期四</w:t>
      </w:r>
    </w:p>
    <w:p>
      <w:pPr>
        <w:spacing w:before="0" w:after="200" w:lineRule="auto" w:line="276"/>
      </w:pPr>
      <w:r>
        <w:rPr>
          <w:b/>
        </w:rPr>
        <w:t xml:space="preserve">Abstract (EN): </w:t>
      </w:r>
      <w:r>
        <w:t>Author(s): Beom Hyun Kim, Youjin Lee, Junik Hwang, Junghyun Kim, Je-Geun Park, and Seung-Ho BaekNuclear magnetic resonance measurements verify the Zhang-Rice triplet ground state in the van der Waals antiferromagnet NiPS3.[Phys. Rev. Lett. 137, 036505] Published Thu Jul 16, 2026</w:t>
      </w:r>
    </w:p>
    <w:p>
      <w:pPr>
        <w:spacing w:before="120" w:after="120"/>
      </w:pPr>
      <w:r>
        <w:rPr>
          <w:sz w:val="18"/>
        </w:rPr>
        <w:t>——————————————————————————————————————————————————————————————————————</w:t>
      </w:r>
    </w:p>
    <w:p>
      <w:pPr>
        <w:spacing w:before="160" w:after="40" w:line="240" w:lineRule="auto"/>
      </w:pPr>
      <w:r>
        <w:rPr>
          <w:b/>
        </w:rPr>
        <w:t xml:space="preserve">[665] </w:t>
      </w:r>
      <w:hyperlink r:id="rId1557">
        <w:r>
          <w:rPr>
            <w:color w:val="1155CC"/>
            <w:u w:val="single"/>
          </w:rPr>
          <w:t>单层椭圆率控制的明暗相干转变 ${\mathrm{WSe}}_{2}$</w:t>
        </w:r>
      </w:hyperlink>
    </w:p>
    <w:p>
      <w:pPr>
        <w:spacing w:before="0" w:after="80"/>
      </w:pPr>
      <w:r>
        <w:rPr>
          <w:i/>
          <w:sz w:val="20"/>
        </w:rPr>
        <w:t>EN: Ellipticity-Controlled Bright-Dark Coherence Transition in Monolayer ${\mathrm{WSe}}_{2}$</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58">
        <w:r>
          <w:rPr>
            <w:color w:val="1155CC"/>
            <w:u w:val="single"/>
          </w:rPr>
          <w:t>10.1103/lk5d-8qb5</w:t>
        </w:r>
      </w:hyperlink>
    </w:p>
    <w:p>
      <w:pPr>
        <w:spacing w:before="0" w:after="120"/>
      </w:pPr>
      <w:r>
        <w:rPr>
          <w:b/>
        </w:rPr>
        <w:t xml:space="preserve">Notes: </w:t>
      </w:r>
      <w:r>
        <w:t>abstract_source=rss_description</w:t>
      </w:r>
    </w:p>
    <w:p>
      <w:pPr>
        <w:spacing w:before="0" w:after="80" w:lineRule="auto" w:line="276"/>
      </w:pPr>
      <w:r>
        <w:rPr>
          <w:b/>
        </w:rPr>
        <w:t xml:space="preserve">摘要（ZH）: </w:t>
      </w:r>
      <w:r>
        <w:t>作者：康兰、蔡向吉、满忠晓、谢世杰、宁浩、张平和付继勇激子谷相干性的产生通常需要线偏振（LP）光作为外部相干驱动，而圆偏振（CP）光无法引起相干性。在这里，我们在五级模型中开发了一个统一的、微观基础的开放量子系统框架……[物理。莱特牧师。 137, 036202] 发布于 2026 年 7 月 16 日星期四</w:t>
      </w:r>
    </w:p>
    <w:p>
      <w:pPr>
        <w:spacing w:before="0" w:after="200" w:lineRule="auto" w:line="276"/>
      </w:pPr>
      <w:r>
        <w:rPr>
          <w:b/>
        </w:rPr>
        <w:t xml:space="preserve">Abstract (EN): </w:t>
      </w:r>
      <w:r>
        <w:t>Author(s): Kang Lan, Xiangji Cai, Zhongxiao Man, Shijie Xie, Ning Hao, Ping Zhang, and Jiyong FuThe generation of exciton valley coherence typically requires linearly polarized (LP) light as an external coherent drive, whereas circularly polarized (CP) light fails to induce coherence. Here, we develop a unified, microscopically grounded open-quantum-system framework within a five-level model i…[Phys. Rev. Lett. 137, 036202] Published Thu Jul 16, 2026</w:t>
      </w:r>
    </w:p>
    <w:p>
      <w:pPr>
        <w:spacing w:before="120" w:after="120"/>
      </w:pPr>
      <w:r>
        <w:rPr>
          <w:sz w:val="18"/>
        </w:rPr>
        <w:t>——————————————————————————————————————————————————————————————————————</w:t>
      </w:r>
    </w:p>
    <w:p>
      <w:pPr>
        <w:spacing w:before="160" w:after="40" w:line="240" w:lineRule="auto"/>
      </w:pPr>
      <w:r>
        <w:rPr>
          <w:b/>
        </w:rPr>
        <w:t xml:space="preserve">[666] </w:t>
      </w:r>
      <w:hyperlink r:id="rId1559">
        <w:r>
          <w:rPr>
            <w:color w:val="1155CC"/>
            <w:u w:val="single"/>
          </w:rPr>
          <w:t>${H}_{c2}$ 上方新兴阿布里科索夫晶格的微波特征</w:t>
        </w:r>
      </w:hyperlink>
    </w:p>
    <w:p>
      <w:pPr>
        <w:spacing w:before="0" w:after="80"/>
      </w:pPr>
      <w:r>
        <w:rPr>
          <w:i/>
          <w:sz w:val="20"/>
        </w:rPr>
        <w:t>EN: Microwave Signature of the Emerging Abrikosov Lattice above ${H}_{c2}$</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60">
        <w:r>
          <w:rPr>
            <w:color w:val="1155CC"/>
            <w:u w:val="single"/>
          </w:rPr>
          <w:t>10.1103/j8wg-6d9d</w:t>
        </w:r>
      </w:hyperlink>
    </w:p>
    <w:p>
      <w:pPr>
        <w:spacing w:before="0" w:after="120"/>
      </w:pPr>
      <w:r>
        <w:rPr>
          <w:b/>
        </w:rPr>
        <w:t xml:space="preserve">Notes: </w:t>
      </w:r>
      <w:r>
        <w:t>abstract_source=rss_description</w:t>
      </w:r>
    </w:p>
    <w:p>
      <w:pPr>
        <w:spacing w:before="0" w:after="80" w:lineRule="auto" w:line="276"/>
      </w:pPr>
      <w:r>
        <w:rPr>
          <w:b/>
        </w:rPr>
        <w:t xml:space="preserve">摘要（ZH）: </w:t>
      </w:r>
      <w:r>
        <w:t>作者：周航、陈张海、A. A. Varlamov、Andreas Glatz 和 Yuriy Yerin Glatz 等人预测，当磁场从上方接近临界场 ${H}_{c2}$ 时，II 型超导薄膜正相中会出现阿布里科索夫晶格。 [无序二维超导体的涨落光谱，物理学。 Rev. B 84, 104510 (2011)]…[物理。莱特牧师。 137, 036001] 发布于 2026 年 7 月 16 日星期四</w:t>
      </w:r>
    </w:p>
    <w:p>
      <w:pPr>
        <w:spacing w:before="0" w:after="200" w:lineRule="auto" w:line="276"/>
      </w:pPr>
      <w:r>
        <w:rPr>
          <w:b/>
        </w:rPr>
        <w:t xml:space="preserve">Abstract (EN): </w:t>
      </w:r>
      <w:r>
        <w:t>Author(s): Hang Zhou, Zhanghai Chen, A. A. Varlamov, Andreas Glatz, and Yuriy YerinThe emergence of the Abrikosov lattice in the normal phase of type-II superconducting films as the magnetic field approaches the critical field ${H}_{c2}$ from above was predicted in Glatz et al. [Fluctuation spectroscopy of disordered two-dimensional superconductors, Phys. Rev. B 84, 104510 (2011)]…[Phys. Rev. Lett. 137, 036001] Published Thu Jul 16, 2026</w:t>
      </w:r>
    </w:p>
    <w:p>
      <w:pPr>
        <w:spacing w:before="120" w:after="120"/>
      </w:pPr>
      <w:r>
        <w:rPr>
          <w:sz w:val="18"/>
        </w:rPr>
        <w:t>——————————————————————————————————————————————————————————————————————</w:t>
      </w:r>
    </w:p>
    <w:p>
      <w:pPr>
        <w:spacing w:before="160" w:after="40" w:line="240" w:lineRule="auto"/>
      </w:pPr>
      <w:r>
        <w:rPr>
          <w:b/>
        </w:rPr>
        <w:t xml:space="preserve">[667] </w:t>
      </w:r>
      <w:hyperlink r:id="rId1561">
        <w:r>
          <w:rPr>
            <w:color w:val="1155CC"/>
            <w:u w:val="single"/>
          </w:rPr>
          <w:t>同步驱动互易性破坏</w:t>
        </w:r>
      </w:hyperlink>
    </w:p>
    <w:p>
      <w:pPr>
        <w:spacing w:before="0" w:after="80"/>
      </w:pPr>
      <w:r>
        <w:rPr>
          <w:i/>
          <w:sz w:val="20"/>
        </w:rPr>
        <w:t>EN: Synchronization Driven Reciprocity Breaking</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62">
        <w:r>
          <w:rPr>
            <w:color w:val="1155CC"/>
            <w:u w:val="single"/>
          </w:rPr>
          <w:t>10.1103/jln4-jg5c</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作者：Alexander K. Stoychev、Ulrich Kuhl 和 Nicolas Noiray 通过利用两个耦合自振荡器的同步来打破波传输互易性。基本原理是来自一个端口的照明驱动同相同步状态，而来自另一端口的照明驱动反相同步状态。由于它的自我调节......[物理。莱特牧师。 137, 033802] 发布于 2026 年 7 月 16 日星期四</w:t>
      </w:r>
    </w:p>
    <w:p>
      <w:pPr>
        <w:spacing w:before="0" w:after="200" w:lineRule="auto" w:line="276"/>
      </w:pPr>
      <w:r>
        <w:rPr>
          <w:b/>
        </w:rPr>
        <w:t xml:space="preserve">Abstract (EN): </w:t>
      </w:r>
      <w:r>
        <w:t>Author(s): Alexander K. Stoychev, Ulrich Kuhl, and Nicolas NoirayWave transmission reciprocity is broken by exploiting the synchronization of two coupled self-oscillators. The underlying principle is that illumination from one port drives the in phase, while illumination from the other port drives the antiphase synchronization state. Because of its self-adjustmen…[Phys. Rev. Lett. 137, 033802] Published Thu Jul 16, 2026</w:t>
      </w:r>
    </w:p>
    <w:p>
      <w:pPr>
        <w:spacing w:before="120" w:after="120"/>
      </w:pPr>
      <w:r>
        <w:rPr>
          <w:sz w:val="18"/>
        </w:rPr>
        <w:t>——————————————————————————————————————————————————————————————————————</w:t>
      </w:r>
    </w:p>
    <w:p>
      <w:pPr>
        <w:spacing w:before="160" w:after="40" w:line="240" w:lineRule="auto"/>
      </w:pPr>
      <w:r>
        <w:rPr>
          <w:b/>
        </w:rPr>
        <w:t xml:space="preserve">[668] </w:t>
      </w:r>
      <w:hyperlink r:id="rId1563">
        <w:r>
          <w:rPr>
            <w:color w:val="1155CC"/>
            <w:u w:val="single"/>
          </w:rPr>
          <w:t>耗散光力学中压缩真空的工程量子噪声干扰</w:t>
        </w:r>
      </w:hyperlink>
    </w:p>
    <w:p>
      <w:pPr>
        <w:spacing w:before="0" w:after="80"/>
      </w:pPr>
      <w:r>
        <w:rPr>
          <w:i/>
          <w:sz w:val="20"/>
        </w:rPr>
        <w:t>EN: Engineering Quantum Noise Interference with Squeezed Vacuum in Dissipative Optomechanics</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64">
        <w:r>
          <w:rPr>
            <w:color w:val="1155CC"/>
            <w:u w:val="single"/>
          </w:rPr>
          <w:t>10.1103/msqr-kq8p</w:t>
        </w:r>
      </w:hyperlink>
    </w:p>
    <w:p>
      <w:pPr>
        <w:spacing w:before="0" w:after="120"/>
      </w:pPr>
      <w:r>
        <w:rPr>
          <w:b/>
        </w:rPr>
        <w:t xml:space="preserve">Notes: </w:t>
      </w:r>
      <w:r>
        <w:t>abstract_source=rss_description</w:t>
      </w:r>
    </w:p>
    <w:p>
      <w:pPr>
        <w:spacing w:before="0" w:after="80" w:lineRule="auto" w:line="276"/>
      </w:pPr>
      <w:r>
        <w:rPr>
          <w:b/>
        </w:rPr>
        <w:t xml:space="preserve">摘要（ZH）: </w:t>
      </w:r>
      <w:r>
        <w:t>作者：Guang-Zheng Ye、Ye Liu、Wan-Jun Su、Yong Li 和 Huaizhi Wu 量子噪声对宏观谐振器中的反作用冷却和位移测量施加了限制。在这里，我们证明，对于深度未解决的边带区域中的耗散光机械系统，法诺干涉的压缩真空工程能够实现宽带、可调谐支持……[物理。莱特牧师。 137, 033602] 发布于 2026 年 7 月 16 日星期四</w:t>
      </w:r>
    </w:p>
    <w:p>
      <w:pPr>
        <w:spacing w:before="0" w:after="200" w:lineRule="auto" w:line="276"/>
      </w:pPr>
      <w:r>
        <w:rPr>
          <w:b/>
        </w:rPr>
        <w:t xml:space="preserve">Abstract (EN): </w:t>
      </w:r>
      <w:r>
        <w:t>Author(s): Guang-Zheng Ye, Ye Liu, Wan-Jun Su, Yong Li, and Huaizhi WuQuantum noises impose limits on both backaction cooling and displacement measurements in macroscopic resonators. Here, we demonstrate that for dissipative optomechanical systems in the deeply unresolved sideband regime, squeezed-vacuum engineering of Fano interference enables broadband, tunable supp…[Phys. Rev. Lett. 137, 033602] Published Thu Jul 16, 2026</w:t>
      </w:r>
    </w:p>
    <w:p>
      <w:pPr>
        <w:spacing w:before="120" w:after="120"/>
      </w:pPr>
      <w:r>
        <w:rPr>
          <w:sz w:val="18"/>
        </w:rPr>
        <w:t>——————————————————————————————————————————————————————————————————————</w:t>
      </w:r>
    </w:p>
    <w:p>
      <w:pPr>
        <w:spacing w:before="160" w:after="40" w:line="240" w:lineRule="auto"/>
      </w:pPr>
      <w:r>
        <w:rPr>
          <w:b/>
        </w:rPr>
        <w:t xml:space="preserve">[669] </w:t>
      </w:r>
      <w:hyperlink r:id="rId1565">
        <w:r>
          <w:rPr>
            <w:color w:val="1155CC"/>
            <w:u w:val="single"/>
          </w:rPr>
          <w:t>在$η→{π}^{0}+\text{Invisible}$衰变中搜索亚GeV暗粒子</w:t>
        </w:r>
      </w:hyperlink>
    </w:p>
    <w:p>
      <w:pPr>
        <w:spacing w:before="0" w:after="80"/>
      </w:pPr>
      <w:r>
        <w:rPr>
          <w:i/>
          <w:sz w:val="20"/>
        </w:rPr>
        <w:t>EN: Search for Sub-GeV Dark Particles in $η→{π}^{0}+\text{Invisible}$ Decay</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66">
        <w:r>
          <w:rPr>
            <w:color w:val="1155CC"/>
            <w:u w:val="single"/>
          </w:rPr>
          <w:t>10.1103/lbj8-qqm6</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合作）BESIII 合作使用超过 100 亿个 J/ψ 事件，首次搜索 η→π0S 衰变中的亚 GeV 暗标量，但未观察到任何信号。莱特牧师。 137, 031804] 发布于 2026 年 7 月 16 日星期四</w:t>
      </w:r>
    </w:p>
    <w:p>
      <w:pPr>
        <w:spacing w:before="0" w:after="200" w:lineRule="auto" w:line="276"/>
      </w:pPr>
      <w:r>
        <w:rPr>
          <w:b/>
        </w:rPr>
        <w:t xml:space="preserve">Abstract (EN): </w:t>
      </w:r>
      <w:r>
        <w:t>Author(s): M. Ablikim et al. (BESIII Collaboration)BESIII collaboration performs the first search for a sub-GeV dark scalar in η→π0S decays using over 10 billion J/ψ events, observing no signal.[Phys. Rev. Lett. 137, 031804] Published Thu Jul 16, 2026</w:t>
      </w:r>
    </w:p>
    <w:p>
      <w:pPr>
        <w:spacing w:before="120" w:after="120"/>
      </w:pPr>
      <w:r>
        <w:rPr>
          <w:sz w:val="18"/>
        </w:rPr>
        <w:t>——————————————————————————————————————————————————————————————————————</w:t>
      </w:r>
    </w:p>
    <w:p>
      <w:pPr>
        <w:spacing w:before="160" w:after="40" w:line="240" w:lineRule="auto"/>
      </w:pPr>
      <w:r>
        <w:rPr>
          <w:b/>
        </w:rPr>
        <w:t xml:space="preserve">[670] </w:t>
      </w:r>
      <w:hyperlink r:id="rId1567">
        <w:r>
          <w:rPr>
            <w:color w:val="1155CC"/>
            <w:u w:val="single"/>
          </w:rPr>
          <w:t>耦合通道格林函数的精确构造和唯一性</w:t>
        </w:r>
      </w:hyperlink>
    </w:p>
    <w:p>
      <w:pPr>
        <w:spacing w:before="0" w:after="80"/>
      </w:pPr>
      <w:r>
        <w:rPr>
          <w:i/>
          <w:sz w:val="20"/>
        </w:rPr>
        <w:t>EN: Exact construction and uniqueness of the coupled-channel Green's function</w:t>
      </w:r>
    </w:p>
    <w:p>
      <w:pPr>
        <w:spacing w:before="0" w:after="120"/>
      </w:pPr>
      <w:r>
        <w:rPr>
          <w:b/>
        </w:rPr>
        <w:t xml:space="preserve">Source: </w:t>
      </w:r>
      <w:r>
        <w:t>Recent Articles in Phys. Rev. C</w:t>
      </w:r>
      <w:r>
        <w:t xml:space="preserve">    </w:t>
      </w:r>
      <w:r>
        <w:rPr>
          <w:b/>
        </w:rPr>
        <w:t xml:space="preserve">Pub date: </w:t>
      </w:r>
      <w:r>
        <w:t>2026-07-16 10:00:00+00:00</w:t>
      </w:r>
      <w:r>
        <w:t xml:space="preserve">    </w:t>
      </w:r>
      <w:r>
        <w:rPr>
          <w:b/>
        </w:rPr>
        <w:t xml:space="preserve">DOI: </w:t>
      </w:r>
      <w:hyperlink r:id="rId1568">
        <w:r>
          <w:rPr>
            <w:color w:val="1155CC"/>
            <w:u w:val="single"/>
          </w:rPr>
          <w:t>10.1103/6jvb-2kp2</w:t>
        </w:r>
      </w:hyperlink>
    </w:p>
    <w:p>
      <w:pPr>
        <w:spacing w:before="0" w:after="120"/>
      </w:pPr>
      <w:r>
        <w:rPr>
          <w:b/>
        </w:rPr>
        <w:t xml:space="preserve">Notes: </w:t>
      </w:r>
      <w:r>
        <w:t>abstract_source=rss_description</w:t>
      </w:r>
    </w:p>
    <w:p>
      <w:pPr>
        <w:spacing w:before="0" w:after="80" w:lineRule="auto" w:line="276"/>
      </w:pPr>
      <w:r>
        <w:rPr>
          <w:b/>
        </w:rPr>
        <w:t xml:space="preserve">摘要（ZH）: </w:t>
      </w:r>
      <w:r>
        <w:t>作者：刘浩、雷金和任中洲我们提出了具有对称耦合势的耦合径向薛定谔方程的矩阵格林函数的严格构造和唯一性证明。格林矩阵 $\mathbf{G}(R,{R}^{′})$ 由 $N$ 线性独立解的两个基本集合构建，即常规解和输出解……[Phys. Rev. C 114, 014623] 2026 年 7 月 16 日星期四发布</w:t>
      </w:r>
    </w:p>
    <w:p>
      <w:pPr>
        <w:spacing w:before="0" w:after="200" w:lineRule="auto" w:line="276"/>
      </w:pPr>
      <w:r>
        <w:rPr>
          <w:b/>
        </w:rPr>
        <w:t xml:space="preserve">Abstract (EN): </w:t>
      </w:r>
      <w:r>
        <w:t>Author(s): Hao Liu, Jin Lei, and Zhongzhou RenWe present a rigorous construction and uniqueness proof of the matrix Green's function for coupled radial Schrödinger equations with symmetric coupling potentials. The Green's matrix $\mathbf{G}(R,{R}^{′})$ is built from two fundamental sets of $N$ linearly independent solutions, regular and outgoin…[Phys. Rev. C 114, 014623] Published Thu Jul 16, 2026</w:t>
      </w:r>
    </w:p>
    <w:p>
      <w:pPr>
        <w:spacing w:before="120" w:after="120"/>
      </w:pPr>
      <w:r>
        <w:rPr>
          <w:sz w:val="18"/>
        </w:rPr>
        <w:t>——————————————————————————————————————————————————————————————————————</w:t>
      </w:r>
    </w:p>
    <w:p>
      <w:pPr>
        <w:spacing w:before="160" w:after="40" w:line="240" w:lineRule="auto"/>
      </w:pPr>
      <w:r>
        <w:rPr>
          <w:b/>
        </w:rPr>
        <w:t xml:space="preserve">[671] </w:t>
      </w:r>
      <w:hyperlink r:id="rId1569">
        <w:r>
          <w:rPr>
            <w:color w:val="1155CC"/>
            <w:u w:val="single"/>
          </w:rPr>
          <w:t>将地基引力波灵敏度扩展至 5 Hz</w:t>
        </w:r>
      </w:hyperlink>
    </w:p>
    <w:p>
      <w:pPr>
        <w:spacing w:before="0" w:after="80"/>
      </w:pPr>
      <w:r>
        <w:rPr>
          <w:i/>
          <w:sz w:val="20"/>
        </w:rPr>
        <w:t>EN: Extending Ground-Based Gravitational-Wave Sensitivity to 5 Hz</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70">
        <w:r>
          <w:rPr>
            <w:color w:val="1155CC"/>
            <w:u w:val="single"/>
          </w:rPr>
          <w:t>10.1103/65gz-dcjz</w:t>
        </w:r>
      </w:hyperlink>
    </w:p>
    <w:p>
      <w:pPr>
        <w:spacing w:before="0" w:after="120"/>
      </w:pPr>
      <w:r>
        <w:rPr>
          <w:b/>
        </w:rPr>
        <w:t xml:space="preserve">Notes: </w:t>
      </w:r>
      <w:r>
        <w:t>abstract_source=rss_description</w:t>
      </w:r>
    </w:p>
    <w:p>
      <w:pPr>
        <w:spacing w:before="0" w:after="80" w:lineRule="auto" w:line="276"/>
      </w:pPr>
      <w:r>
        <w:rPr>
          <w:b/>
        </w:rPr>
        <w:t xml:space="preserve">摘要（ZH）: </w:t>
      </w:r>
      <w:r>
        <w:t>作者：Amit Singh Ubhi、Lari Koponen、Jiri Smetana、Yulin Xia、Haixing Miao、Emilia Chick、John Bryant、Geraint Pratten、Teng Zhang、Richard Mittleman、Peter Fritschel、Alan V. Cumming、Giles Hammond 和 Denis Martynov 将地球引力波探测器的灵敏度扩展到 20 Hz 以下是一项长期存在的挑战，且有限通过地面运动和惯性传感噪声。在这封信中，我们展示了超高真空兼容的惯性隔离和位置传感技术，可实现主动PL…[物理。莱特牧师。 137, 031401] 发布于 2026 年 7 月 16 日星期四</w:t>
      </w:r>
    </w:p>
    <w:p>
      <w:pPr>
        <w:spacing w:before="0" w:after="200" w:lineRule="auto" w:line="276"/>
      </w:pPr>
      <w:r>
        <w:rPr>
          <w:b/>
        </w:rPr>
        <w:t xml:space="preserve">Abstract (EN): </w:t>
      </w:r>
      <w:r>
        <w:t>Author(s): Amit Singh Ubhi, Lari Koponen, Jiri Smetana, Yulin Xia, Haixing Miao, Emilia Chick, John Bryant, Geraint Pratten, Teng Zhang, Richard Mittleman, Peter Fritschel, Alan V. Cumming, Giles Hammond, and Denis MartynovExtending the sensitivity of terrestrial gravitational-wave detectors below 20 Hz is a long-standing challenge, limited by ground motion and inertial sensing noise. In this Letter, we demonstrate ultra-high-vacuum compatible inertial isolation and position sensing technologies that achieve active pl…[Phys. Rev. Lett. 137, 031401] Published Thu Jul 16, 2026</w:t>
      </w:r>
    </w:p>
    <w:p>
      <w:pPr>
        <w:spacing w:before="120" w:after="120"/>
      </w:pPr>
      <w:r>
        <w:rPr>
          <w:sz w:val="18"/>
        </w:rPr>
        <w:t>——————————————————————————————————————————————————————————————————————</w:t>
      </w:r>
    </w:p>
    <w:p>
      <w:pPr>
        <w:spacing w:before="160" w:after="40" w:line="240" w:lineRule="auto"/>
      </w:pPr>
      <w:r>
        <w:rPr>
          <w:b/>
        </w:rPr>
        <w:t xml:space="preserve">[672] </w:t>
      </w:r>
      <w:hyperlink r:id="rId1571">
        <w:r>
          <w:rPr>
            <w:color w:val="1155CC"/>
            <w:u w:val="single"/>
          </w:rPr>
          <w:t>地壳玻璃的形成揭示了 IGR J17480-2446 中的中子星诞生特性</w:t>
        </w:r>
      </w:hyperlink>
    </w:p>
    <w:p>
      <w:pPr>
        <w:spacing w:before="0" w:after="80"/>
      </w:pPr>
      <w:r>
        <w:rPr>
          <w:i/>
          <w:sz w:val="20"/>
        </w:rPr>
        <w:t>EN: Crust Glass Formation Reveals the Neutron Star Birth Properties in IGR J17480-2446</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72">
        <w:r>
          <w:rPr>
            <w:color w:val="1155CC"/>
            <w:u w:val="single"/>
          </w:rPr>
          <w:t>10.1103/xxb4-7zc8</w:t>
        </w:r>
      </w:hyperlink>
    </w:p>
    <w:p>
      <w:pPr>
        <w:spacing w:before="0" w:after="120"/>
      </w:pPr>
      <w:r>
        <w:rPr>
          <w:b/>
        </w:rPr>
        <w:t xml:space="preserve">Notes: </w:t>
      </w:r>
      <w:r>
        <w:t>abstract_source=rss_description</w:t>
      </w:r>
    </w:p>
    <w:p>
      <w:pPr>
        <w:spacing w:before="0" w:after="80" w:lineRule="auto" w:line="276"/>
      </w:pPr>
      <w:r>
        <w:rPr>
          <w:b/>
        </w:rPr>
        <w:t xml:space="preserve">摘要（ZH）: </w:t>
      </w:r>
      <w:r>
        <w:t>作者：D. A. Baiko 和 A. I. ChugunovIGR J17480-2446 是一颗低质量 X 射线双星，拥有一颗特殊的吸积脉冲星（中子星），其自旋频率不寻常，为 11 Hz，爆发后地壳冷却非常缓慢。前者可能意味着它是在回收的早期阶段观察到的，而后者则表明...[物理。莱特牧师。 137, 031402] 发布于 2026 年 7 月 16 日星期四</w:t>
      </w:r>
    </w:p>
    <w:p>
      <w:pPr>
        <w:spacing w:before="0" w:after="200" w:lineRule="auto" w:line="276"/>
      </w:pPr>
      <w:r>
        <w:rPr>
          <w:b/>
        </w:rPr>
        <w:t xml:space="preserve">Abstract (EN): </w:t>
      </w:r>
      <w:r>
        <w:t>Author(s): D. A. Baiko and A. I. ChugunovIGR J17480-2446 is a low-mass x-ray binary, harboring an exceptional accreting pulsar (a neutron star) with an unusual spin frequency of 11 Hz and a very slow postoutburst crust cooling. The former may imply that it is observed at an early stage of recycling, while the latter was shown to indicate t…[Phys. Rev. Lett. 137, 031402] Published Thu Jul 16, 2026</w:t>
      </w:r>
    </w:p>
    <w:p>
      <w:pPr>
        <w:spacing w:before="120" w:after="120"/>
      </w:pPr>
      <w:r>
        <w:rPr>
          <w:sz w:val="18"/>
        </w:rPr>
        <w:t>——————————————————————————————————————————————————————————————————————</w:t>
      </w:r>
    </w:p>
    <w:p>
      <w:pPr>
        <w:spacing w:before="160" w:after="40" w:line="240" w:lineRule="auto"/>
      </w:pPr>
      <w:r>
        <w:rPr>
          <w:b/>
        </w:rPr>
        <w:t xml:space="preserve">[673] </w:t>
      </w:r>
      <w:hyperlink r:id="rId1573">
        <w:r>
          <w:rPr>
            <w:color w:val="1155CC"/>
            <w:u w:val="single"/>
          </w:rPr>
          <w:t>Epsilon 近零区域中磁化强度的光致切换</w:t>
        </w:r>
      </w:hyperlink>
    </w:p>
    <w:p>
      <w:pPr>
        <w:spacing w:before="0" w:after="80"/>
      </w:pPr>
      <w:r>
        <w:rPr>
          <w:i/>
          <w:sz w:val="20"/>
        </w:rPr>
        <w:t>EN: Photoinduced Switching of Magnetization in the Epsilon-Near-Zero Regime</w:t>
      </w:r>
    </w:p>
    <w:p>
      <w:pPr>
        <w:spacing w:before="0" w:after="120"/>
      </w:pPr>
      <w:r>
        <w:rPr>
          <w:b/>
        </w:rPr>
        <w:t xml:space="preserve">Source: </w:t>
      </w:r>
      <w:r>
        <w:t>Recent Articles in Phys. Rev. Lett.</w:t>
      </w:r>
      <w:r>
        <w:t xml:space="preserve">    </w:t>
      </w:r>
      <w:r>
        <w:rPr>
          <w:b/>
        </w:rPr>
        <w:t xml:space="preserve">Pub date: </w:t>
      </w:r>
      <w:r>
        <w:t>2026-07-16 10:00:00+00:00</w:t>
      </w:r>
      <w:r>
        <w:t xml:space="preserve">    </w:t>
      </w:r>
      <w:r>
        <w:rPr>
          <w:b/>
        </w:rPr>
        <w:t xml:space="preserve">DOI: </w:t>
      </w:r>
      <w:hyperlink r:id="rId1574">
        <w:r>
          <w:rPr>
            <w:color w:val="1155CC"/>
            <w:u w:val="single"/>
          </w:rPr>
          <w:t>10.1103/ltgt-kbj7</w:t>
        </w:r>
      </w:hyperlink>
    </w:p>
    <w:p>
      <w:pPr>
        <w:spacing w:before="0" w:after="120"/>
      </w:pPr>
      <w:r>
        <w:rPr>
          <w:b/>
        </w:rPr>
        <w:t xml:space="preserve">Notes: </w:t>
      </w:r>
      <w:r>
        <w:t>abstract_source=rss_description</w:t>
      </w:r>
    </w:p>
    <w:p>
      <w:pPr>
        <w:spacing w:before="0" w:after="80" w:lineRule="auto" w:line="276"/>
      </w:pPr>
      <w:r>
        <w:rPr>
          <w:b/>
        </w:rPr>
        <w:t xml:space="preserve">摘要（ZH）: </w:t>
      </w:r>
      <w:r>
        <w:t>作者：Héloïse Damas、Carl S. Davies、Petr M. Vetoshko、Vladimir I. Belotelov、Andrzej Stupakiewicz 和 Andrei Kirilyuk 调谐到光学声子频率的中红外激光脉冲可以引起磁性电介质中的磁化强度翻转，但其基本机制仍不清楚，因为晶格的激发可以同时产生加热和非热应变。在这里，我们研究实验室的反应……[物理。莱特牧师。 137, 036704] 发布于 2026 年 7 月 16 日星期四</w:t>
      </w:r>
    </w:p>
    <w:p>
      <w:pPr>
        <w:spacing w:before="0" w:after="200" w:lineRule="auto" w:line="276"/>
      </w:pPr>
      <w:r>
        <w:rPr>
          <w:b/>
        </w:rPr>
        <w:t xml:space="preserve">Abstract (EN): </w:t>
      </w:r>
      <w:r>
        <w:t>Author(s): Héloïse Damas, Carl S. Davies, Petr M. Vetoshko, Vladimir I. Belotelov, Andrzej Stupakiewicz, and Andrei KirilyukMidinfrared laser pulses tuned to optical phonon frequencies can induce magnetization switching in magnetic dielectrics, but the underlying mechanisms remain unclear, since excitations of the crystal lattice can simultaneously produce heating and nonthermal strain. Here, we study the response of lab…[Phys. Rev. Lett. 137, 036704] Published Thu Jul 16,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s.acs.org/doi/10.1021/acsenergylett.6c01287" TargetMode="External"/><Relationship Id="rId10" Type="http://schemas.openxmlformats.org/officeDocument/2006/relationships/hyperlink" Target="https://doi.org/10.1021/acsenergylett.6c01287" TargetMode="External"/><Relationship Id="rId11" Type="http://schemas.openxmlformats.org/officeDocument/2006/relationships/hyperlink" Target="https://www.sciencedirect.com/science/article/pii/S0306261926010512?dgcid=rss_sd_all" TargetMode="External"/><Relationship Id="rId12" Type="http://schemas.openxmlformats.org/officeDocument/2006/relationships/hyperlink" Target="https://www.sciencedirect.com/science/article/pii/S0306261926009542?dgcid=rss_sd_all" TargetMode="External"/><Relationship Id="rId13" Type="http://schemas.openxmlformats.org/officeDocument/2006/relationships/hyperlink" Target="https://www.sciencedirect.com/science/article/pii/S0306261926010573?dgcid=rss_sd_all" TargetMode="External"/><Relationship Id="rId14" Type="http://schemas.openxmlformats.org/officeDocument/2006/relationships/hyperlink" Target="https://www.nature.com/articles/s41586-026-10869-x" TargetMode="External"/><Relationship Id="rId15" Type="http://schemas.openxmlformats.org/officeDocument/2006/relationships/hyperlink" Target="https://doi.org/10.1038/s41586-026-10869-x" TargetMode="External"/><Relationship Id="rId16" Type="http://schemas.openxmlformats.org/officeDocument/2006/relationships/hyperlink" Target="https://www.nature.com/articles/s41560-026-02111-9" TargetMode="External"/><Relationship Id="rId17" Type="http://schemas.openxmlformats.org/officeDocument/2006/relationships/hyperlink" Target="https://doi.org/10.1038/s41560-026-02111-9" TargetMode="External"/><Relationship Id="rId18" Type="http://schemas.openxmlformats.org/officeDocument/2006/relationships/hyperlink" Target="https://pubs.acs.org/doi/10.1021/acsami.6c09224" TargetMode="External"/><Relationship Id="rId19" Type="http://schemas.openxmlformats.org/officeDocument/2006/relationships/hyperlink" Target="https://doi.org/10.1021/acsami.6c09224" TargetMode="External"/><Relationship Id="rId20" Type="http://schemas.openxmlformats.org/officeDocument/2006/relationships/hyperlink" Target="https://pubs.acs.org/doi/10.1021/acsami.6c08150" TargetMode="External"/><Relationship Id="rId21" Type="http://schemas.openxmlformats.org/officeDocument/2006/relationships/hyperlink" Target="https://doi.org/10.1021/acsami.6c08150" TargetMode="External"/><Relationship Id="rId22" Type="http://schemas.openxmlformats.org/officeDocument/2006/relationships/hyperlink" Target="https://www.nature.com/articles/s41560-026-02093-8" TargetMode="External"/><Relationship Id="rId23" Type="http://schemas.openxmlformats.org/officeDocument/2006/relationships/hyperlink" Target="https://doi.org/10.1038/s41560-026-02093-8" TargetMode="External"/><Relationship Id="rId24" Type="http://schemas.openxmlformats.org/officeDocument/2006/relationships/hyperlink" Target="https://pubs.acs.org/doi/10.1021/acsenergylett.6c01347" TargetMode="External"/><Relationship Id="rId25" Type="http://schemas.openxmlformats.org/officeDocument/2006/relationships/hyperlink" Target="https://doi.org/10.1021/acsenergylett.6c01347" TargetMode="External"/><Relationship Id="rId26" Type="http://schemas.openxmlformats.org/officeDocument/2006/relationships/hyperlink" Target="https://pubs.acs.org/doi/10.1021/acsami.6c09721" TargetMode="External"/><Relationship Id="rId27" Type="http://schemas.openxmlformats.org/officeDocument/2006/relationships/hyperlink" Target="https://doi.org/10.1021/acsami.6c09721" TargetMode="External"/><Relationship Id="rId28" Type="http://schemas.openxmlformats.org/officeDocument/2006/relationships/hyperlink" Target="https://www.sciencedirect.com/science/article/pii/S0306261926011062?dgcid=rss_sd_all" TargetMode="External"/><Relationship Id="rId29" Type="http://schemas.openxmlformats.org/officeDocument/2006/relationships/hyperlink" Target="https://www.sciencedirect.com/science/article/pii/S0306261926010810?dgcid=rss_sd_all" TargetMode="External"/><Relationship Id="rId30" Type="http://schemas.openxmlformats.org/officeDocument/2006/relationships/hyperlink" Target="https://pubs.acs.org/doi/10.1021/acsami.6c08990" TargetMode="External"/><Relationship Id="rId31" Type="http://schemas.openxmlformats.org/officeDocument/2006/relationships/hyperlink" Target="https://doi.org/10.1021/acsami.6c08990" TargetMode="External"/><Relationship Id="rId32" Type="http://schemas.openxmlformats.org/officeDocument/2006/relationships/hyperlink" Target="https://www.cell.com/joule/fulltext/S2542-4351(26)00262-X?rss=yes" TargetMode="External"/><Relationship Id="rId33" Type="http://schemas.openxmlformats.org/officeDocument/2006/relationships/hyperlink" Target="https://doi.org/10.1016/j.joule.2026.102578" TargetMode="External"/><Relationship Id="rId34" Type="http://schemas.openxmlformats.org/officeDocument/2006/relationships/hyperlink" Target="https://www.cell.com/joule/fulltext/S2542-4351(26)00261-8?rss=yes" TargetMode="External"/><Relationship Id="rId35" Type="http://schemas.openxmlformats.org/officeDocument/2006/relationships/hyperlink" Target="https://doi.org/10.1016/j.joule.2026.102577" TargetMode="External"/><Relationship Id="rId36" Type="http://schemas.openxmlformats.org/officeDocument/2006/relationships/hyperlink" Target="https://www.nature.com/articles/s41467-026-75053-1" TargetMode="External"/><Relationship Id="rId37" Type="http://schemas.openxmlformats.org/officeDocument/2006/relationships/hyperlink" Target="https://www.nature.com/articles/s41467-026-75434-6" TargetMode="External"/><Relationship Id="rId38" Type="http://schemas.openxmlformats.org/officeDocument/2006/relationships/hyperlink" Target="https://www.nature.com/articles/s41467-026-75629-x" TargetMode="External"/><Relationship Id="rId39" Type="http://schemas.openxmlformats.org/officeDocument/2006/relationships/hyperlink" Target="https://www.science.org/doi/abs/10.1126/sciadv.aed7830?af=R" TargetMode="External"/><Relationship Id="rId40" Type="http://schemas.openxmlformats.org/officeDocument/2006/relationships/hyperlink" Target="https://doi.org/10.1126/sciadv.aed7830" TargetMode="External"/><Relationship Id="rId41" Type="http://schemas.openxmlformats.org/officeDocument/2006/relationships/hyperlink" Target="https://advanced.onlinelibrary.wiley.com/doi/10.1002/adma.74183?af=R" TargetMode="External"/><Relationship Id="rId42" Type="http://schemas.openxmlformats.org/officeDocument/2006/relationships/hyperlink" Target="https://doi.org/10.1002/adma.74183" TargetMode="External"/><Relationship Id="rId43" Type="http://schemas.openxmlformats.org/officeDocument/2006/relationships/hyperlink" Target="https://advanced.onlinelibrary.wiley.com/doi/10.1002/adma.74119?af=R" TargetMode="External"/><Relationship Id="rId44" Type="http://schemas.openxmlformats.org/officeDocument/2006/relationships/hyperlink" Target="https://doi.org/10.1002/adma.74119" TargetMode="External"/><Relationship Id="rId45" Type="http://schemas.openxmlformats.org/officeDocument/2006/relationships/hyperlink" Target="https://advanced.onlinelibrary.wiley.com/doi/10.1002/adma.74060?af=R" TargetMode="External"/><Relationship Id="rId46" Type="http://schemas.openxmlformats.org/officeDocument/2006/relationships/hyperlink" Target="https://doi.org/10.1002/adma.74060" TargetMode="External"/><Relationship Id="rId47" Type="http://schemas.openxmlformats.org/officeDocument/2006/relationships/hyperlink" Target="https://onlinelibrary.wiley.com/doi/10.1002/anie.1032601?af=R" TargetMode="External"/><Relationship Id="rId48" Type="http://schemas.openxmlformats.org/officeDocument/2006/relationships/hyperlink" Target="https://doi.org/10.1002/anie.1032601" TargetMode="External"/><Relationship Id="rId49" Type="http://schemas.openxmlformats.org/officeDocument/2006/relationships/hyperlink" Target="https://onlinelibrary.wiley.com/doi/10.1002/anie.1052031?af=R" TargetMode="External"/><Relationship Id="rId50" Type="http://schemas.openxmlformats.org/officeDocument/2006/relationships/hyperlink" Target="https://doi.org/10.1002/anie.1052031" TargetMode="External"/><Relationship Id="rId51" Type="http://schemas.openxmlformats.org/officeDocument/2006/relationships/hyperlink" Target="https://pubs.acs.org/doi/10.1021/jacs.6c06932" TargetMode="External"/><Relationship Id="rId52" Type="http://schemas.openxmlformats.org/officeDocument/2006/relationships/hyperlink" Target="https://doi.org/10.1021/jacs.6c06932" TargetMode="External"/><Relationship Id="rId53" Type="http://schemas.openxmlformats.org/officeDocument/2006/relationships/hyperlink" Target="https://www.sciencedirect.com/science/article/pii/S0306261926010949?dgcid=rss_sd_all" TargetMode="External"/><Relationship Id="rId54" Type="http://schemas.openxmlformats.org/officeDocument/2006/relationships/hyperlink" Target="https://pubs.acs.org/doi/10.1021/acsenergylett.6c01666" TargetMode="External"/><Relationship Id="rId55" Type="http://schemas.openxmlformats.org/officeDocument/2006/relationships/hyperlink" Target="https://doi.org/10.1021/acsenergylett.6c01666" TargetMode="External"/><Relationship Id="rId56" Type="http://schemas.openxmlformats.org/officeDocument/2006/relationships/hyperlink" Target="https://advanced.onlinelibrary.wiley.com/doi/10.1002/adma.74078?af=R" TargetMode="External"/><Relationship Id="rId57" Type="http://schemas.openxmlformats.org/officeDocument/2006/relationships/hyperlink" Target="https://doi.org/10.1002/adma.74078" TargetMode="External"/><Relationship Id="rId58" Type="http://schemas.openxmlformats.org/officeDocument/2006/relationships/hyperlink" Target="https://www.science.org/doi/abs/10.1126/science.aef1969?af=R" TargetMode="External"/><Relationship Id="rId59" Type="http://schemas.openxmlformats.org/officeDocument/2006/relationships/hyperlink" Target="https://doi.org/10.1126/science.aef1969" TargetMode="External"/><Relationship Id="rId60" Type="http://schemas.openxmlformats.org/officeDocument/2006/relationships/hyperlink" Target="https://pubs.acs.org/doi/10.1021/acsenergylett.6c01871" TargetMode="External"/><Relationship Id="rId61" Type="http://schemas.openxmlformats.org/officeDocument/2006/relationships/hyperlink" Target="https://doi.org/10.1021/acsenergylett.6c01871" TargetMode="External"/><Relationship Id="rId62" Type="http://schemas.openxmlformats.org/officeDocument/2006/relationships/hyperlink" Target="https://academic.oup.com/nsr/advance-article/doi/10.1093/nsr/nwag433/8733281?rss=1" TargetMode="External"/><Relationship Id="rId63" Type="http://schemas.openxmlformats.org/officeDocument/2006/relationships/hyperlink" Target="https://doi.org/10.1093/nsr/nwag433" TargetMode="External"/><Relationship Id="rId64" Type="http://schemas.openxmlformats.org/officeDocument/2006/relationships/hyperlink" Target="https://pubs.acs.org/doi/10.1021/acsenergylett.6c01671" TargetMode="External"/><Relationship Id="rId65" Type="http://schemas.openxmlformats.org/officeDocument/2006/relationships/hyperlink" Target="https://doi.org/10.1021/acsenergylett.6c01671" TargetMode="External"/><Relationship Id="rId66" Type="http://schemas.openxmlformats.org/officeDocument/2006/relationships/hyperlink" Target="https://pubs.acs.org/doi/10.1021/acsami.6c10664" TargetMode="External"/><Relationship Id="rId67" Type="http://schemas.openxmlformats.org/officeDocument/2006/relationships/hyperlink" Target="https://doi.org/10.1021/acsami.6c10664" TargetMode="External"/><Relationship Id="rId68" Type="http://schemas.openxmlformats.org/officeDocument/2006/relationships/hyperlink" Target="https://pubs.acs.org/doi/10.1021/acsami.6c08079" TargetMode="External"/><Relationship Id="rId69" Type="http://schemas.openxmlformats.org/officeDocument/2006/relationships/hyperlink" Target="https://doi.org/10.1021/acsami.6c08079" TargetMode="External"/><Relationship Id="rId70" Type="http://schemas.openxmlformats.org/officeDocument/2006/relationships/hyperlink" Target="https://pubs.acs.org/doi/10.1021/jacs.5c18724" TargetMode="External"/><Relationship Id="rId71" Type="http://schemas.openxmlformats.org/officeDocument/2006/relationships/hyperlink" Target="https://doi.org/10.1021/jacs.5c18724" TargetMode="External"/><Relationship Id="rId72" Type="http://schemas.openxmlformats.org/officeDocument/2006/relationships/hyperlink" Target="https://www.nature.com/articles/s41467-026-75215-1" TargetMode="External"/><Relationship Id="rId73" Type="http://schemas.openxmlformats.org/officeDocument/2006/relationships/hyperlink" Target="https://pubs.acs.org/doi/10.1021/acsenergylett.6c01511" TargetMode="External"/><Relationship Id="rId74" Type="http://schemas.openxmlformats.org/officeDocument/2006/relationships/hyperlink" Target="https://doi.org/10.1021/acsenergylett.6c01511" TargetMode="External"/><Relationship Id="rId75" Type="http://schemas.openxmlformats.org/officeDocument/2006/relationships/hyperlink" Target="https://pubs.acs.org/doi/10.1021/acsenergylett.6c01429" TargetMode="External"/><Relationship Id="rId76" Type="http://schemas.openxmlformats.org/officeDocument/2006/relationships/hyperlink" Target="https://doi.org/10.1021/acsenergylett.6c01429" TargetMode="External"/><Relationship Id="rId77" Type="http://schemas.openxmlformats.org/officeDocument/2006/relationships/hyperlink" Target="https://advanced.onlinelibrary.wiley.com/doi/10.1002/adma.74104?af=R" TargetMode="External"/><Relationship Id="rId78" Type="http://schemas.openxmlformats.org/officeDocument/2006/relationships/hyperlink" Target="https://doi.org/10.1002/adma.74104" TargetMode="External"/><Relationship Id="rId79" Type="http://schemas.openxmlformats.org/officeDocument/2006/relationships/hyperlink" Target="https://academic.oup.com/nsr/advance-article/doi/10.1093/nsr/nwag438/8735813?rss=1" TargetMode="External"/><Relationship Id="rId80" Type="http://schemas.openxmlformats.org/officeDocument/2006/relationships/hyperlink" Target="https://doi.org/10.1093/nsr/nwag438" TargetMode="External"/><Relationship Id="rId81" Type="http://schemas.openxmlformats.org/officeDocument/2006/relationships/hyperlink" Target="https://pubs.acs.org/doi/10.1021/acsenergylett.6c01088" TargetMode="External"/><Relationship Id="rId82" Type="http://schemas.openxmlformats.org/officeDocument/2006/relationships/hyperlink" Target="https://doi.org/10.1021/acsenergylett.6c01088" TargetMode="External"/><Relationship Id="rId83" Type="http://schemas.openxmlformats.org/officeDocument/2006/relationships/hyperlink" Target="https://pubs.acs.org/doi/10.1021/acsami.6c06848" TargetMode="External"/><Relationship Id="rId84" Type="http://schemas.openxmlformats.org/officeDocument/2006/relationships/hyperlink" Target="https://doi.org/10.1021/acsami.6c06848" TargetMode="External"/><Relationship Id="rId85" Type="http://schemas.openxmlformats.org/officeDocument/2006/relationships/hyperlink" Target="https://academic.oup.com/nsr/advance-article/doi/10.1093/nsr/nwag428/8732562?rss=1" TargetMode="External"/><Relationship Id="rId86" Type="http://schemas.openxmlformats.org/officeDocument/2006/relationships/hyperlink" Target="https://doi.org/10.1093/nsr/nwag428" TargetMode="External"/><Relationship Id="rId87" Type="http://schemas.openxmlformats.org/officeDocument/2006/relationships/hyperlink" Target="https://pubs.acs.org/doi/10.1021/acsenergylett.6c01583" TargetMode="External"/><Relationship Id="rId88" Type="http://schemas.openxmlformats.org/officeDocument/2006/relationships/hyperlink" Target="https://doi.org/10.1021/acsenergylett.6c01583" TargetMode="External"/><Relationship Id="rId89" Type="http://schemas.openxmlformats.org/officeDocument/2006/relationships/hyperlink" Target="https://pubs.acs.org/doi/10.1021/acsami.6c09254" TargetMode="External"/><Relationship Id="rId90" Type="http://schemas.openxmlformats.org/officeDocument/2006/relationships/hyperlink" Target="https://doi.org/10.1021/acsami.6c09254" TargetMode="External"/><Relationship Id="rId91" Type="http://schemas.openxmlformats.org/officeDocument/2006/relationships/hyperlink" Target="https://www.nature.com/articles/s41467-026-75167-6" TargetMode="External"/><Relationship Id="rId92" Type="http://schemas.openxmlformats.org/officeDocument/2006/relationships/hyperlink" Target="https://onlinelibrary.wiley.com/doi/10.1002/anie.8884248?af=R" TargetMode="External"/><Relationship Id="rId93" Type="http://schemas.openxmlformats.org/officeDocument/2006/relationships/hyperlink" Target="https://doi.org/10.1002/anie.8884248" TargetMode="External"/><Relationship Id="rId94" Type="http://schemas.openxmlformats.org/officeDocument/2006/relationships/hyperlink" Target="https://advanced.onlinelibrary.wiley.com/doi/10.1002/aenm.71149?af=R" TargetMode="External"/><Relationship Id="rId95" Type="http://schemas.openxmlformats.org/officeDocument/2006/relationships/hyperlink" Target="https://doi.org/10.1002/aenm.71149" TargetMode="External"/><Relationship Id="rId96" Type="http://schemas.openxmlformats.org/officeDocument/2006/relationships/hyperlink" Target="https://advanced.onlinelibrary.wiley.com/doi/10.1002/aenm.71188?af=R" TargetMode="External"/><Relationship Id="rId97" Type="http://schemas.openxmlformats.org/officeDocument/2006/relationships/hyperlink" Target="https://doi.org/10.1002/aenm.71188" TargetMode="External"/><Relationship Id="rId98" Type="http://schemas.openxmlformats.org/officeDocument/2006/relationships/hyperlink" Target="https://pubs.acs.org/doi/10.1021/acsami.6c06252" TargetMode="External"/><Relationship Id="rId99" Type="http://schemas.openxmlformats.org/officeDocument/2006/relationships/hyperlink" Target="https://doi.org/10.1021/acsami.6c06252" TargetMode="External"/><Relationship Id="rId100" Type="http://schemas.openxmlformats.org/officeDocument/2006/relationships/hyperlink" Target="https://pubs.acs.org/doi/10.1021/acsenergylett.6c01009" TargetMode="External"/><Relationship Id="rId101" Type="http://schemas.openxmlformats.org/officeDocument/2006/relationships/hyperlink" Target="https://doi.org/10.1021/acsenergylett.6c01009" TargetMode="External"/><Relationship Id="rId102" Type="http://schemas.openxmlformats.org/officeDocument/2006/relationships/hyperlink" Target="https://pubs.acs.org/doi/10.1021/jacs.6c01785" TargetMode="External"/><Relationship Id="rId103" Type="http://schemas.openxmlformats.org/officeDocument/2006/relationships/hyperlink" Target="https://doi.org/10.1021/jacs.6c01785" TargetMode="External"/><Relationship Id="rId104" Type="http://schemas.openxmlformats.org/officeDocument/2006/relationships/hyperlink" Target="https://pubs.acs.org/doi/10.1021/acsenergylett.6c01023" TargetMode="External"/><Relationship Id="rId105" Type="http://schemas.openxmlformats.org/officeDocument/2006/relationships/hyperlink" Target="https://doi.org/10.1021/acsenergylett.6c01023" TargetMode="External"/><Relationship Id="rId106" Type="http://schemas.openxmlformats.org/officeDocument/2006/relationships/hyperlink" Target="https://pubs.acs.org/doi/10.1021/acsenergylett.6c01286" TargetMode="External"/><Relationship Id="rId107" Type="http://schemas.openxmlformats.org/officeDocument/2006/relationships/hyperlink" Target="https://doi.org/10.1021/acsenergylett.6c01286" TargetMode="External"/><Relationship Id="rId108" Type="http://schemas.openxmlformats.org/officeDocument/2006/relationships/hyperlink" Target="https://www.nature.com/articles/s41565-026-02226-w" TargetMode="External"/><Relationship Id="rId109" Type="http://schemas.openxmlformats.org/officeDocument/2006/relationships/hyperlink" Target="https://doi.org/10.1038/s41565-026-02226-w" TargetMode="External"/><Relationship Id="rId110" Type="http://schemas.openxmlformats.org/officeDocument/2006/relationships/hyperlink" Target="https://www.nature.com/articles/s41565-026-02229-7" TargetMode="External"/><Relationship Id="rId111" Type="http://schemas.openxmlformats.org/officeDocument/2006/relationships/hyperlink" Target="https://doi.org/10.1038/s41565-026-02229-7" TargetMode="External"/><Relationship Id="rId112" Type="http://schemas.openxmlformats.org/officeDocument/2006/relationships/hyperlink" Target="https://pubs.acs.org/doi/10.1021/acsenergylett.6c01622" TargetMode="External"/><Relationship Id="rId113" Type="http://schemas.openxmlformats.org/officeDocument/2006/relationships/hyperlink" Target="https://doi.org/10.1021/acsenergylett.6c01622" TargetMode="External"/><Relationship Id="rId114" Type="http://schemas.openxmlformats.org/officeDocument/2006/relationships/hyperlink" Target="https://advanced.onlinelibrary.wiley.com/doi/10.1002/adma.74116?af=R" TargetMode="External"/><Relationship Id="rId115" Type="http://schemas.openxmlformats.org/officeDocument/2006/relationships/hyperlink" Target="https://doi.org/10.1002/adma.74116" TargetMode="External"/><Relationship Id="rId116" Type="http://schemas.openxmlformats.org/officeDocument/2006/relationships/hyperlink" Target="https://advanced.onlinelibrary.wiley.com/doi/10.1002/aenm.71306?af=R" TargetMode="External"/><Relationship Id="rId117" Type="http://schemas.openxmlformats.org/officeDocument/2006/relationships/hyperlink" Target="https://doi.org/10.1002/aenm.71306" TargetMode="External"/><Relationship Id="rId118" Type="http://schemas.openxmlformats.org/officeDocument/2006/relationships/hyperlink" Target="https://pubs.acs.org/doi/10.1021/jacs.6c09122" TargetMode="External"/><Relationship Id="rId119" Type="http://schemas.openxmlformats.org/officeDocument/2006/relationships/hyperlink" Target="https://doi.org/10.1021/jacs.6c09122" TargetMode="External"/><Relationship Id="rId120" Type="http://schemas.openxmlformats.org/officeDocument/2006/relationships/hyperlink" Target="https://pubs.acs.org/doi/10.1021/acsenergylett.6c01077" TargetMode="External"/><Relationship Id="rId121" Type="http://schemas.openxmlformats.org/officeDocument/2006/relationships/hyperlink" Target="https://doi.org/10.1021/acsenergylett.6c01077" TargetMode="External"/><Relationship Id="rId122" Type="http://schemas.openxmlformats.org/officeDocument/2006/relationships/hyperlink" Target="https://pubs.acs.org/doi/10.1021/acsami.6c09577" TargetMode="External"/><Relationship Id="rId123" Type="http://schemas.openxmlformats.org/officeDocument/2006/relationships/hyperlink" Target="https://doi.org/10.1021/acsami.6c09577" TargetMode="External"/><Relationship Id="rId124" Type="http://schemas.openxmlformats.org/officeDocument/2006/relationships/hyperlink" Target="https://www.sciencedirect.com/science/article/pii/S0306261926010135?dgcid=rss_sd_all" TargetMode="External"/><Relationship Id="rId125" Type="http://schemas.openxmlformats.org/officeDocument/2006/relationships/hyperlink" Target="https://www.cell.com/joule/fulltext/S2542-4351(26)00257-6?rss=yes" TargetMode="External"/><Relationship Id="rId126" Type="http://schemas.openxmlformats.org/officeDocument/2006/relationships/hyperlink" Target="https://doi.org/10.1016/j.joule.2026.102573" TargetMode="External"/><Relationship Id="rId127" Type="http://schemas.openxmlformats.org/officeDocument/2006/relationships/hyperlink" Target="https://www.nature.com/articles/s41467-026-75277-1" TargetMode="External"/><Relationship Id="rId128" Type="http://schemas.openxmlformats.org/officeDocument/2006/relationships/hyperlink" Target="https://pubs.acs.org/doi/10.1021/acsami.6c08017" TargetMode="External"/><Relationship Id="rId129" Type="http://schemas.openxmlformats.org/officeDocument/2006/relationships/hyperlink" Target="https://doi.org/10.1021/acsami.6c08017" TargetMode="External"/><Relationship Id="rId130" Type="http://schemas.openxmlformats.org/officeDocument/2006/relationships/hyperlink" Target="https://www.sciencedirect.com/science/article/pii/S0306261926010342?dgcid=rss_sd_all" TargetMode="External"/><Relationship Id="rId131" Type="http://schemas.openxmlformats.org/officeDocument/2006/relationships/hyperlink" Target="https://www.nature.com/articles/d41586-026-02249-2" TargetMode="External"/><Relationship Id="rId132" Type="http://schemas.openxmlformats.org/officeDocument/2006/relationships/hyperlink" Target="https://doi.org/10.1038/d41586-026-02249-2" TargetMode="External"/><Relationship Id="rId133" Type="http://schemas.openxmlformats.org/officeDocument/2006/relationships/hyperlink" Target="https://www.sciencedirect.com/science/article/pii/S0306261926010317?dgcid=rss_sd_all" TargetMode="External"/><Relationship Id="rId134" Type="http://schemas.openxmlformats.org/officeDocument/2006/relationships/hyperlink" Target="https://advanced.onlinelibrary.wiley.com/doi/10.1002/aenm.71295?af=R" TargetMode="External"/><Relationship Id="rId135" Type="http://schemas.openxmlformats.org/officeDocument/2006/relationships/hyperlink" Target="https://doi.org/10.1002/aenm.71295" TargetMode="External"/><Relationship Id="rId136" Type="http://schemas.openxmlformats.org/officeDocument/2006/relationships/hyperlink" Target="https://advanced.onlinelibrary.wiley.com/doi/10.1002/aenm.71300?af=R" TargetMode="External"/><Relationship Id="rId137" Type="http://schemas.openxmlformats.org/officeDocument/2006/relationships/hyperlink" Target="https://doi.org/10.1002/aenm.71300" TargetMode="External"/><Relationship Id="rId138" Type="http://schemas.openxmlformats.org/officeDocument/2006/relationships/hyperlink" Target="https://www.sciencedirect.com/science/article/pii/S0306261926011098?dgcid=rss_sd_all" TargetMode="External"/><Relationship Id="rId139" Type="http://schemas.openxmlformats.org/officeDocument/2006/relationships/hyperlink" Target="https://www.cell.com/joule/fulltext/S2542-4351(26)00256-4?rss=yes" TargetMode="External"/><Relationship Id="rId140" Type="http://schemas.openxmlformats.org/officeDocument/2006/relationships/hyperlink" Target="https://doi.org/10.1016/j.joule.2026.102572" TargetMode="External"/><Relationship Id="rId141" Type="http://schemas.openxmlformats.org/officeDocument/2006/relationships/hyperlink" Target="https://pubs.acs.org/doi/10.1021/jacs.6c01511" TargetMode="External"/><Relationship Id="rId142" Type="http://schemas.openxmlformats.org/officeDocument/2006/relationships/hyperlink" Target="https://doi.org/10.1021/jacs.6c01511" TargetMode="External"/><Relationship Id="rId143" Type="http://schemas.openxmlformats.org/officeDocument/2006/relationships/hyperlink" Target="https://www.nature.com/articles/s41560-026-02096-5" TargetMode="External"/><Relationship Id="rId144" Type="http://schemas.openxmlformats.org/officeDocument/2006/relationships/hyperlink" Target="https://doi.org/10.1038/s41560-026-02096-5" TargetMode="External"/><Relationship Id="rId145" Type="http://schemas.openxmlformats.org/officeDocument/2006/relationships/hyperlink" Target="https://pubs.acs.org/doi/10.1021/acsami.6c11407" TargetMode="External"/><Relationship Id="rId146" Type="http://schemas.openxmlformats.org/officeDocument/2006/relationships/hyperlink" Target="https://doi.org/10.1021/acsami.6c11407" TargetMode="External"/><Relationship Id="rId147" Type="http://schemas.openxmlformats.org/officeDocument/2006/relationships/hyperlink" Target="https://www.nature.com/articles/s41578-026-00946-y" TargetMode="External"/><Relationship Id="rId148" Type="http://schemas.openxmlformats.org/officeDocument/2006/relationships/hyperlink" Target="https://doi.org/10.1038/s41578-026-00946-y" TargetMode="External"/><Relationship Id="rId149" Type="http://schemas.openxmlformats.org/officeDocument/2006/relationships/hyperlink" Target="http://link.aps.org/doi/10.1103/8m3c-4dkr" TargetMode="External"/><Relationship Id="rId150" Type="http://schemas.openxmlformats.org/officeDocument/2006/relationships/hyperlink" Target="https://doi.org/10.1103/8m3c-4dkr" TargetMode="External"/><Relationship Id="rId151" Type="http://schemas.openxmlformats.org/officeDocument/2006/relationships/hyperlink" Target="https://www.nature.com/articles/s41467-026-75684-4" TargetMode="External"/><Relationship Id="rId152" Type="http://schemas.openxmlformats.org/officeDocument/2006/relationships/hyperlink" Target="https://www.sciencedirect.com/science/article/pii/S0306261926010743?dgcid=rss_sd_all" TargetMode="External"/><Relationship Id="rId153" Type="http://schemas.openxmlformats.org/officeDocument/2006/relationships/hyperlink" Target="https://www.science.org/doi/abs/10.1126/sciadv.aef7488?af=R" TargetMode="External"/><Relationship Id="rId154" Type="http://schemas.openxmlformats.org/officeDocument/2006/relationships/hyperlink" Target="https://doi.org/10.1126/sciadv.aef7488" TargetMode="External"/><Relationship Id="rId155" Type="http://schemas.openxmlformats.org/officeDocument/2006/relationships/hyperlink" Target="https://advanced.onlinelibrary.wiley.com/doi/10.1002/adma.74065?af=R" TargetMode="External"/><Relationship Id="rId156" Type="http://schemas.openxmlformats.org/officeDocument/2006/relationships/hyperlink" Target="https://doi.org/10.1002/adma.74065" TargetMode="External"/><Relationship Id="rId157" Type="http://schemas.openxmlformats.org/officeDocument/2006/relationships/hyperlink" Target="https://advanced.onlinelibrary.wiley.com/doi/10.1002/adma.74063?af=R" TargetMode="External"/><Relationship Id="rId158" Type="http://schemas.openxmlformats.org/officeDocument/2006/relationships/hyperlink" Target="https://doi.org/10.1002/adma.74063" TargetMode="External"/><Relationship Id="rId159" Type="http://schemas.openxmlformats.org/officeDocument/2006/relationships/hyperlink" Target="https://advanced.onlinelibrary.wiley.com/doi/10.1002/adma.74073?af=R" TargetMode="External"/><Relationship Id="rId160" Type="http://schemas.openxmlformats.org/officeDocument/2006/relationships/hyperlink" Target="https://doi.org/10.1002/adma.74073" TargetMode="External"/><Relationship Id="rId161" Type="http://schemas.openxmlformats.org/officeDocument/2006/relationships/hyperlink" Target="https://onlinelibrary.wiley.com/doi/10.1002/anie.5284622?af=R" TargetMode="External"/><Relationship Id="rId162" Type="http://schemas.openxmlformats.org/officeDocument/2006/relationships/hyperlink" Target="https://doi.org/10.1002/anie.5284622" TargetMode="External"/><Relationship Id="rId163" Type="http://schemas.openxmlformats.org/officeDocument/2006/relationships/hyperlink" Target="https://www.cell.com/matter/fulltext/S2590-2385(26)00280-8?rss=yes" TargetMode="External"/><Relationship Id="rId164" Type="http://schemas.openxmlformats.org/officeDocument/2006/relationships/hyperlink" Target="https://doi.org/10.1016/j.matt.2026.102917" TargetMode="External"/><Relationship Id="rId165" Type="http://schemas.openxmlformats.org/officeDocument/2006/relationships/hyperlink" Target="https://pubs.acs.org/doi/10.1021/jacs.6c09619" TargetMode="External"/><Relationship Id="rId166" Type="http://schemas.openxmlformats.org/officeDocument/2006/relationships/hyperlink" Target="https://doi.org/10.1021/jacs.6c09619" TargetMode="External"/><Relationship Id="rId167" Type="http://schemas.openxmlformats.org/officeDocument/2006/relationships/hyperlink" Target="https://www.sciencedirect.com/science/article/pii/S0306261926010032?dgcid=rss_sd_all" TargetMode="External"/><Relationship Id="rId168" Type="http://schemas.openxmlformats.org/officeDocument/2006/relationships/hyperlink" Target="https://pubs.acs.org/doi/10.1021/acsenergylett.6c01186" TargetMode="External"/><Relationship Id="rId169" Type="http://schemas.openxmlformats.org/officeDocument/2006/relationships/hyperlink" Target="https://doi.org/10.1021/acsenergylett.6c01186" TargetMode="External"/><Relationship Id="rId170" Type="http://schemas.openxmlformats.org/officeDocument/2006/relationships/hyperlink" Target="https://www.sciencedirect.com/science/article/pii/S0306261926009918?dgcid=rss_sd_all" TargetMode="External"/><Relationship Id="rId171" Type="http://schemas.openxmlformats.org/officeDocument/2006/relationships/hyperlink" Target="https://pubs.acs.org/doi/10.1021/acsami.6c10679" TargetMode="External"/><Relationship Id="rId172" Type="http://schemas.openxmlformats.org/officeDocument/2006/relationships/hyperlink" Target="https://doi.org/10.1021/acsami.6c10679" TargetMode="External"/><Relationship Id="rId173" Type="http://schemas.openxmlformats.org/officeDocument/2006/relationships/hyperlink" Target="https://www.sciencedirect.com/science/article/pii/S0306261926010561?dgcid=rss_sd_all" TargetMode="External"/><Relationship Id="rId174" Type="http://schemas.openxmlformats.org/officeDocument/2006/relationships/hyperlink" Target="https://www.sciencedirect.com/science/article/pii/S0306261926010354?dgcid=rss_sd_all" TargetMode="External"/><Relationship Id="rId175" Type="http://schemas.openxmlformats.org/officeDocument/2006/relationships/hyperlink" Target="https://www.sciencedirect.com/science/article/pii/S0306261926010809?dgcid=rss_sd_all" TargetMode="External"/><Relationship Id="rId176" Type="http://schemas.openxmlformats.org/officeDocument/2006/relationships/hyperlink" Target="https://www.nature.com/articles/s41467-026-75487-7" TargetMode="External"/><Relationship Id="rId177" Type="http://schemas.openxmlformats.org/officeDocument/2006/relationships/hyperlink" Target="https://academic.oup.com/nsr/advance-article/doi/10.1093/nsr/nwag432/8733282?rss=1" TargetMode="External"/><Relationship Id="rId178" Type="http://schemas.openxmlformats.org/officeDocument/2006/relationships/hyperlink" Target="https://doi.org/10.1093/nsr/nwag432" TargetMode="External"/><Relationship Id="rId179" Type="http://schemas.openxmlformats.org/officeDocument/2006/relationships/hyperlink" Target="https://pubs.acs.org/doi/10.1021/acsami.6c06541" TargetMode="External"/><Relationship Id="rId180" Type="http://schemas.openxmlformats.org/officeDocument/2006/relationships/hyperlink" Target="https://doi.org/10.1021/acsami.6c06541" TargetMode="External"/><Relationship Id="rId181" Type="http://schemas.openxmlformats.org/officeDocument/2006/relationships/hyperlink" Target="https://pubs.acs.org/doi/10.1021/acsami.6c08573" TargetMode="External"/><Relationship Id="rId182" Type="http://schemas.openxmlformats.org/officeDocument/2006/relationships/hyperlink" Target="https://doi.org/10.1021/acsami.6c08573" TargetMode="External"/><Relationship Id="rId183" Type="http://schemas.openxmlformats.org/officeDocument/2006/relationships/hyperlink" Target="http://link.aps.org/doi/10.1103/rj4r-2vrf" TargetMode="External"/><Relationship Id="rId184" Type="http://schemas.openxmlformats.org/officeDocument/2006/relationships/hyperlink" Target="https://doi.org/10.1103/rj4r-2vrf" TargetMode="External"/><Relationship Id="rId185" Type="http://schemas.openxmlformats.org/officeDocument/2006/relationships/hyperlink" Target="http://link.aps.org/doi/10.1103/lm3h-c5f5" TargetMode="External"/><Relationship Id="rId186" Type="http://schemas.openxmlformats.org/officeDocument/2006/relationships/hyperlink" Target="https://doi.org/10.1103/lm3h-c5f5" TargetMode="External"/><Relationship Id="rId187" Type="http://schemas.openxmlformats.org/officeDocument/2006/relationships/hyperlink" Target="https://pubs.acs.org/doi/10.1021/acsami.6c10143" TargetMode="External"/><Relationship Id="rId188" Type="http://schemas.openxmlformats.org/officeDocument/2006/relationships/hyperlink" Target="https://doi.org/10.1021/acsami.6c10143" TargetMode="External"/><Relationship Id="rId189" Type="http://schemas.openxmlformats.org/officeDocument/2006/relationships/hyperlink" Target="http://link.aps.org/doi/10.1103/sx1m-pdhz" TargetMode="External"/><Relationship Id="rId190" Type="http://schemas.openxmlformats.org/officeDocument/2006/relationships/hyperlink" Target="https://doi.org/10.1103/sx1m-pdhz" TargetMode="External"/><Relationship Id="rId191" Type="http://schemas.openxmlformats.org/officeDocument/2006/relationships/hyperlink" Target="https://www.sciencedirect.com/science/article/pii/S0306261926010536?dgcid=rss_sd_all" TargetMode="External"/><Relationship Id="rId192" Type="http://schemas.openxmlformats.org/officeDocument/2006/relationships/hyperlink" Target="https://www.science.org/doi/abs/10.1126/sciadv.aeh1679?af=R" TargetMode="External"/><Relationship Id="rId193" Type="http://schemas.openxmlformats.org/officeDocument/2006/relationships/hyperlink" Target="https://doi.org/10.1126/sciadv.aeh1679" TargetMode="External"/><Relationship Id="rId194" Type="http://schemas.openxmlformats.org/officeDocument/2006/relationships/hyperlink" Target="https://www.pnas.org/doi/abs/10.1073/pnas.2613597123?mi=eymic2&amp;af=R&amp;access=on&amp;content=articlesChapters&amp;publication=pnas&amp;sortBy=Earliest&amp;target=default" TargetMode="External"/><Relationship Id="rId195" Type="http://schemas.openxmlformats.org/officeDocument/2006/relationships/hyperlink" Target="https://doi.org/10.1073/pnas.2613597123" TargetMode="External"/><Relationship Id="rId196" Type="http://schemas.openxmlformats.org/officeDocument/2006/relationships/hyperlink" Target="https://onlinelibrary.wiley.com/doi/10.1002/anie.4566077?af=R" TargetMode="External"/><Relationship Id="rId197" Type="http://schemas.openxmlformats.org/officeDocument/2006/relationships/hyperlink" Target="https://doi.org/10.1002/anie.4566077" TargetMode="External"/><Relationship Id="rId198" Type="http://schemas.openxmlformats.org/officeDocument/2006/relationships/hyperlink" Target="https://onlinelibrary.wiley.com/doi/10.1002/anie.8469257?af=R" TargetMode="External"/><Relationship Id="rId199" Type="http://schemas.openxmlformats.org/officeDocument/2006/relationships/hyperlink" Target="https://doi.org/10.1002/anie.8469257" TargetMode="External"/><Relationship Id="rId200" Type="http://schemas.openxmlformats.org/officeDocument/2006/relationships/hyperlink" Target="https://www.sciencedirect.com/science/article/pii/S0306261926010391?dgcid=rss_sd_all" TargetMode="External"/><Relationship Id="rId201" Type="http://schemas.openxmlformats.org/officeDocument/2006/relationships/hyperlink" Target="https://www.nature.com/articles/s41467-026-75621-5" TargetMode="External"/><Relationship Id="rId202" Type="http://schemas.openxmlformats.org/officeDocument/2006/relationships/hyperlink" Target="https://iopscience.iop.org/article/10.1088/1741-4326/ae81c4" TargetMode="External"/><Relationship Id="rId203" Type="http://schemas.openxmlformats.org/officeDocument/2006/relationships/hyperlink" Target="https://doi.org/10.1088/1741-4326/ae81c4" TargetMode="External"/><Relationship Id="rId204" Type="http://schemas.openxmlformats.org/officeDocument/2006/relationships/hyperlink" Target="https://iopscience.iop.org/article/10.1088/1741-4326/ae81c7" TargetMode="External"/><Relationship Id="rId205" Type="http://schemas.openxmlformats.org/officeDocument/2006/relationships/hyperlink" Target="https://doi.org/10.1088/1741-4326/ae81c7" TargetMode="External"/><Relationship Id="rId206" Type="http://schemas.openxmlformats.org/officeDocument/2006/relationships/hyperlink" Target="https://iopscience.iop.org/article/10.1088/1741-4326/ae827a" TargetMode="External"/><Relationship Id="rId207" Type="http://schemas.openxmlformats.org/officeDocument/2006/relationships/hyperlink" Target="https://doi.org/10.1088/1741-4326/ae827a" TargetMode="External"/><Relationship Id="rId208" Type="http://schemas.openxmlformats.org/officeDocument/2006/relationships/hyperlink" Target="https://iopscience.iop.org/article/10.1088/1741-4326/ae827b" TargetMode="External"/><Relationship Id="rId209" Type="http://schemas.openxmlformats.org/officeDocument/2006/relationships/hyperlink" Target="https://doi.org/10.1088/1741-4326/ae827b" TargetMode="External"/><Relationship Id="rId210" Type="http://schemas.openxmlformats.org/officeDocument/2006/relationships/hyperlink" Target="https://iopscience.iop.org/article/10.1088/1741-4326/ae827e" TargetMode="External"/><Relationship Id="rId211" Type="http://schemas.openxmlformats.org/officeDocument/2006/relationships/hyperlink" Target="https://doi.org/10.1088/1741-4326/ae827e" TargetMode="External"/><Relationship Id="rId212" Type="http://schemas.openxmlformats.org/officeDocument/2006/relationships/hyperlink" Target="https://iopscience.iop.org/article/10.1088/1741-4326/ae827d" TargetMode="External"/><Relationship Id="rId213" Type="http://schemas.openxmlformats.org/officeDocument/2006/relationships/hyperlink" Target="https://doi.org/10.1088/1741-4326/ae827d" TargetMode="External"/><Relationship Id="rId214" Type="http://schemas.openxmlformats.org/officeDocument/2006/relationships/hyperlink" Target="https://iopscience.iop.org/article/10.1088/1741-4326/ae7f31" TargetMode="External"/><Relationship Id="rId215" Type="http://schemas.openxmlformats.org/officeDocument/2006/relationships/hyperlink" Target="https://doi.org/10.1088/1741-4326/ae7f31" TargetMode="External"/><Relationship Id="rId216" Type="http://schemas.openxmlformats.org/officeDocument/2006/relationships/hyperlink" Target="https://iopscience.iop.org/article/10.1088/1741-4326/ae7e93" TargetMode="External"/><Relationship Id="rId217" Type="http://schemas.openxmlformats.org/officeDocument/2006/relationships/hyperlink" Target="https://doi.org/10.1088/1741-4326/ae7e93" TargetMode="External"/><Relationship Id="rId218" Type="http://schemas.openxmlformats.org/officeDocument/2006/relationships/hyperlink" Target="https://iopscience.iop.org/article/10.1088/1741-4326/ae80e4" TargetMode="External"/><Relationship Id="rId219" Type="http://schemas.openxmlformats.org/officeDocument/2006/relationships/hyperlink" Target="https://doi.org/10.1088/1741-4326/ae80e4" TargetMode="External"/><Relationship Id="rId220" Type="http://schemas.openxmlformats.org/officeDocument/2006/relationships/hyperlink" Target="https://iopscience.iop.org/article/10.1088/1741-4326/ae827c" TargetMode="External"/><Relationship Id="rId221" Type="http://schemas.openxmlformats.org/officeDocument/2006/relationships/hyperlink" Target="https://doi.org/10.1088/1741-4326/ae827c" TargetMode="External"/><Relationship Id="rId222" Type="http://schemas.openxmlformats.org/officeDocument/2006/relationships/hyperlink" Target="https://iopscience.iop.org/article/10.1088/1741-4326/ae8037" TargetMode="External"/><Relationship Id="rId223" Type="http://schemas.openxmlformats.org/officeDocument/2006/relationships/hyperlink" Target="https://doi.org/10.1088/1741-4326/ae8037" TargetMode="External"/><Relationship Id="rId224" Type="http://schemas.openxmlformats.org/officeDocument/2006/relationships/hyperlink" Target="https://iopscience.iop.org/article/10.1088/1741-4326/ae7a08" TargetMode="External"/><Relationship Id="rId225" Type="http://schemas.openxmlformats.org/officeDocument/2006/relationships/hyperlink" Target="https://doi.org/10.1088/1741-4326/ae7a08" TargetMode="External"/><Relationship Id="rId226" Type="http://schemas.openxmlformats.org/officeDocument/2006/relationships/hyperlink" Target="https://iopscience.iop.org/article/10.1088/1741-4326/ae7f32" TargetMode="External"/><Relationship Id="rId227" Type="http://schemas.openxmlformats.org/officeDocument/2006/relationships/hyperlink" Target="https://doi.org/10.1088/1741-4326/ae7f32" TargetMode="External"/><Relationship Id="rId228" Type="http://schemas.openxmlformats.org/officeDocument/2006/relationships/hyperlink" Target="https://iopscience.iop.org/article/10.1088/1741-4326/ae8313" TargetMode="External"/><Relationship Id="rId229" Type="http://schemas.openxmlformats.org/officeDocument/2006/relationships/hyperlink" Target="https://doi.org/10.1088/1741-4326/ae8313" TargetMode="External"/><Relationship Id="rId230" Type="http://schemas.openxmlformats.org/officeDocument/2006/relationships/hyperlink" Target="https://iopscience.iop.org/article/10.1088/1741-4326/ae7e06" TargetMode="External"/><Relationship Id="rId231" Type="http://schemas.openxmlformats.org/officeDocument/2006/relationships/hyperlink" Target="https://doi.org/10.1088/1741-4326/ae7e06" TargetMode="External"/><Relationship Id="rId232" Type="http://schemas.openxmlformats.org/officeDocument/2006/relationships/hyperlink" Target="https://iopscience.iop.org/article/10.1088/1741-4326/ae7e04" TargetMode="External"/><Relationship Id="rId233" Type="http://schemas.openxmlformats.org/officeDocument/2006/relationships/hyperlink" Target="https://doi.org/10.1088/1741-4326/ae7e04" TargetMode="External"/><Relationship Id="rId234" Type="http://schemas.openxmlformats.org/officeDocument/2006/relationships/hyperlink" Target="https://iopscience.iop.org/article/10.1088/1741-4326/ae7d08" TargetMode="External"/><Relationship Id="rId235" Type="http://schemas.openxmlformats.org/officeDocument/2006/relationships/hyperlink" Target="https://doi.org/10.1088/1741-4326/ae7d08" TargetMode="External"/><Relationship Id="rId236" Type="http://schemas.openxmlformats.org/officeDocument/2006/relationships/hyperlink" Target="https://iopscience.iop.org/article/10.1088/1741-4326/ae7b57" TargetMode="External"/><Relationship Id="rId237" Type="http://schemas.openxmlformats.org/officeDocument/2006/relationships/hyperlink" Target="https://doi.org/10.1088/1741-4326/ae7b57" TargetMode="External"/><Relationship Id="rId238" Type="http://schemas.openxmlformats.org/officeDocument/2006/relationships/hyperlink" Target="https://iopscience.iop.org/article/10.1088/1741-4326/ae7983" TargetMode="External"/><Relationship Id="rId239" Type="http://schemas.openxmlformats.org/officeDocument/2006/relationships/hyperlink" Target="https://doi.org/10.1088/1741-4326/ae7983" TargetMode="External"/><Relationship Id="rId240" Type="http://schemas.openxmlformats.org/officeDocument/2006/relationships/hyperlink" Target="https://iopscience.iop.org/article/10.1088/1741-4326/ae7738" TargetMode="External"/><Relationship Id="rId241" Type="http://schemas.openxmlformats.org/officeDocument/2006/relationships/hyperlink" Target="https://doi.org/10.1088/1741-4326/ae7738" TargetMode="External"/><Relationship Id="rId242" Type="http://schemas.openxmlformats.org/officeDocument/2006/relationships/hyperlink" Target="https://iopscience.iop.org/article/10.1088/1741-4326/ae8281" TargetMode="External"/><Relationship Id="rId243" Type="http://schemas.openxmlformats.org/officeDocument/2006/relationships/hyperlink" Target="https://doi.org/10.1088/1741-4326/ae8281" TargetMode="External"/><Relationship Id="rId244" Type="http://schemas.openxmlformats.org/officeDocument/2006/relationships/hyperlink" Target="https://iopscience.iop.org/article/10.1088/1741-4326/ae7f33" TargetMode="External"/><Relationship Id="rId245" Type="http://schemas.openxmlformats.org/officeDocument/2006/relationships/hyperlink" Target="https://doi.org/10.1088/1741-4326/ae7f33" TargetMode="External"/><Relationship Id="rId246" Type="http://schemas.openxmlformats.org/officeDocument/2006/relationships/hyperlink" Target="https://pubs.acs.org/doi/10.1021/acsami.6c10796" TargetMode="External"/><Relationship Id="rId247" Type="http://schemas.openxmlformats.org/officeDocument/2006/relationships/hyperlink" Target="https://doi.org/10.1021/acsami.6c10796" TargetMode="External"/><Relationship Id="rId248" Type="http://schemas.openxmlformats.org/officeDocument/2006/relationships/hyperlink" Target="http://link.aps.org/doi/10.1103/yvn5-v3qq" TargetMode="External"/><Relationship Id="rId249" Type="http://schemas.openxmlformats.org/officeDocument/2006/relationships/hyperlink" Target="https://doi.org/10.1103/yvn5-v3qq" TargetMode="External"/><Relationship Id="rId250" Type="http://schemas.openxmlformats.org/officeDocument/2006/relationships/hyperlink" Target="https://iopscience.iop.org/article/10.1088/1741-4326/ae7e03" TargetMode="External"/><Relationship Id="rId251" Type="http://schemas.openxmlformats.org/officeDocument/2006/relationships/hyperlink" Target="https://doi.org/10.1088/1741-4326/ae7e03" TargetMode="External"/><Relationship Id="rId252" Type="http://schemas.openxmlformats.org/officeDocument/2006/relationships/hyperlink" Target="https://iopscience.iop.org/article/10.1088/1741-4326/ae7616" TargetMode="External"/><Relationship Id="rId253" Type="http://schemas.openxmlformats.org/officeDocument/2006/relationships/hyperlink" Target="https://doi.org/10.1088/1741-4326/ae7616" TargetMode="External"/><Relationship Id="rId254" Type="http://schemas.openxmlformats.org/officeDocument/2006/relationships/hyperlink" Target="https://iopscience.iop.org/article/10.1088/1741-4326/ae80e3" TargetMode="External"/><Relationship Id="rId255" Type="http://schemas.openxmlformats.org/officeDocument/2006/relationships/hyperlink" Target="https://doi.org/10.1088/1741-4326/ae80e3" TargetMode="External"/><Relationship Id="rId256" Type="http://schemas.openxmlformats.org/officeDocument/2006/relationships/hyperlink" Target="https://iopscience.iop.org/article/10.1088/1741-4326/ae7f9b" TargetMode="External"/><Relationship Id="rId257" Type="http://schemas.openxmlformats.org/officeDocument/2006/relationships/hyperlink" Target="https://doi.org/10.1088/1741-4326/ae7f9b" TargetMode="External"/><Relationship Id="rId258" Type="http://schemas.openxmlformats.org/officeDocument/2006/relationships/hyperlink" Target="http://link.aps.org/doi/10.1103/qdgj-bqbz" TargetMode="External"/><Relationship Id="rId259" Type="http://schemas.openxmlformats.org/officeDocument/2006/relationships/hyperlink" Target="https://doi.org/10.1103/qdgj-bqbz" TargetMode="External"/><Relationship Id="rId260" Type="http://schemas.openxmlformats.org/officeDocument/2006/relationships/hyperlink" Target="http://link.aps.org/doi/10.1103/nd3p-yb9t" TargetMode="External"/><Relationship Id="rId261" Type="http://schemas.openxmlformats.org/officeDocument/2006/relationships/hyperlink" Target="https://doi.org/10.1103/nd3p-yb9t" TargetMode="External"/><Relationship Id="rId262" Type="http://schemas.openxmlformats.org/officeDocument/2006/relationships/hyperlink" Target="https://iopscience.iop.org/article/10.1088/1741-4326/ae8282" TargetMode="External"/><Relationship Id="rId263" Type="http://schemas.openxmlformats.org/officeDocument/2006/relationships/hyperlink" Target="https://doi.org/10.1088/1741-4326/ae8282" TargetMode="External"/><Relationship Id="rId264" Type="http://schemas.openxmlformats.org/officeDocument/2006/relationships/hyperlink" Target="https://iopscience.iop.org/article/10.1088/1741-4326/ae80e1" TargetMode="External"/><Relationship Id="rId265" Type="http://schemas.openxmlformats.org/officeDocument/2006/relationships/hyperlink" Target="https://doi.org/10.1088/1741-4326/ae80e1" TargetMode="External"/><Relationship Id="rId266" Type="http://schemas.openxmlformats.org/officeDocument/2006/relationships/hyperlink" Target="https://iopscience.iop.org/article/10.1088/1741-4326/ae823f" TargetMode="External"/><Relationship Id="rId267" Type="http://schemas.openxmlformats.org/officeDocument/2006/relationships/hyperlink" Target="https://doi.org/10.1088/1741-4326/ae823f" TargetMode="External"/><Relationship Id="rId268" Type="http://schemas.openxmlformats.org/officeDocument/2006/relationships/hyperlink" Target="https://iopscience.iop.org/article/10.1088/1741-4326/ae855c" TargetMode="External"/><Relationship Id="rId269" Type="http://schemas.openxmlformats.org/officeDocument/2006/relationships/hyperlink" Target="https://doi.org/10.1088/1741-4326/ae855c" TargetMode="External"/><Relationship Id="rId270" Type="http://schemas.openxmlformats.org/officeDocument/2006/relationships/hyperlink" Target="http://link.aps.org/doi/10.1103/m911-g6kc" TargetMode="External"/><Relationship Id="rId271" Type="http://schemas.openxmlformats.org/officeDocument/2006/relationships/hyperlink" Target="https://doi.org/10.1103/m911-g6kc" TargetMode="External"/><Relationship Id="rId272" Type="http://schemas.openxmlformats.org/officeDocument/2006/relationships/hyperlink" Target="http://link.aps.org/doi/10.1103/nt33-5z88" TargetMode="External"/><Relationship Id="rId273" Type="http://schemas.openxmlformats.org/officeDocument/2006/relationships/hyperlink" Target="https://doi.org/10.1103/nt33-5z88" TargetMode="External"/><Relationship Id="rId274" Type="http://schemas.openxmlformats.org/officeDocument/2006/relationships/hyperlink" Target="https://iopscience.iop.org/article/10.1088/1741-4326/ae8315" TargetMode="External"/><Relationship Id="rId275" Type="http://schemas.openxmlformats.org/officeDocument/2006/relationships/hyperlink" Target="https://doi.org/10.1088/1741-4326/ae8315" TargetMode="External"/><Relationship Id="rId276" Type="http://schemas.openxmlformats.org/officeDocument/2006/relationships/hyperlink" Target="https://iopscience.iop.org/article/10.1088/1741-4326/ae7f9c" TargetMode="External"/><Relationship Id="rId277" Type="http://schemas.openxmlformats.org/officeDocument/2006/relationships/hyperlink" Target="https://doi.org/10.1088/1741-4326/ae7f9c" TargetMode="External"/><Relationship Id="rId278" Type="http://schemas.openxmlformats.org/officeDocument/2006/relationships/hyperlink" Target="https://iopscience.iop.org/article/10.1088/1741-4326/ae7f9f" TargetMode="External"/><Relationship Id="rId279" Type="http://schemas.openxmlformats.org/officeDocument/2006/relationships/hyperlink" Target="https://doi.org/10.1088/1741-4326/ae7f9f" TargetMode="External"/><Relationship Id="rId280" Type="http://schemas.openxmlformats.org/officeDocument/2006/relationships/hyperlink" Target="https://iopscience.iop.org/article/10.1088/1741-4326/ae80e2" TargetMode="External"/><Relationship Id="rId281" Type="http://schemas.openxmlformats.org/officeDocument/2006/relationships/hyperlink" Target="https://doi.org/10.1088/1741-4326/ae80e2" TargetMode="External"/><Relationship Id="rId282" Type="http://schemas.openxmlformats.org/officeDocument/2006/relationships/hyperlink" Target="https://iopscience.iop.org/article/10.1088/1741-4326/ae80e5" TargetMode="External"/><Relationship Id="rId283" Type="http://schemas.openxmlformats.org/officeDocument/2006/relationships/hyperlink" Target="https://doi.org/10.1088/1741-4326/ae80e5" TargetMode="External"/><Relationship Id="rId284" Type="http://schemas.openxmlformats.org/officeDocument/2006/relationships/hyperlink" Target="https://iopscience.iop.org/article/10.1088/1741-4326/ae81c8" TargetMode="External"/><Relationship Id="rId285" Type="http://schemas.openxmlformats.org/officeDocument/2006/relationships/hyperlink" Target="https://doi.org/10.1088/1741-4326/ae81c8" TargetMode="External"/><Relationship Id="rId286" Type="http://schemas.openxmlformats.org/officeDocument/2006/relationships/hyperlink" Target="https://iopscience.iop.org/article/10.1088/1741-4326/ae8280" TargetMode="External"/><Relationship Id="rId287" Type="http://schemas.openxmlformats.org/officeDocument/2006/relationships/hyperlink" Target="https://doi.org/10.1088/1741-4326/ae8280" TargetMode="External"/><Relationship Id="rId288" Type="http://schemas.openxmlformats.org/officeDocument/2006/relationships/hyperlink" Target="https://iopscience.iop.org/article/10.1088/1741-4326/ae855e" TargetMode="External"/><Relationship Id="rId289" Type="http://schemas.openxmlformats.org/officeDocument/2006/relationships/hyperlink" Target="https://doi.org/10.1088/1741-4326/ae855e" TargetMode="External"/><Relationship Id="rId290" Type="http://schemas.openxmlformats.org/officeDocument/2006/relationships/hyperlink" Target="https://www.science.org/doi/abs/10.1126/science.aej2688?af=R" TargetMode="External"/><Relationship Id="rId291" Type="http://schemas.openxmlformats.org/officeDocument/2006/relationships/hyperlink" Target="https://doi.org/10.1126/science.aej2688" TargetMode="External"/><Relationship Id="rId292" Type="http://schemas.openxmlformats.org/officeDocument/2006/relationships/hyperlink" Target="https://www.science.org/doi/abs/10.1126/science.aea9413?af=R" TargetMode="External"/><Relationship Id="rId293" Type="http://schemas.openxmlformats.org/officeDocument/2006/relationships/hyperlink" Target="https://doi.org/10.1126/science.aea9413" TargetMode="External"/><Relationship Id="rId294" Type="http://schemas.openxmlformats.org/officeDocument/2006/relationships/hyperlink" Target="http://link.aps.org/doi/10.1103/b6df-fg97" TargetMode="External"/><Relationship Id="rId295" Type="http://schemas.openxmlformats.org/officeDocument/2006/relationships/hyperlink" Target="https://doi.org/10.1103/b6df-fg97" TargetMode="External"/><Relationship Id="rId296" Type="http://schemas.openxmlformats.org/officeDocument/2006/relationships/hyperlink" Target="https://www.sciencedirect.com/science/article/pii/S030142152600426X?dgcid=rss_sd_all" TargetMode="External"/><Relationship Id="rId297" Type="http://schemas.openxmlformats.org/officeDocument/2006/relationships/hyperlink" Target="https://pubs.acs.org/doi/10.1021/acsenergylett.6c01650" TargetMode="External"/><Relationship Id="rId298" Type="http://schemas.openxmlformats.org/officeDocument/2006/relationships/hyperlink" Target="https://doi.org/10.1021/acsenergylett.6c01650" TargetMode="External"/><Relationship Id="rId299" Type="http://schemas.openxmlformats.org/officeDocument/2006/relationships/hyperlink" Target="https://pubs.acs.org/doi/10.1021/jacs.6c07080" TargetMode="External"/><Relationship Id="rId300" Type="http://schemas.openxmlformats.org/officeDocument/2006/relationships/hyperlink" Target="https://doi.org/10.1021/jacs.6c07080" TargetMode="External"/><Relationship Id="rId301" Type="http://schemas.openxmlformats.org/officeDocument/2006/relationships/hyperlink" Target="https://www.sciencedirect.com/science/article/pii/S0306261926010330?dgcid=rss_sd_all" TargetMode="External"/><Relationship Id="rId302" Type="http://schemas.openxmlformats.org/officeDocument/2006/relationships/hyperlink" Target="https://www.sciencedirect.com/science/article/pii/S0306261926010020?dgcid=rss_sd_all" TargetMode="External"/><Relationship Id="rId303" Type="http://schemas.openxmlformats.org/officeDocument/2006/relationships/hyperlink" Target="https://www.sciencedirect.com/science/article/pii/S0306261926010081?dgcid=rss_sd_all" TargetMode="External"/><Relationship Id="rId304" Type="http://schemas.openxmlformats.org/officeDocument/2006/relationships/hyperlink" Target="https://www.sciencedirect.com/science/article/pii/S0306261926009979?dgcid=rss_sd_all" TargetMode="External"/><Relationship Id="rId305" Type="http://schemas.openxmlformats.org/officeDocument/2006/relationships/hyperlink" Target="https://www.sciencedirect.com/science/article/pii/S0306261926009712?dgcid=rss_sd_all" TargetMode="External"/><Relationship Id="rId306" Type="http://schemas.openxmlformats.org/officeDocument/2006/relationships/hyperlink" Target="https://www.sciencedirect.com/science/article/pii/S0306261926010123?dgcid=rss_sd_all" TargetMode="External"/><Relationship Id="rId307" Type="http://schemas.openxmlformats.org/officeDocument/2006/relationships/hyperlink" Target="https://www.sciencedirect.com/science/article/pii/S0306261926009001?dgcid=rss_sd_all" TargetMode="External"/><Relationship Id="rId308" Type="http://schemas.openxmlformats.org/officeDocument/2006/relationships/hyperlink" Target="https://pubs.acs.org/doi/10.1021/jacs.6c06408" TargetMode="External"/><Relationship Id="rId309" Type="http://schemas.openxmlformats.org/officeDocument/2006/relationships/hyperlink" Target="https://doi.org/10.1021/jacs.6c06408" TargetMode="External"/><Relationship Id="rId310" Type="http://schemas.openxmlformats.org/officeDocument/2006/relationships/hyperlink" Target="https://pubs.acs.org/doi/10.1021/acsami.6c04273" TargetMode="External"/><Relationship Id="rId311" Type="http://schemas.openxmlformats.org/officeDocument/2006/relationships/hyperlink" Target="https://doi.org/10.1021/acsami.6c04273" TargetMode="External"/><Relationship Id="rId312" Type="http://schemas.openxmlformats.org/officeDocument/2006/relationships/hyperlink" Target="https://pubs.acs.org/doi/10.1021/acsami.6c07261" TargetMode="External"/><Relationship Id="rId313" Type="http://schemas.openxmlformats.org/officeDocument/2006/relationships/hyperlink" Target="https://doi.org/10.1021/acsami.6c07261" TargetMode="External"/><Relationship Id="rId314" Type="http://schemas.openxmlformats.org/officeDocument/2006/relationships/hyperlink" Target="https://www.nature.com/articles/s41467-026-75396-9" TargetMode="External"/><Relationship Id="rId315" Type="http://schemas.openxmlformats.org/officeDocument/2006/relationships/hyperlink" Target="https://www.nature.com/articles/s41560-026-02119-1" TargetMode="External"/><Relationship Id="rId316" Type="http://schemas.openxmlformats.org/officeDocument/2006/relationships/hyperlink" Target="https://doi.org/10.1038/s41560-026-02119-1" TargetMode="External"/><Relationship Id="rId317" Type="http://schemas.openxmlformats.org/officeDocument/2006/relationships/hyperlink" Target="https://www.nature.com/articles/s41893-026-01894-9" TargetMode="External"/><Relationship Id="rId318" Type="http://schemas.openxmlformats.org/officeDocument/2006/relationships/hyperlink" Target="https://doi.org/10.1038/s41893-026-01894-9" TargetMode="External"/><Relationship Id="rId319" Type="http://schemas.openxmlformats.org/officeDocument/2006/relationships/hyperlink" Target="https://pubs.acs.org/doi/10.1021/jacs.6c06886" TargetMode="External"/><Relationship Id="rId320" Type="http://schemas.openxmlformats.org/officeDocument/2006/relationships/hyperlink" Target="https://doi.org/10.1021/jacs.6c06886" TargetMode="External"/><Relationship Id="rId321" Type="http://schemas.openxmlformats.org/officeDocument/2006/relationships/hyperlink" Target="https://www.sciencedirect.com/science/article/pii/S0306261926010895?dgcid=rss_sd_all" TargetMode="External"/><Relationship Id="rId322" Type="http://schemas.openxmlformats.org/officeDocument/2006/relationships/hyperlink" Target="https://www.sciencedirect.com/science/article/pii/S0306261926010780?dgcid=rss_sd_all" TargetMode="External"/><Relationship Id="rId323" Type="http://schemas.openxmlformats.org/officeDocument/2006/relationships/hyperlink" Target="https://pubs.acs.org/doi/10.1021/acsami.6c08087" TargetMode="External"/><Relationship Id="rId324" Type="http://schemas.openxmlformats.org/officeDocument/2006/relationships/hyperlink" Target="https://doi.org/10.1021/acsami.6c08087" TargetMode="External"/><Relationship Id="rId325" Type="http://schemas.openxmlformats.org/officeDocument/2006/relationships/hyperlink" Target="https://pubs.acs.org/doi/10.1021/acsami.6c07887" TargetMode="External"/><Relationship Id="rId326" Type="http://schemas.openxmlformats.org/officeDocument/2006/relationships/hyperlink" Target="https://doi.org/10.1021/acsami.6c07887" TargetMode="External"/><Relationship Id="rId327" Type="http://schemas.openxmlformats.org/officeDocument/2006/relationships/hyperlink" Target="https://www.sciencedirect.com/science/article/pii/S0306261926010068?dgcid=rss_sd_all" TargetMode="External"/><Relationship Id="rId328" Type="http://schemas.openxmlformats.org/officeDocument/2006/relationships/hyperlink" Target="https://www.nature.com/articles/s41586-026-10655-9" TargetMode="External"/><Relationship Id="rId329" Type="http://schemas.openxmlformats.org/officeDocument/2006/relationships/hyperlink" Target="https://doi.org/10.1038/s41586-026-10655-9" TargetMode="External"/><Relationship Id="rId330" Type="http://schemas.openxmlformats.org/officeDocument/2006/relationships/hyperlink" Target="https://pubs.acs.org/doi/10.1021/jacs.6c10106" TargetMode="External"/><Relationship Id="rId331" Type="http://schemas.openxmlformats.org/officeDocument/2006/relationships/hyperlink" Target="https://doi.org/10.1021/jacs.6c10106" TargetMode="External"/><Relationship Id="rId332" Type="http://schemas.openxmlformats.org/officeDocument/2006/relationships/hyperlink" Target="https://www.cell.com/one-earth/fulltext/S2590-3322(26)00174-0?rss=yes" TargetMode="External"/><Relationship Id="rId333" Type="http://schemas.openxmlformats.org/officeDocument/2006/relationships/hyperlink" Target="https://doi.org/10.1016/j.oneear.2026.101773" TargetMode="External"/><Relationship Id="rId334" Type="http://schemas.openxmlformats.org/officeDocument/2006/relationships/hyperlink" Target="https://www.sciencedirect.com/science/article/pii/S0306261926010408?dgcid=rss_sd_all" TargetMode="External"/><Relationship Id="rId335" Type="http://schemas.openxmlformats.org/officeDocument/2006/relationships/hyperlink" Target="https://www.nature.com/articles/s41467-026-75020-w" TargetMode="External"/><Relationship Id="rId336" Type="http://schemas.openxmlformats.org/officeDocument/2006/relationships/hyperlink" Target="https://www.nature.com/articles/s41467-026-75485-9" TargetMode="External"/><Relationship Id="rId337" Type="http://schemas.openxmlformats.org/officeDocument/2006/relationships/hyperlink" Target="https://www.science.org/doi/abs/10.1126/sciadv.aee8120?af=R" TargetMode="External"/><Relationship Id="rId338" Type="http://schemas.openxmlformats.org/officeDocument/2006/relationships/hyperlink" Target="https://doi.org/10.1126/sciadv.aee8120" TargetMode="External"/><Relationship Id="rId339" Type="http://schemas.openxmlformats.org/officeDocument/2006/relationships/hyperlink" Target="https://advanced.onlinelibrary.wiley.com/doi/10.1002/adma.74017?af=R" TargetMode="External"/><Relationship Id="rId340" Type="http://schemas.openxmlformats.org/officeDocument/2006/relationships/hyperlink" Target="https://doi.org/10.1002/adma.74017" TargetMode="External"/><Relationship Id="rId341" Type="http://schemas.openxmlformats.org/officeDocument/2006/relationships/hyperlink" Target="https://advanced.onlinelibrary.wiley.com/doi/10.1002/aenm.71307?af=R" TargetMode="External"/><Relationship Id="rId342" Type="http://schemas.openxmlformats.org/officeDocument/2006/relationships/hyperlink" Target="https://doi.org/10.1002/aenm.71307" TargetMode="External"/><Relationship Id="rId343" Type="http://schemas.openxmlformats.org/officeDocument/2006/relationships/hyperlink" Target="https://advanced.onlinelibrary.wiley.com/doi/10.1002/adma.74062?af=R" TargetMode="External"/><Relationship Id="rId344" Type="http://schemas.openxmlformats.org/officeDocument/2006/relationships/hyperlink" Target="https://doi.org/10.1002/adma.74062" TargetMode="External"/><Relationship Id="rId345" Type="http://schemas.openxmlformats.org/officeDocument/2006/relationships/hyperlink" Target="https://advanced.onlinelibrary.wiley.com/doi/10.1002/adma.74091?af=R" TargetMode="External"/><Relationship Id="rId346" Type="http://schemas.openxmlformats.org/officeDocument/2006/relationships/hyperlink" Target="https://doi.org/10.1002/adma.74091" TargetMode="External"/><Relationship Id="rId347" Type="http://schemas.openxmlformats.org/officeDocument/2006/relationships/hyperlink" Target="https://onlinelibrary.wiley.com/doi/10.1002/anie.5599112?af=R" TargetMode="External"/><Relationship Id="rId348" Type="http://schemas.openxmlformats.org/officeDocument/2006/relationships/hyperlink" Target="https://doi.org/10.1002/anie.5599112" TargetMode="External"/><Relationship Id="rId349" Type="http://schemas.openxmlformats.org/officeDocument/2006/relationships/hyperlink" Target="https://onlinelibrary.wiley.com/doi/10.1002/anie.6989052?af=R" TargetMode="External"/><Relationship Id="rId350" Type="http://schemas.openxmlformats.org/officeDocument/2006/relationships/hyperlink" Target="https://doi.org/10.1002/anie.6989052" TargetMode="External"/><Relationship Id="rId351" Type="http://schemas.openxmlformats.org/officeDocument/2006/relationships/hyperlink" Target="https://onlinelibrary.wiley.com/doi/10.1002/anie.6076689?af=R" TargetMode="External"/><Relationship Id="rId352" Type="http://schemas.openxmlformats.org/officeDocument/2006/relationships/hyperlink" Target="https://doi.org/10.1002/anie.6076689" TargetMode="External"/><Relationship Id="rId353" Type="http://schemas.openxmlformats.org/officeDocument/2006/relationships/hyperlink" Target="https://pubs.acs.org/doi/10.1021/jacs.6c05625" TargetMode="External"/><Relationship Id="rId354" Type="http://schemas.openxmlformats.org/officeDocument/2006/relationships/hyperlink" Target="https://doi.org/10.1021/jacs.6c05625" TargetMode="External"/><Relationship Id="rId355" Type="http://schemas.openxmlformats.org/officeDocument/2006/relationships/hyperlink" Target="https://www.cell.com/joule/fulltext/S2542-4351(26)00258-8?rss=yes" TargetMode="External"/><Relationship Id="rId356" Type="http://schemas.openxmlformats.org/officeDocument/2006/relationships/hyperlink" Target="https://doi.org/10.1016/j.joule.2026.102574" TargetMode="External"/><Relationship Id="rId357" Type="http://schemas.openxmlformats.org/officeDocument/2006/relationships/hyperlink" Target="https://www.sciencedirect.com/science/article/pii/S0306261926010548?dgcid=rss_sd_all" TargetMode="External"/><Relationship Id="rId358" Type="http://schemas.openxmlformats.org/officeDocument/2006/relationships/hyperlink" Target="https://www.sciencedirect.com/science/article/pii/S0306261926011141?dgcid=rss_sd_all" TargetMode="External"/><Relationship Id="rId359" Type="http://schemas.openxmlformats.org/officeDocument/2006/relationships/hyperlink" Target="https://www.sciencedirect.com/science/article/pii/S0306261926010834?dgcid=rss_sd_all" TargetMode="External"/><Relationship Id="rId360" Type="http://schemas.openxmlformats.org/officeDocument/2006/relationships/hyperlink" Target="https://www.sciencedirect.com/science/article/pii/S0306261926010019?dgcid=rss_sd_all" TargetMode="External"/><Relationship Id="rId361" Type="http://schemas.openxmlformats.org/officeDocument/2006/relationships/hyperlink" Target="https://www.sciencedirect.com/science/article/pii/S0306261926010524?dgcid=rss_sd_all" TargetMode="External"/><Relationship Id="rId362" Type="http://schemas.openxmlformats.org/officeDocument/2006/relationships/hyperlink" Target="https://www.nature.com/articles/s41467-026-72045-z" TargetMode="External"/><Relationship Id="rId363" Type="http://schemas.openxmlformats.org/officeDocument/2006/relationships/hyperlink" Target="https://pubs.acs.org/doi/10.1021/acsami.6c07595" TargetMode="External"/><Relationship Id="rId364" Type="http://schemas.openxmlformats.org/officeDocument/2006/relationships/hyperlink" Target="https://doi.org/10.1021/acsami.6c07595" TargetMode="External"/><Relationship Id="rId365" Type="http://schemas.openxmlformats.org/officeDocument/2006/relationships/hyperlink" Target="https://advanced.onlinelibrary.wiley.com/doi/10.1002/adma.74144?af=R" TargetMode="External"/><Relationship Id="rId366" Type="http://schemas.openxmlformats.org/officeDocument/2006/relationships/hyperlink" Target="https://doi.org/10.1002/adma.74144" TargetMode="External"/><Relationship Id="rId367" Type="http://schemas.openxmlformats.org/officeDocument/2006/relationships/hyperlink" Target="https://academic.oup.com/nsr/advance-article/doi/10.1093/nsr/nwag427/8732565?rss=1" TargetMode="External"/><Relationship Id="rId368" Type="http://schemas.openxmlformats.org/officeDocument/2006/relationships/hyperlink" Target="https://doi.org/10.1093/nsr/nwag427" TargetMode="External"/><Relationship Id="rId369" Type="http://schemas.openxmlformats.org/officeDocument/2006/relationships/hyperlink" Target="https://www.sciencedirect.com/science/article/pii/S030626192600992X?dgcid=rss_sd_all" TargetMode="External"/><Relationship Id="rId370" Type="http://schemas.openxmlformats.org/officeDocument/2006/relationships/hyperlink" Target="https://www.sciencedirect.com/science/article/pii/S0306261926010147?dgcid=rss_sd_all" TargetMode="External"/><Relationship Id="rId371" Type="http://schemas.openxmlformats.org/officeDocument/2006/relationships/hyperlink" Target="https://academic.oup.com/nsr/advance-article/doi/10.1093/nsr/nwag434/8733283?rss=1" TargetMode="External"/><Relationship Id="rId372" Type="http://schemas.openxmlformats.org/officeDocument/2006/relationships/hyperlink" Target="https://doi.org/10.1093/nsr/nwag434" TargetMode="External"/><Relationship Id="rId373" Type="http://schemas.openxmlformats.org/officeDocument/2006/relationships/hyperlink" Target="https://www.nature.com/articles/s41560-026-02107-5" TargetMode="External"/><Relationship Id="rId374" Type="http://schemas.openxmlformats.org/officeDocument/2006/relationships/hyperlink" Target="https://doi.org/10.1038/s41560-026-02107-5" TargetMode="External"/><Relationship Id="rId375" Type="http://schemas.openxmlformats.org/officeDocument/2006/relationships/hyperlink" Target="https://www.nature.com/articles/s41893-026-01897-6" TargetMode="External"/><Relationship Id="rId376" Type="http://schemas.openxmlformats.org/officeDocument/2006/relationships/hyperlink" Target="https://doi.org/10.1038/s41893-026-01897-6" TargetMode="External"/><Relationship Id="rId377" Type="http://schemas.openxmlformats.org/officeDocument/2006/relationships/hyperlink" Target="https://www.sciencedirect.com/science/article/pii/S0306261926010305?dgcid=rss_sd_all" TargetMode="External"/><Relationship Id="rId378" Type="http://schemas.openxmlformats.org/officeDocument/2006/relationships/hyperlink" Target="https://www.sciencedirect.com/science/article/pii/S030626192601055X?dgcid=rss_sd_all" TargetMode="External"/><Relationship Id="rId379" Type="http://schemas.openxmlformats.org/officeDocument/2006/relationships/hyperlink" Target="https://www.sciencedirect.com/science/article/pii/S0306261926010329?dgcid=rss_sd_all" TargetMode="External"/><Relationship Id="rId380" Type="http://schemas.openxmlformats.org/officeDocument/2006/relationships/hyperlink" Target="https://pubs.acs.org/doi/10.1021/acsami.6c09579" TargetMode="External"/><Relationship Id="rId381" Type="http://schemas.openxmlformats.org/officeDocument/2006/relationships/hyperlink" Target="https://doi.org/10.1021/acsami.6c09579" TargetMode="External"/><Relationship Id="rId382" Type="http://schemas.openxmlformats.org/officeDocument/2006/relationships/hyperlink" Target="https://www.sciencedirect.com/science/article/pii/S030626192601010X?dgcid=rss_sd_all" TargetMode="External"/><Relationship Id="rId383" Type="http://schemas.openxmlformats.org/officeDocument/2006/relationships/hyperlink" Target="https://www.nature.com/articles/s41467-026-75541-4" TargetMode="External"/><Relationship Id="rId384" Type="http://schemas.openxmlformats.org/officeDocument/2006/relationships/hyperlink" Target="https://www.nature.com/articles/s41586-026-10760-9" TargetMode="External"/><Relationship Id="rId385" Type="http://schemas.openxmlformats.org/officeDocument/2006/relationships/hyperlink" Target="https://doi.org/10.1038/s41586-026-10760-9" TargetMode="External"/><Relationship Id="rId386" Type="http://schemas.openxmlformats.org/officeDocument/2006/relationships/hyperlink" Target="https://www.nature.com/articles/s41467-026-75606-4" TargetMode="External"/><Relationship Id="rId387" Type="http://schemas.openxmlformats.org/officeDocument/2006/relationships/hyperlink" Target="https://www.sciencedirect.com/science/article/pii/S0306261926010378?dgcid=rss_sd_all" TargetMode="External"/><Relationship Id="rId388" Type="http://schemas.openxmlformats.org/officeDocument/2006/relationships/hyperlink" Target="https://www.sciencedirect.com/science/article/pii/S030626192601038X?dgcid=rss_sd_all" TargetMode="External"/><Relationship Id="rId389" Type="http://schemas.openxmlformats.org/officeDocument/2006/relationships/hyperlink" Target="https://pubs.acs.org/doi/10.1021/jacs.6c06892" TargetMode="External"/><Relationship Id="rId390" Type="http://schemas.openxmlformats.org/officeDocument/2006/relationships/hyperlink" Target="https://doi.org/10.1021/jacs.6c06892" TargetMode="External"/><Relationship Id="rId391" Type="http://schemas.openxmlformats.org/officeDocument/2006/relationships/hyperlink" Target="https://www.sciencedirect.com/science/article/pii/S0306261926010706?dgcid=rss_sd_all" TargetMode="External"/><Relationship Id="rId392" Type="http://schemas.openxmlformats.org/officeDocument/2006/relationships/hyperlink" Target="https://pubs.acs.org/doi/10.1021/jacs.6c05337" TargetMode="External"/><Relationship Id="rId393" Type="http://schemas.openxmlformats.org/officeDocument/2006/relationships/hyperlink" Target="https://doi.org/10.1021/jacs.6c05337" TargetMode="External"/><Relationship Id="rId394" Type="http://schemas.openxmlformats.org/officeDocument/2006/relationships/hyperlink" Target="https://pubs.acs.org/doi/10.1021/jacs.6c09300" TargetMode="External"/><Relationship Id="rId395" Type="http://schemas.openxmlformats.org/officeDocument/2006/relationships/hyperlink" Target="https://doi.org/10.1021/jacs.6c09300" TargetMode="External"/><Relationship Id="rId396" Type="http://schemas.openxmlformats.org/officeDocument/2006/relationships/hyperlink" Target="https://pubs.acs.org/doi/10.1021/jacs.6c08665" TargetMode="External"/><Relationship Id="rId397" Type="http://schemas.openxmlformats.org/officeDocument/2006/relationships/hyperlink" Target="https://doi.org/10.1021/jacs.6c08665" TargetMode="External"/><Relationship Id="rId398" Type="http://schemas.openxmlformats.org/officeDocument/2006/relationships/hyperlink" Target="https://www.sciencedirect.com/science/article/pii/S0306261926010676?dgcid=rss_sd_all" TargetMode="External"/><Relationship Id="rId399" Type="http://schemas.openxmlformats.org/officeDocument/2006/relationships/hyperlink" Target="https://academic.oup.com/nsr/advance-article/doi/10.1093/nsr/nwag440/8735825?rss=1" TargetMode="External"/><Relationship Id="rId400" Type="http://schemas.openxmlformats.org/officeDocument/2006/relationships/hyperlink" Target="https://doi.org/10.1093/nsr/nwag440" TargetMode="External"/><Relationship Id="rId401" Type="http://schemas.openxmlformats.org/officeDocument/2006/relationships/hyperlink" Target="https://pubs.acs.org/doi/10.1021/acsami.6c04694" TargetMode="External"/><Relationship Id="rId402" Type="http://schemas.openxmlformats.org/officeDocument/2006/relationships/hyperlink" Target="https://doi.org/10.1021/acsami.6c04694" TargetMode="External"/><Relationship Id="rId403" Type="http://schemas.openxmlformats.org/officeDocument/2006/relationships/hyperlink" Target="https://www.nature.com/articles/s41467-026-73612-0" TargetMode="External"/><Relationship Id="rId404" Type="http://schemas.openxmlformats.org/officeDocument/2006/relationships/hyperlink" Target="https://pubs.acs.org/doi/10.1021/jacs.6c05664" TargetMode="External"/><Relationship Id="rId405" Type="http://schemas.openxmlformats.org/officeDocument/2006/relationships/hyperlink" Target="https://doi.org/10.1021/jacs.6c05664" TargetMode="External"/><Relationship Id="rId406" Type="http://schemas.openxmlformats.org/officeDocument/2006/relationships/hyperlink" Target="https://www.nature.com/articles/s41467-026-75384-z" TargetMode="External"/><Relationship Id="rId407" Type="http://schemas.openxmlformats.org/officeDocument/2006/relationships/hyperlink" Target="https://www.sciencedirect.com/science/article/pii/S0306261926009992?dgcid=rss_sd_all" TargetMode="External"/><Relationship Id="rId408" Type="http://schemas.openxmlformats.org/officeDocument/2006/relationships/hyperlink" Target="https://pubs.acs.org/doi/10.1021/jacs.6c12060" TargetMode="External"/><Relationship Id="rId409" Type="http://schemas.openxmlformats.org/officeDocument/2006/relationships/hyperlink" Target="https://doi.org/10.1021/jacs.6c12060" TargetMode="External"/><Relationship Id="rId410" Type="http://schemas.openxmlformats.org/officeDocument/2006/relationships/hyperlink" Target="https://pubs.acs.org/doi/10.1021/jacs.6c03192" TargetMode="External"/><Relationship Id="rId411" Type="http://schemas.openxmlformats.org/officeDocument/2006/relationships/hyperlink" Target="https://doi.org/10.1021/jacs.6c03192" TargetMode="External"/><Relationship Id="rId412" Type="http://schemas.openxmlformats.org/officeDocument/2006/relationships/hyperlink" Target="https://pubs.acs.org/doi/10.1021/acsami.6c08242" TargetMode="External"/><Relationship Id="rId413" Type="http://schemas.openxmlformats.org/officeDocument/2006/relationships/hyperlink" Target="https://doi.org/10.1021/acsami.6c08242" TargetMode="External"/><Relationship Id="rId414" Type="http://schemas.openxmlformats.org/officeDocument/2006/relationships/hyperlink" Target="https://www.nature.com/articles/s41467-026-75519-2" TargetMode="External"/><Relationship Id="rId415" Type="http://schemas.openxmlformats.org/officeDocument/2006/relationships/hyperlink" Target="https://www.nature.com/articles/s41467-026-75536-1" TargetMode="External"/><Relationship Id="rId416" Type="http://schemas.openxmlformats.org/officeDocument/2006/relationships/hyperlink" Target="https://pubs.acs.org/doi/10.1021/jacs.6c11182" TargetMode="External"/><Relationship Id="rId417" Type="http://schemas.openxmlformats.org/officeDocument/2006/relationships/hyperlink" Target="https://doi.org/10.1021/jacs.6c11182" TargetMode="External"/><Relationship Id="rId418" Type="http://schemas.openxmlformats.org/officeDocument/2006/relationships/hyperlink" Target="https://pubs.acs.org/doi/10.1021/jacs.6c08157" TargetMode="External"/><Relationship Id="rId419" Type="http://schemas.openxmlformats.org/officeDocument/2006/relationships/hyperlink" Target="https://doi.org/10.1021/jacs.6c08157" TargetMode="External"/><Relationship Id="rId420" Type="http://schemas.openxmlformats.org/officeDocument/2006/relationships/hyperlink" Target="https://pubs.acs.org/doi/10.1021/acsami.6c03478" TargetMode="External"/><Relationship Id="rId421" Type="http://schemas.openxmlformats.org/officeDocument/2006/relationships/hyperlink" Target="https://doi.org/10.1021/acsami.6c03478" TargetMode="External"/><Relationship Id="rId422" Type="http://schemas.openxmlformats.org/officeDocument/2006/relationships/hyperlink" Target="https://onlinelibrary.wiley.com/doi/10.1002/anie.1716945?af=R" TargetMode="External"/><Relationship Id="rId423" Type="http://schemas.openxmlformats.org/officeDocument/2006/relationships/hyperlink" Target="https://doi.org/10.1002/anie.1716945" TargetMode="External"/><Relationship Id="rId424" Type="http://schemas.openxmlformats.org/officeDocument/2006/relationships/hyperlink" Target="https://onlinelibrary.wiley.com/doi/10.1002/anie.8317143?af=R" TargetMode="External"/><Relationship Id="rId425" Type="http://schemas.openxmlformats.org/officeDocument/2006/relationships/hyperlink" Target="https://doi.org/10.1002/anie.8317143" TargetMode="External"/><Relationship Id="rId426" Type="http://schemas.openxmlformats.org/officeDocument/2006/relationships/hyperlink" Target="https://pubs.acs.org/doi/10.1021/acsenergylett.6c01341" TargetMode="External"/><Relationship Id="rId427" Type="http://schemas.openxmlformats.org/officeDocument/2006/relationships/hyperlink" Target="https://doi.org/10.1021/acsenergylett.6c01341" TargetMode="External"/><Relationship Id="rId428" Type="http://schemas.openxmlformats.org/officeDocument/2006/relationships/hyperlink" Target="https://pubs.acs.org/doi/10.1021/acsami.6c03703" TargetMode="External"/><Relationship Id="rId429" Type="http://schemas.openxmlformats.org/officeDocument/2006/relationships/hyperlink" Target="https://doi.org/10.1021/acsami.6c03703" TargetMode="External"/><Relationship Id="rId430" Type="http://schemas.openxmlformats.org/officeDocument/2006/relationships/hyperlink" Target="https://www.nature.com/articles/s41467-026-75656-8" TargetMode="External"/><Relationship Id="rId431" Type="http://schemas.openxmlformats.org/officeDocument/2006/relationships/hyperlink" Target="https://www.science.org/doi/abs/10.1126/science.aei7769?af=R" TargetMode="External"/><Relationship Id="rId432" Type="http://schemas.openxmlformats.org/officeDocument/2006/relationships/hyperlink" Target="https://doi.org/10.1126/science.aei7769" TargetMode="External"/><Relationship Id="rId433" Type="http://schemas.openxmlformats.org/officeDocument/2006/relationships/hyperlink" Target="https://pubs.acs.org/doi/10.1021/jacs.6c00544" TargetMode="External"/><Relationship Id="rId434" Type="http://schemas.openxmlformats.org/officeDocument/2006/relationships/hyperlink" Target="https://doi.org/10.1021/jacs.6c00544" TargetMode="External"/><Relationship Id="rId435" Type="http://schemas.openxmlformats.org/officeDocument/2006/relationships/hyperlink" Target="https://www.nature.com/articles/s41586-026-10746-7" TargetMode="External"/><Relationship Id="rId436" Type="http://schemas.openxmlformats.org/officeDocument/2006/relationships/hyperlink" Target="https://doi.org/10.1038/s41586-026-10746-7" TargetMode="External"/><Relationship Id="rId437" Type="http://schemas.openxmlformats.org/officeDocument/2006/relationships/hyperlink" Target="https://pubs.acs.org/doi/10.1021/jacs.6c08119" TargetMode="External"/><Relationship Id="rId438" Type="http://schemas.openxmlformats.org/officeDocument/2006/relationships/hyperlink" Target="https://doi.org/10.1021/jacs.6c08119" TargetMode="External"/><Relationship Id="rId439" Type="http://schemas.openxmlformats.org/officeDocument/2006/relationships/hyperlink" Target="https://www.sciencedirect.com/science/article/pii/S0301421526004179?dgcid=rss_sd_all" TargetMode="External"/><Relationship Id="rId440" Type="http://schemas.openxmlformats.org/officeDocument/2006/relationships/hyperlink" Target="https://www.sciencedirect.com/science/article/pii/S0301421526004209?dgcid=rss_sd_all" TargetMode="External"/><Relationship Id="rId441" Type="http://schemas.openxmlformats.org/officeDocument/2006/relationships/hyperlink" Target="https://www.sciencedirect.com/science/article/pii/S0306261926010160?dgcid=rss_sd_all" TargetMode="External"/><Relationship Id="rId442" Type="http://schemas.openxmlformats.org/officeDocument/2006/relationships/hyperlink" Target="https://www.sciencedirect.com/science/article/pii/S0306261926010184?dgcid=rss_sd_all" TargetMode="External"/><Relationship Id="rId443" Type="http://schemas.openxmlformats.org/officeDocument/2006/relationships/hyperlink" Target="https://www.nature.com/articles/s41467-026-75532-5" TargetMode="External"/><Relationship Id="rId444" Type="http://schemas.openxmlformats.org/officeDocument/2006/relationships/hyperlink" Target="https://www.nature.com/articles/s41467-026-75286-0" TargetMode="External"/><Relationship Id="rId445" Type="http://schemas.openxmlformats.org/officeDocument/2006/relationships/hyperlink" Target="https://www.nature.com/articles/s41467-026-75430-w" TargetMode="External"/><Relationship Id="rId446" Type="http://schemas.openxmlformats.org/officeDocument/2006/relationships/hyperlink" Target="https://www.nature.com/articles/s41467-026-75379-w" TargetMode="External"/><Relationship Id="rId447" Type="http://schemas.openxmlformats.org/officeDocument/2006/relationships/hyperlink" Target="https://www.nature.com/articles/s41467-026-75521-8" TargetMode="External"/><Relationship Id="rId448" Type="http://schemas.openxmlformats.org/officeDocument/2006/relationships/hyperlink" Target="https://www.nature.com/articles/s41467-026-75262-8" TargetMode="External"/><Relationship Id="rId449" Type="http://schemas.openxmlformats.org/officeDocument/2006/relationships/hyperlink" Target="https://www.nature.com/articles/s41467-026-75296-y" TargetMode="External"/><Relationship Id="rId450" Type="http://schemas.openxmlformats.org/officeDocument/2006/relationships/hyperlink" Target="https://www.nature.com/articles/s41467-026-75270-8" TargetMode="External"/><Relationship Id="rId451" Type="http://schemas.openxmlformats.org/officeDocument/2006/relationships/hyperlink" Target="https://www.nature.com/articles/s41467-026-75043-3" TargetMode="External"/><Relationship Id="rId452" Type="http://schemas.openxmlformats.org/officeDocument/2006/relationships/hyperlink" Target="https://www.nature.com/articles/s41467-026-74715-4" TargetMode="External"/><Relationship Id="rId453" Type="http://schemas.openxmlformats.org/officeDocument/2006/relationships/hyperlink" Target="https://www.nature.com/articles/s41467-026-75289-x" TargetMode="External"/><Relationship Id="rId454" Type="http://schemas.openxmlformats.org/officeDocument/2006/relationships/hyperlink" Target="https://www.nature.com/articles/s41467-026-74713-6" TargetMode="External"/><Relationship Id="rId455" Type="http://schemas.openxmlformats.org/officeDocument/2006/relationships/hyperlink" Target="https://www.nature.com/articles/s41467-026-75428-4" TargetMode="External"/><Relationship Id="rId456" Type="http://schemas.openxmlformats.org/officeDocument/2006/relationships/hyperlink" Target="https://www.nature.com/articles/s41467-026-75207-1" TargetMode="External"/><Relationship Id="rId457" Type="http://schemas.openxmlformats.org/officeDocument/2006/relationships/hyperlink" Target="https://www.sciencedirect.com/science/article/pii/S0301421526004258?dgcid=rss_sd_all" TargetMode="External"/><Relationship Id="rId458" Type="http://schemas.openxmlformats.org/officeDocument/2006/relationships/hyperlink" Target="https://www.sciencedirect.com/science/article/pii/S0306261926010007?dgcid=rss_sd_all" TargetMode="External"/><Relationship Id="rId459" Type="http://schemas.openxmlformats.org/officeDocument/2006/relationships/hyperlink" Target="https://www.nature.com/articles/s41467-026-75380-3" TargetMode="External"/><Relationship Id="rId460" Type="http://schemas.openxmlformats.org/officeDocument/2006/relationships/hyperlink" Target="https://pubs.acs.org/doi/10.1021/jacs.6c04723" TargetMode="External"/><Relationship Id="rId461" Type="http://schemas.openxmlformats.org/officeDocument/2006/relationships/hyperlink" Target="https://doi.org/10.1021/jacs.6c04723" TargetMode="External"/><Relationship Id="rId462" Type="http://schemas.openxmlformats.org/officeDocument/2006/relationships/hyperlink" Target="https://pubs.acs.org/doi/10.1021/jacs.6c04253" TargetMode="External"/><Relationship Id="rId463" Type="http://schemas.openxmlformats.org/officeDocument/2006/relationships/hyperlink" Target="https://doi.org/10.1021/jacs.6c04253" TargetMode="External"/><Relationship Id="rId464" Type="http://schemas.openxmlformats.org/officeDocument/2006/relationships/hyperlink" Target="https://pubs.acs.org/doi/10.1021/jacs.6c09952" TargetMode="External"/><Relationship Id="rId465" Type="http://schemas.openxmlformats.org/officeDocument/2006/relationships/hyperlink" Target="https://doi.org/10.1021/jacs.6c09952" TargetMode="External"/><Relationship Id="rId466" Type="http://schemas.openxmlformats.org/officeDocument/2006/relationships/hyperlink" Target="https://pubs.acs.org/doi/10.1021/acsami.6c05085" TargetMode="External"/><Relationship Id="rId467" Type="http://schemas.openxmlformats.org/officeDocument/2006/relationships/hyperlink" Target="https://doi.org/10.1021/acsami.6c05085" TargetMode="External"/><Relationship Id="rId468" Type="http://schemas.openxmlformats.org/officeDocument/2006/relationships/hyperlink" Target="https://academic.oup.com/nsr/advance-article/doi/10.1093/nsr/nwag426/8732568?rss=1" TargetMode="External"/><Relationship Id="rId469" Type="http://schemas.openxmlformats.org/officeDocument/2006/relationships/hyperlink" Target="https://doi.org/10.1093/nsr/nwag426" TargetMode="External"/><Relationship Id="rId470" Type="http://schemas.openxmlformats.org/officeDocument/2006/relationships/hyperlink" Target="https://academic.oup.com/nsr/advance-article/doi/10.1093/nsr/nwag421/8732561?rss=1" TargetMode="External"/><Relationship Id="rId471" Type="http://schemas.openxmlformats.org/officeDocument/2006/relationships/hyperlink" Target="https://doi.org/10.1093/nsr/nwag421" TargetMode="External"/><Relationship Id="rId472" Type="http://schemas.openxmlformats.org/officeDocument/2006/relationships/hyperlink" Target="https://academic.oup.com/nsr/advance-article/doi/10.1093/nsr/nwag420/8732559?rss=1" TargetMode="External"/><Relationship Id="rId473" Type="http://schemas.openxmlformats.org/officeDocument/2006/relationships/hyperlink" Target="https://doi.org/10.1093/nsr/nwag420" TargetMode="External"/><Relationship Id="rId474" Type="http://schemas.openxmlformats.org/officeDocument/2006/relationships/hyperlink" Target="https://academic.oup.com/nsr/advance-article/doi/10.1093/nsr/nwag431/8732558?rss=1" TargetMode="External"/><Relationship Id="rId475" Type="http://schemas.openxmlformats.org/officeDocument/2006/relationships/hyperlink" Target="https://doi.org/10.1093/nsr/nwag431" TargetMode="External"/><Relationship Id="rId476" Type="http://schemas.openxmlformats.org/officeDocument/2006/relationships/hyperlink" Target="https://www.sciencedirect.com/science/article/pii/S0306261926010433?dgcid=rss_sd_all" TargetMode="External"/><Relationship Id="rId477" Type="http://schemas.openxmlformats.org/officeDocument/2006/relationships/hyperlink" Target="https://www.sciencedirect.com/science/article/pii/S0301421526004076?dgcid=rss_sd_all" TargetMode="External"/><Relationship Id="rId478" Type="http://schemas.openxmlformats.org/officeDocument/2006/relationships/hyperlink" Target="https://www.sciencedirect.com/science/article/pii/S0306261926010159?dgcid=rss_sd_all" TargetMode="External"/><Relationship Id="rId479" Type="http://schemas.openxmlformats.org/officeDocument/2006/relationships/hyperlink" Target="https://www.sciencedirect.com/science/article/pii/S0306261926009827?dgcid=rss_sd_all" TargetMode="External"/><Relationship Id="rId480" Type="http://schemas.openxmlformats.org/officeDocument/2006/relationships/hyperlink" Target="https://www.sciencedirect.com/science/article/pii/S0306261926009669?dgcid=rss_sd_all" TargetMode="External"/><Relationship Id="rId481" Type="http://schemas.openxmlformats.org/officeDocument/2006/relationships/hyperlink" Target="https://www.sciencedirect.com/science/article/pii/S030626192600989X?dgcid=rss_sd_all" TargetMode="External"/><Relationship Id="rId482" Type="http://schemas.openxmlformats.org/officeDocument/2006/relationships/hyperlink" Target="https://www.sciencedirect.com/science/article/pii/S0306261926010172?dgcid=rss_sd_all" TargetMode="External"/><Relationship Id="rId483" Type="http://schemas.openxmlformats.org/officeDocument/2006/relationships/hyperlink" Target="https://www.sciencedirect.com/science/article/pii/S0301421526004131?dgcid=rss_sd_all" TargetMode="External"/><Relationship Id="rId484" Type="http://schemas.openxmlformats.org/officeDocument/2006/relationships/hyperlink" Target="https://pubs.acs.org/doi/10.1021/acsami.6c08717" TargetMode="External"/><Relationship Id="rId485" Type="http://schemas.openxmlformats.org/officeDocument/2006/relationships/hyperlink" Target="https://doi.org/10.1021/acsami.6c08717" TargetMode="External"/><Relationship Id="rId486" Type="http://schemas.openxmlformats.org/officeDocument/2006/relationships/hyperlink" Target="https://pubs.acs.org/doi/10.1021/jacs.6c06550" TargetMode="External"/><Relationship Id="rId487" Type="http://schemas.openxmlformats.org/officeDocument/2006/relationships/hyperlink" Target="https://doi.org/10.1021/jacs.6c06550" TargetMode="External"/><Relationship Id="rId488" Type="http://schemas.openxmlformats.org/officeDocument/2006/relationships/hyperlink" Target="https://pubs.acs.org/doi/10.1021/jacs.6c07304" TargetMode="External"/><Relationship Id="rId489" Type="http://schemas.openxmlformats.org/officeDocument/2006/relationships/hyperlink" Target="https://doi.org/10.1021/jacs.6c07304" TargetMode="External"/><Relationship Id="rId490" Type="http://schemas.openxmlformats.org/officeDocument/2006/relationships/hyperlink" Target="https://www.sciencedirect.com/science/article/pii/S0306261926010056?dgcid=rss_sd_all" TargetMode="External"/><Relationship Id="rId491" Type="http://schemas.openxmlformats.org/officeDocument/2006/relationships/hyperlink" Target="https://www.sciencedirect.com/science/article/pii/S0306261926010299?dgcid=rss_sd_all" TargetMode="External"/><Relationship Id="rId492" Type="http://schemas.openxmlformats.org/officeDocument/2006/relationships/hyperlink" Target="https://www.sciencedirect.com/science/article/pii/S0301421526004222?dgcid=rss_sd_all" TargetMode="External"/><Relationship Id="rId493" Type="http://schemas.openxmlformats.org/officeDocument/2006/relationships/hyperlink" Target="https://www.nature.com/articles/s41586-026-10855-3" TargetMode="External"/><Relationship Id="rId494" Type="http://schemas.openxmlformats.org/officeDocument/2006/relationships/hyperlink" Target="https://doi.org/10.1038/s41586-026-10855-3" TargetMode="External"/><Relationship Id="rId495" Type="http://schemas.openxmlformats.org/officeDocument/2006/relationships/hyperlink" Target="https://www.nature.com/articles/d41586-026-02121-3" TargetMode="External"/><Relationship Id="rId496" Type="http://schemas.openxmlformats.org/officeDocument/2006/relationships/hyperlink" Target="https://doi.org/10.1038/d41586-026-02121-3" TargetMode="External"/><Relationship Id="rId497" Type="http://schemas.openxmlformats.org/officeDocument/2006/relationships/hyperlink" Target="https://www.nature.com/articles/d41586-026-02152-w" TargetMode="External"/><Relationship Id="rId498" Type="http://schemas.openxmlformats.org/officeDocument/2006/relationships/hyperlink" Target="https://doi.org/10.1038/d41586-026-02152-w" TargetMode="External"/><Relationship Id="rId499" Type="http://schemas.openxmlformats.org/officeDocument/2006/relationships/hyperlink" Target="https://www.nature.com/articles/d41586-026-01654-x" TargetMode="External"/><Relationship Id="rId500" Type="http://schemas.openxmlformats.org/officeDocument/2006/relationships/hyperlink" Target="https://doi.org/10.1038/d41586-026-01654-x" TargetMode="External"/><Relationship Id="rId501" Type="http://schemas.openxmlformats.org/officeDocument/2006/relationships/hyperlink" Target="https://pubs.acs.org/doi/10.1021/jacs.6c05374" TargetMode="External"/><Relationship Id="rId502" Type="http://schemas.openxmlformats.org/officeDocument/2006/relationships/hyperlink" Target="https://doi.org/10.1021/jacs.6c05374" TargetMode="External"/><Relationship Id="rId503" Type="http://schemas.openxmlformats.org/officeDocument/2006/relationships/hyperlink" Target="https://www.nature.com/articles/d41586-026-02153-9" TargetMode="External"/><Relationship Id="rId504" Type="http://schemas.openxmlformats.org/officeDocument/2006/relationships/hyperlink" Target="https://doi.org/10.1038/d41586-026-02153-9" TargetMode="External"/><Relationship Id="rId505" Type="http://schemas.openxmlformats.org/officeDocument/2006/relationships/hyperlink" Target="https://pubs.acs.org/doi/10.1021/jacs.6c10682" TargetMode="External"/><Relationship Id="rId506" Type="http://schemas.openxmlformats.org/officeDocument/2006/relationships/hyperlink" Target="https://doi.org/10.1021/jacs.6c10682" TargetMode="External"/><Relationship Id="rId507" Type="http://schemas.openxmlformats.org/officeDocument/2006/relationships/hyperlink" Target="https://www.nature.com/articles/d41586-026-01339-5" TargetMode="External"/><Relationship Id="rId508" Type="http://schemas.openxmlformats.org/officeDocument/2006/relationships/hyperlink" Target="https://doi.org/10.1038/d41586-026-01339-5" TargetMode="External"/><Relationship Id="rId509" Type="http://schemas.openxmlformats.org/officeDocument/2006/relationships/hyperlink" Target="https://pubs.acs.org/doi/10.1021/jacs.6c03827" TargetMode="External"/><Relationship Id="rId510" Type="http://schemas.openxmlformats.org/officeDocument/2006/relationships/hyperlink" Target="https://doi.org/10.1021/jacs.6c03827" TargetMode="External"/><Relationship Id="rId511" Type="http://schemas.openxmlformats.org/officeDocument/2006/relationships/hyperlink" Target="https://www.nature.com/articles/s44286-026-00419-7" TargetMode="External"/><Relationship Id="rId512" Type="http://schemas.openxmlformats.org/officeDocument/2006/relationships/hyperlink" Target="https://doi.org/10.1038/s44286-026-00419-7" TargetMode="External"/><Relationship Id="rId513" Type="http://schemas.openxmlformats.org/officeDocument/2006/relationships/hyperlink" Target="https://pubs.acs.org/doi/10.1021/jacs.6c07043" TargetMode="External"/><Relationship Id="rId514" Type="http://schemas.openxmlformats.org/officeDocument/2006/relationships/hyperlink" Target="https://doi.org/10.1021/jacs.6c07043" TargetMode="External"/><Relationship Id="rId515" Type="http://schemas.openxmlformats.org/officeDocument/2006/relationships/hyperlink" Target="https://www.nature.com/articles/s41563-026-02698-0" TargetMode="External"/><Relationship Id="rId516" Type="http://schemas.openxmlformats.org/officeDocument/2006/relationships/hyperlink" Target="https://doi.org/10.1038/s41563-026-02698-0" TargetMode="External"/><Relationship Id="rId517" Type="http://schemas.openxmlformats.org/officeDocument/2006/relationships/hyperlink" Target="https://www.nature.com/articles/s41467-026-74585-w" TargetMode="External"/><Relationship Id="rId518" Type="http://schemas.openxmlformats.org/officeDocument/2006/relationships/hyperlink" Target="https://www.nature.com/articles/s41467-026-74414-0" TargetMode="External"/><Relationship Id="rId519" Type="http://schemas.openxmlformats.org/officeDocument/2006/relationships/hyperlink" Target="https://www.nature.com/articles/s41467-026-75597-2" TargetMode="External"/><Relationship Id="rId520" Type="http://schemas.openxmlformats.org/officeDocument/2006/relationships/hyperlink" Target="https://www.nature.com/articles/s41467-026-74329-w" TargetMode="External"/><Relationship Id="rId521" Type="http://schemas.openxmlformats.org/officeDocument/2006/relationships/hyperlink" Target="https://www.nature.com/articles/s41467-026-75411-z" TargetMode="External"/><Relationship Id="rId522" Type="http://schemas.openxmlformats.org/officeDocument/2006/relationships/hyperlink" Target="https://www.nature.com/articles/s41467-026-75390-1" TargetMode="External"/><Relationship Id="rId523" Type="http://schemas.openxmlformats.org/officeDocument/2006/relationships/hyperlink" Target="https://www.nature.com/articles/s41467-026-75548-x" TargetMode="External"/><Relationship Id="rId524" Type="http://schemas.openxmlformats.org/officeDocument/2006/relationships/hyperlink" Target="https://www.nature.com/articles/s41467-026-75477-9" TargetMode="External"/><Relationship Id="rId525" Type="http://schemas.openxmlformats.org/officeDocument/2006/relationships/hyperlink" Target="https://www.nature.com/articles/s41467-026-75064-y" TargetMode="External"/><Relationship Id="rId526" Type="http://schemas.openxmlformats.org/officeDocument/2006/relationships/hyperlink" Target="https://pubs.acs.org/doi/10.1021/jacs.6c10799" TargetMode="External"/><Relationship Id="rId527" Type="http://schemas.openxmlformats.org/officeDocument/2006/relationships/hyperlink" Target="https://doi.org/10.1021/jacs.6c10799" TargetMode="External"/><Relationship Id="rId528" Type="http://schemas.openxmlformats.org/officeDocument/2006/relationships/hyperlink" Target="https://www.nature.com/articles/s41563-026-02700-9" TargetMode="External"/><Relationship Id="rId529" Type="http://schemas.openxmlformats.org/officeDocument/2006/relationships/hyperlink" Target="https://doi.org/10.1038/s41563-026-02700-9" TargetMode="External"/><Relationship Id="rId530" Type="http://schemas.openxmlformats.org/officeDocument/2006/relationships/hyperlink" Target="https://www.nature.com/articles/d41586-026-02173-5" TargetMode="External"/><Relationship Id="rId531" Type="http://schemas.openxmlformats.org/officeDocument/2006/relationships/hyperlink" Target="https://doi.org/10.1038/d41586-026-02173-5" TargetMode="External"/><Relationship Id="rId532" Type="http://schemas.openxmlformats.org/officeDocument/2006/relationships/hyperlink" Target="https://www.nature.com/articles/s41467-026-75323-y" TargetMode="External"/><Relationship Id="rId533" Type="http://schemas.openxmlformats.org/officeDocument/2006/relationships/hyperlink" Target="https://pubs.acs.org/doi/10.1021/acsami.6c09272" TargetMode="External"/><Relationship Id="rId534" Type="http://schemas.openxmlformats.org/officeDocument/2006/relationships/hyperlink" Target="https://doi.org/10.1021/acsami.6c09272" TargetMode="External"/><Relationship Id="rId535" Type="http://schemas.openxmlformats.org/officeDocument/2006/relationships/hyperlink" Target="https://www.nature.com/articles/d41586-026-02206-z" TargetMode="External"/><Relationship Id="rId536" Type="http://schemas.openxmlformats.org/officeDocument/2006/relationships/hyperlink" Target="https://doi.org/10.1038/d41586-026-02206-z" TargetMode="External"/><Relationship Id="rId537" Type="http://schemas.openxmlformats.org/officeDocument/2006/relationships/hyperlink" Target="https://www.sciencedirect.com/science/article/pii/S030626192601086X?dgcid=rss_sd_all" TargetMode="External"/><Relationship Id="rId538" Type="http://schemas.openxmlformats.org/officeDocument/2006/relationships/hyperlink" Target="https://www.sciencedirect.com/science/article/pii/S0306261926010627?dgcid=rss_sd_all" TargetMode="External"/><Relationship Id="rId539" Type="http://schemas.openxmlformats.org/officeDocument/2006/relationships/hyperlink" Target="https://pubs.acs.org/doi/10.1021/jacs.6c12260" TargetMode="External"/><Relationship Id="rId540" Type="http://schemas.openxmlformats.org/officeDocument/2006/relationships/hyperlink" Target="https://doi.org/10.1021/jacs.6c12260" TargetMode="External"/><Relationship Id="rId541" Type="http://schemas.openxmlformats.org/officeDocument/2006/relationships/hyperlink" Target="https://pubs.acs.org/doi/10.1021/jacs.6c10146" TargetMode="External"/><Relationship Id="rId542" Type="http://schemas.openxmlformats.org/officeDocument/2006/relationships/hyperlink" Target="https://doi.org/10.1021/jacs.6c10146" TargetMode="External"/><Relationship Id="rId543" Type="http://schemas.openxmlformats.org/officeDocument/2006/relationships/hyperlink" Target="https://pubs.acs.org/doi/10.1021/jacs.6c12385" TargetMode="External"/><Relationship Id="rId544" Type="http://schemas.openxmlformats.org/officeDocument/2006/relationships/hyperlink" Target="https://doi.org/10.1021/jacs.6c12385" TargetMode="External"/><Relationship Id="rId545" Type="http://schemas.openxmlformats.org/officeDocument/2006/relationships/hyperlink" Target="https://pubs.acs.org/doi/10.1021/jacs.6c08276" TargetMode="External"/><Relationship Id="rId546" Type="http://schemas.openxmlformats.org/officeDocument/2006/relationships/hyperlink" Target="https://doi.org/10.1021/jacs.6c08276" TargetMode="External"/><Relationship Id="rId547" Type="http://schemas.openxmlformats.org/officeDocument/2006/relationships/hyperlink" Target="https://pubs.acs.org/doi/10.1021/acsenergylett.6c01672" TargetMode="External"/><Relationship Id="rId548" Type="http://schemas.openxmlformats.org/officeDocument/2006/relationships/hyperlink" Target="https://doi.org/10.1021/acsenergylett.6c01672" TargetMode="External"/><Relationship Id="rId549" Type="http://schemas.openxmlformats.org/officeDocument/2006/relationships/hyperlink" Target="https://www.nature.com/articles/s41563-026-02673-9" TargetMode="External"/><Relationship Id="rId550" Type="http://schemas.openxmlformats.org/officeDocument/2006/relationships/hyperlink" Target="https://doi.org/10.1038/s41563-026-02673-9" TargetMode="External"/><Relationship Id="rId551" Type="http://schemas.openxmlformats.org/officeDocument/2006/relationships/hyperlink" Target="https://pubs.acs.org/doi/10.1021/jacs.6c05379" TargetMode="External"/><Relationship Id="rId552" Type="http://schemas.openxmlformats.org/officeDocument/2006/relationships/hyperlink" Target="https://doi.org/10.1021/jacs.6c05379" TargetMode="External"/><Relationship Id="rId553" Type="http://schemas.openxmlformats.org/officeDocument/2006/relationships/hyperlink" Target="https://pubs.acs.org/doi/10.1021/jacs.6c11300" TargetMode="External"/><Relationship Id="rId554" Type="http://schemas.openxmlformats.org/officeDocument/2006/relationships/hyperlink" Target="https://doi.org/10.1021/jacs.6c11300" TargetMode="External"/><Relationship Id="rId555" Type="http://schemas.openxmlformats.org/officeDocument/2006/relationships/hyperlink" Target="https://www.nature.com/articles/d41586-026-02151-x" TargetMode="External"/><Relationship Id="rId556" Type="http://schemas.openxmlformats.org/officeDocument/2006/relationships/hyperlink" Target="https://doi.org/10.1038/d41586-026-02151-x" TargetMode="External"/><Relationship Id="rId557" Type="http://schemas.openxmlformats.org/officeDocument/2006/relationships/hyperlink" Target="https://www.nature.com/articles/s41557-026-02206-6" TargetMode="External"/><Relationship Id="rId558" Type="http://schemas.openxmlformats.org/officeDocument/2006/relationships/hyperlink" Target="https://doi.org/10.1038/s41557-026-02206-6" TargetMode="External"/><Relationship Id="rId559" Type="http://schemas.openxmlformats.org/officeDocument/2006/relationships/hyperlink" Target="https://www.nature.com/articles/s41557-026-02213-7" TargetMode="External"/><Relationship Id="rId560" Type="http://schemas.openxmlformats.org/officeDocument/2006/relationships/hyperlink" Target="https://doi.org/10.1038/s41557-026-02213-7" TargetMode="External"/><Relationship Id="rId561" Type="http://schemas.openxmlformats.org/officeDocument/2006/relationships/hyperlink" Target="https://academic.oup.com/nsr/advance-article/doi/10.1093/nsr/nwag424/8733286?rss=1" TargetMode="External"/><Relationship Id="rId562" Type="http://schemas.openxmlformats.org/officeDocument/2006/relationships/hyperlink" Target="https://doi.org/10.1093/nsr/nwag424" TargetMode="External"/><Relationship Id="rId563" Type="http://schemas.openxmlformats.org/officeDocument/2006/relationships/hyperlink" Target="https://www.nature.com/articles/s41467-026-75351-8" TargetMode="External"/><Relationship Id="rId564" Type="http://schemas.openxmlformats.org/officeDocument/2006/relationships/hyperlink" Target="https://www.nature.com/articles/s41467-026-75531-6" TargetMode="External"/><Relationship Id="rId565" Type="http://schemas.openxmlformats.org/officeDocument/2006/relationships/hyperlink" Target="https://www.nature.com/articles/s41467-026-75495-7" TargetMode="External"/><Relationship Id="rId566" Type="http://schemas.openxmlformats.org/officeDocument/2006/relationships/hyperlink" Target="https://www.nature.com/articles/s41467-026-75438-2" TargetMode="External"/><Relationship Id="rId567" Type="http://schemas.openxmlformats.org/officeDocument/2006/relationships/hyperlink" Target="https://www.nature.com/articles/s41467-026-75370-5" TargetMode="External"/><Relationship Id="rId568" Type="http://schemas.openxmlformats.org/officeDocument/2006/relationships/hyperlink" Target="https://www.nature.com/articles/s41467-026-75591-8" TargetMode="External"/><Relationship Id="rId569" Type="http://schemas.openxmlformats.org/officeDocument/2006/relationships/hyperlink" Target="https://www.nature.com/articles/s41467-026-75468-w" TargetMode="External"/><Relationship Id="rId570" Type="http://schemas.openxmlformats.org/officeDocument/2006/relationships/hyperlink" Target="https://www.nature.com/articles/s41467-026-75222-2" TargetMode="External"/><Relationship Id="rId571" Type="http://schemas.openxmlformats.org/officeDocument/2006/relationships/hyperlink" Target="https://pubs.acs.org/doi/10.1021/acsami.6c04862" TargetMode="External"/><Relationship Id="rId572" Type="http://schemas.openxmlformats.org/officeDocument/2006/relationships/hyperlink" Target="https://doi.org/10.1021/acsami.6c04862" TargetMode="External"/><Relationship Id="rId573" Type="http://schemas.openxmlformats.org/officeDocument/2006/relationships/hyperlink" Target="https://pubs.acs.org/doi/10.1021/acsami.6c04735" TargetMode="External"/><Relationship Id="rId574" Type="http://schemas.openxmlformats.org/officeDocument/2006/relationships/hyperlink" Target="https://doi.org/10.1021/acsami.6c04735" TargetMode="External"/><Relationship Id="rId575" Type="http://schemas.openxmlformats.org/officeDocument/2006/relationships/hyperlink" Target="https://pubs.acs.org/doi/10.1021/acsami.6c06244" TargetMode="External"/><Relationship Id="rId576" Type="http://schemas.openxmlformats.org/officeDocument/2006/relationships/hyperlink" Target="https://doi.org/10.1021/acsami.6c06244" TargetMode="External"/><Relationship Id="rId577" Type="http://schemas.openxmlformats.org/officeDocument/2006/relationships/hyperlink" Target="https://pubs.acs.org/doi/10.1021/acsami.6c07966" TargetMode="External"/><Relationship Id="rId578" Type="http://schemas.openxmlformats.org/officeDocument/2006/relationships/hyperlink" Target="https://doi.org/10.1021/acsami.6c07966" TargetMode="External"/><Relationship Id="rId579" Type="http://schemas.openxmlformats.org/officeDocument/2006/relationships/hyperlink" Target="https://pubs.acs.org/doi/10.1021/acsami.6c05393" TargetMode="External"/><Relationship Id="rId580" Type="http://schemas.openxmlformats.org/officeDocument/2006/relationships/hyperlink" Target="https://doi.org/10.1021/acsami.6c05393" TargetMode="External"/><Relationship Id="rId581" Type="http://schemas.openxmlformats.org/officeDocument/2006/relationships/hyperlink" Target="https://www.nature.com/articles/s41467-026-75287-z" TargetMode="External"/><Relationship Id="rId582" Type="http://schemas.openxmlformats.org/officeDocument/2006/relationships/hyperlink" Target="https://www.nature.com/articles/s41467-026-75431-9" TargetMode="External"/><Relationship Id="rId583" Type="http://schemas.openxmlformats.org/officeDocument/2006/relationships/hyperlink" Target="https://pubs.acs.org/doi/10.1021/acsami.6c07329" TargetMode="External"/><Relationship Id="rId584" Type="http://schemas.openxmlformats.org/officeDocument/2006/relationships/hyperlink" Target="https://doi.org/10.1021/acsami.6c07329" TargetMode="External"/><Relationship Id="rId585" Type="http://schemas.openxmlformats.org/officeDocument/2006/relationships/hyperlink" Target="https://pubs.acs.org/doi/10.1021/acsami.6c08370" TargetMode="External"/><Relationship Id="rId586" Type="http://schemas.openxmlformats.org/officeDocument/2006/relationships/hyperlink" Target="https://doi.org/10.1021/acsami.6c08370" TargetMode="External"/><Relationship Id="rId587" Type="http://schemas.openxmlformats.org/officeDocument/2006/relationships/hyperlink" Target="https://pubs.acs.org/doi/10.1021/acsami.6c07069" TargetMode="External"/><Relationship Id="rId588" Type="http://schemas.openxmlformats.org/officeDocument/2006/relationships/hyperlink" Target="https://doi.org/10.1021/acsami.6c07069" TargetMode="External"/><Relationship Id="rId589" Type="http://schemas.openxmlformats.org/officeDocument/2006/relationships/hyperlink" Target="https://pubs.acs.org/doi/10.1021/acsami.6c08526" TargetMode="External"/><Relationship Id="rId590" Type="http://schemas.openxmlformats.org/officeDocument/2006/relationships/hyperlink" Target="https://doi.org/10.1021/acsami.6c08526" TargetMode="External"/><Relationship Id="rId591" Type="http://schemas.openxmlformats.org/officeDocument/2006/relationships/hyperlink" Target="https://pubs.acs.org/doi/10.1021/acsami.6c08029" TargetMode="External"/><Relationship Id="rId592" Type="http://schemas.openxmlformats.org/officeDocument/2006/relationships/hyperlink" Target="https://doi.org/10.1021/acsami.6c08029" TargetMode="External"/><Relationship Id="rId593" Type="http://schemas.openxmlformats.org/officeDocument/2006/relationships/hyperlink" Target="https://pubs.acs.org/doi/10.1021/acsami.6c08325" TargetMode="External"/><Relationship Id="rId594" Type="http://schemas.openxmlformats.org/officeDocument/2006/relationships/hyperlink" Target="https://doi.org/10.1021/acsami.6c08325" TargetMode="External"/><Relationship Id="rId595" Type="http://schemas.openxmlformats.org/officeDocument/2006/relationships/hyperlink" Target="https://pubs.acs.org/doi/10.1021/acsami.6c06092" TargetMode="External"/><Relationship Id="rId596" Type="http://schemas.openxmlformats.org/officeDocument/2006/relationships/hyperlink" Target="https://doi.org/10.1021/acsami.6c06092" TargetMode="External"/><Relationship Id="rId597" Type="http://schemas.openxmlformats.org/officeDocument/2006/relationships/hyperlink" Target="https://www.nature.com/articles/s41565-026-02223-z" TargetMode="External"/><Relationship Id="rId598" Type="http://schemas.openxmlformats.org/officeDocument/2006/relationships/hyperlink" Target="https://doi.org/10.1038/s41565-026-02223-z" TargetMode="External"/><Relationship Id="rId599" Type="http://schemas.openxmlformats.org/officeDocument/2006/relationships/hyperlink" Target="https://www.nature.com/articles/s41467-026-75445-3" TargetMode="External"/><Relationship Id="rId600" Type="http://schemas.openxmlformats.org/officeDocument/2006/relationships/hyperlink" Target="https://pubs.acs.org/doi/10.1021/acsami.6c07159" TargetMode="External"/><Relationship Id="rId601" Type="http://schemas.openxmlformats.org/officeDocument/2006/relationships/hyperlink" Target="https://doi.org/10.1021/acsami.6c07159" TargetMode="External"/><Relationship Id="rId602" Type="http://schemas.openxmlformats.org/officeDocument/2006/relationships/hyperlink" Target="https://www.nature.com/articles/s41467-026-75238-8" TargetMode="External"/><Relationship Id="rId603" Type="http://schemas.openxmlformats.org/officeDocument/2006/relationships/hyperlink" Target="https://www.nature.com/articles/s41467-026-75486-8" TargetMode="External"/><Relationship Id="rId604" Type="http://schemas.openxmlformats.org/officeDocument/2006/relationships/hyperlink" Target="https://www.nature.com/articles/s41467-026-75245-9" TargetMode="External"/><Relationship Id="rId605" Type="http://schemas.openxmlformats.org/officeDocument/2006/relationships/hyperlink" Target="https://www.nature.com/articles/s41467-026-75563-y" TargetMode="External"/><Relationship Id="rId606" Type="http://schemas.openxmlformats.org/officeDocument/2006/relationships/hyperlink" Target="https://www.nature.com/articles/s41467-026-74311-6" TargetMode="External"/><Relationship Id="rId607" Type="http://schemas.openxmlformats.org/officeDocument/2006/relationships/hyperlink" Target="https://www.nature.com/articles/s41467-026-75049-x" TargetMode="External"/><Relationship Id="rId608" Type="http://schemas.openxmlformats.org/officeDocument/2006/relationships/hyperlink" Target="https://www.nature.com/articles/s41467-026-75604-6" TargetMode="External"/><Relationship Id="rId609" Type="http://schemas.openxmlformats.org/officeDocument/2006/relationships/hyperlink" Target="https://www.nature.com/articles/s41467-026-75164-9" TargetMode="External"/><Relationship Id="rId610" Type="http://schemas.openxmlformats.org/officeDocument/2006/relationships/hyperlink" Target="https://www.nature.com/articles/s41467-026-75128-z" TargetMode="External"/><Relationship Id="rId611" Type="http://schemas.openxmlformats.org/officeDocument/2006/relationships/hyperlink" Target="https://www.nature.com/articles/s41467-026-75303-2" TargetMode="External"/><Relationship Id="rId612" Type="http://schemas.openxmlformats.org/officeDocument/2006/relationships/hyperlink" Target="https://www.nature.com/articles/s41467-026-75034-4" TargetMode="External"/><Relationship Id="rId613" Type="http://schemas.openxmlformats.org/officeDocument/2006/relationships/hyperlink" Target="https://www.nature.com/articles/s41467-026-75436-4" TargetMode="External"/><Relationship Id="rId614" Type="http://schemas.openxmlformats.org/officeDocument/2006/relationships/hyperlink" Target="https://www.nature.com/articles/s41467-026-72027-1" TargetMode="External"/><Relationship Id="rId615" Type="http://schemas.openxmlformats.org/officeDocument/2006/relationships/hyperlink" Target="https://www.nature.com/articles/s41467-026-75416-8" TargetMode="External"/><Relationship Id="rId616" Type="http://schemas.openxmlformats.org/officeDocument/2006/relationships/hyperlink" Target="https://www.nature.com/articles/s41467-026-74622-8" TargetMode="External"/><Relationship Id="rId617" Type="http://schemas.openxmlformats.org/officeDocument/2006/relationships/hyperlink" Target="https://www.nature.com/articles/s41467-026-75494-8" TargetMode="External"/><Relationship Id="rId618" Type="http://schemas.openxmlformats.org/officeDocument/2006/relationships/hyperlink" Target="https://www.nature.com/articles/s41467-026-75529-0" TargetMode="External"/><Relationship Id="rId619" Type="http://schemas.openxmlformats.org/officeDocument/2006/relationships/hyperlink" Target="https://www.nature.com/articles/s41467-026-75371-4" TargetMode="External"/><Relationship Id="rId620" Type="http://schemas.openxmlformats.org/officeDocument/2006/relationships/hyperlink" Target="https://www.nature.com/articles/s41467-026-74599-4" TargetMode="External"/><Relationship Id="rId621" Type="http://schemas.openxmlformats.org/officeDocument/2006/relationships/hyperlink" Target="https://www.nature.com/articles/s41467-026-75500-z" TargetMode="External"/><Relationship Id="rId622" Type="http://schemas.openxmlformats.org/officeDocument/2006/relationships/hyperlink" Target="https://www.nature.com/articles/s41467-026-73485-3" TargetMode="External"/><Relationship Id="rId623" Type="http://schemas.openxmlformats.org/officeDocument/2006/relationships/hyperlink" Target="https://www.nature.com/articles/s41467-026-75224-0" TargetMode="External"/><Relationship Id="rId624" Type="http://schemas.openxmlformats.org/officeDocument/2006/relationships/hyperlink" Target="https://www.nature.com/articles/s41467-026-75425-7" TargetMode="External"/><Relationship Id="rId625" Type="http://schemas.openxmlformats.org/officeDocument/2006/relationships/hyperlink" Target="https://www.nature.com/articles/s41467-026-74999-6" TargetMode="External"/><Relationship Id="rId626" Type="http://schemas.openxmlformats.org/officeDocument/2006/relationships/hyperlink" Target="https://www.nature.com/articles/s41467-026-74973-2" TargetMode="External"/><Relationship Id="rId627" Type="http://schemas.openxmlformats.org/officeDocument/2006/relationships/hyperlink" Target="https://www.nature.com/articles/s41467-026-75507-6" TargetMode="External"/><Relationship Id="rId628" Type="http://schemas.openxmlformats.org/officeDocument/2006/relationships/hyperlink" Target="https://www.pnas.org/doi/abs/10.1073/pnas.2612792123?mi=eymic2&amp;af=R&amp;access=on&amp;content=articlesChapters&amp;publication=pnas&amp;sortBy=Earliest&amp;target=default" TargetMode="External"/><Relationship Id="rId629" Type="http://schemas.openxmlformats.org/officeDocument/2006/relationships/hyperlink" Target="https://doi.org/10.1073/pnas.2612792123" TargetMode="External"/><Relationship Id="rId630" Type="http://schemas.openxmlformats.org/officeDocument/2006/relationships/hyperlink" Target="https://www.pnas.org/doi/abs/10.1073/pnas.2605179123?mi=eymic2&amp;af=R&amp;access=on&amp;content=articlesChapters&amp;publication=pnas&amp;sortBy=Earliest&amp;target=default" TargetMode="External"/><Relationship Id="rId631" Type="http://schemas.openxmlformats.org/officeDocument/2006/relationships/hyperlink" Target="https://doi.org/10.1073/pnas.2605179123" TargetMode="External"/><Relationship Id="rId632" Type="http://schemas.openxmlformats.org/officeDocument/2006/relationships/hyperlink" Target="https://www.pnas.org/doi/abs/10.1073/pnas.2604986123?mi=eymic2&amp;af=R&amp;access=on&amp;content=articlesChapters&amp;publication=pnas&amp;sortBy=Earliest&amp;target=default" TargetMode="External"/><Relationship Id="rId633" Type="http://schemas.openxmlformats.org/officeDocument/2006/relationships/hyperlink" Target="https://doi.org/10.1073/pnas.2604986123" TargetMode="External"/><Relationship Id="rId634" Type="http://schemas.openxmlformats.org/officeDocument/2006/relationships/hyperlink" Target="https://www.pnas.org/doi/abs/10.1073/pnas.2604558123?mi=eymic2&amp;af=R&amp;access=on&amp;content=articlesChapters&amp;publication=pnas&amp;sortBy=Earliest&amp;target=default" TargetMode="External"/><Relationship Id="rId635" Type="http://schemas.openxmlformats.org/officeDocument/2006/relationships/hyperlink" Target="https://doi.org/10.1073/pnas.2604558123" TargetMode="External"/><Relationship Id="rId636" Type="http://schemas.openxmlformats.org/officeDocument/2006/relationships/hyperlink" Target="https://www.pnas.org/doi/abs/10.1073/pnas.2602557123?mi=eymic2&amp;af=R&amp;access=on&amp;content=articlesChapters&amp;publication=pnas&amp;sortBy=Earliest&amp;target=default" TargetMode="External"/><Relationship Id="rId637" Type="http://schemas.openxmlformats.org/officeDocument/2006/relationships/hyperlink" Target="https://doi.org/10.1073/pnas.2602557123" TargetMode="External"/><Relationship Id="rId638" Type="http://schemas.openxmlformats.org/officeDocument/2006/relationships/hyperlink" Target="https://www.pnas.org/doi/abs/10.1073/pnas.2537479123?mi=eymic2&amp;af=R&amp;access=on&amp;content=articlesChapters&amp;publication=pnas&amp;sortBy=Earliest&amp;target=default" TargetMode="External"/><Relationship Id="rId639" Type="http://schemas.openxmlformats.org/officeDocument/2006/relationships/hyperlink" Target="https://doi.org/10.1073/pnas.2537479123" TargetMode="External"/><Relationship Id="rId640" Type="http://schemas.openxmlformats.org/officeDocument/2006/relationships/hyperlink" Target="https://www.pnas.org/doi/abs/10.1073/pnas.2601227123?mi=eymic2&amp;af=R&amp;access=on&amp;content=articlesChapters&amp;publication=pnas&amp;sortBy=Earliest&amp;target=default" TargetMode="External"/><Relationship Id="rId641" Type="http://schemas.openxmlformats.org/officeDocument/2006/relationships/hyperlink" Target="https://doi.org/10.1073/pnas.2601227123" TargetMode="External"/><Relationship Id="rId642" Type="http://schemas.openxmlformats.org/officeDocument/2006/relationships/hyperlink" Target="https://www.pnas.org/doi/abs/10.1073/pnas.2600339123?mi=eymic2&amp;af=R&amp;access=on&amp;content=articlesChapters&amp;publication=pnas&amp;sortBy=Earliest&amp;target=default" TargetMode="External"/><Relationship Id="rId643" Type="http://schemas.openxmlformats.org/officeDocument/2006/relationships/hyperlink" Target="https://doi.org/10.1073/pnas.2600339123" TargetMode="External"/><Relationship Id="rId644" Type="http://schemas.openxmlformats.org/officeDocument/2006/relationships/hyperlink" Target="https://www.pnas.org/doi/abs/10.1073/pnas.2537753123?mi=eymic2&amp;af=R&amp;access=on&amp;content=articlesChapters&amp;publication=pnas&amp;sortBy=Earliest&amp;target=default" TargetMode="External"/><Relationship Id="rId645" Type="http://schemas.openxmlformats.org/officeDocument/2006/relationships/hyperlink" Target="https://doi.org/10.1073/pnas.2537753123" TargetMode="External"/><Relationship Id="rId646" Type="http://schemas.openxmlformats.org/officeDocument/2006/relationships/hyperlink" Target="https://www.pnas.org/doi/abs/10.1073/pnas.2536535123?mi=eymic2&amp;af=R&amp;access=on&amp;content=articlesChapters&amp;publication=pnas&amp;sortBy=Earliest&amp;target=default" TargetMode="External"/><Relationship Id="rId647" Type="http://schemas.openxmlformats.org/officeDocument/2006/relationships/hyperlink" Target="https://doi.org/10.1073/pnas.2536535123" TargetMode="External"/><Relationship Id="rId648" Type="http://schemas.openxmlformats.org/officeDocument/2006/relationships/hyperlink" Target="https://www.pnas.org/doi/abs/10.1073/pnas.2614011123?mi=eymic2&amp;af=R&amp;access=on&amp;content=articlesChapters&amp;publication=pnas&amp;sortBy=Earliest&amp;target=default" TargetMode="External"/><Relationship Id="rId649" Type="http://schemas.openxmlformats.org/officeDocument/2006/relationships/hyperlink" Target="https://doi.org/10.1073/pnas.2614011123" TargetMode="External"/><Relationship Id="rId650" Type="http://schemas.openxmlformats.org/officeDocument/2006/relationships/hyperlink" Target="https://www.pnas.org/doi/abs/10.1073/pnas.2601232123?mi=eymic2&amp;af=R&amp;access=on&amp;content=articlesChapters&amp;publication=pnas&amp;sortBy=Earliest&amp;target=default" TargetMode="External"/><Relationship Id="rId651" Type="http://schemas.openxmlformats.org/officeDocument/2006/relationships/hyperlink" Target="https://doi.org/10.1073/pnas.2601232123" TargetMode="External"/><Relationship Id="rId652" Type="http://schemas.openxmlformats.org/officeDocument/2006/relationships/hyperlink" Target="https://www.pnas.org/doi/abs/10.1073/pnas.2614199123?mi=eymic2&amp;af=R&amp;access=on&amp;content=articlesChapters&amp;publication=pnas&amp;sortBy=Earliest&amp;target=default" TargetMode="External"/><Relationship Id="rId653" Type="http://schemas.openxmlformats.org/officeDocument/2006/relationships/hyperlink" Target="https://doi.org/10.1073/pnas.2614199123" TargetMode="External"/><Relationship Id="rId654" Type="http://schemas.openxmlformats.org/officeDocument/2006/relationships/hyperlink" Target="https://www.pnas.org/doi/abs/10.1073/pnas.2534315123?mi=eymic2&amp;af=R&amp;access=on&amp;content=articlesChapters&amp;publication=pnas&amp;sortBy=Earliest&amp;target=default" TargetMode="External"/><Relationship Id="rId655" Type="http://schemas.openxmlformats.org/officeDocument/2006/relationships/hyperlink" Target="https://doi.org/10.1073/pnas.2534315123" TargetMode="External"/><Relationship Id="rId656" Type="http://schemas.openxmlformats.org/officeDocument/2006/relationships/hyperlink" Target="https://www.pnas.org/doi/abs/10.1073/pnas.2615835123?mi=eymic2&amp;af=R&amp;access=on&amp;content=articlesChapters&amp;publication=pnas&amp;sortBy=Earliest&amp;target=default" TargetMode="External"/><Relationship Id="rId657" Type="http://schemas.openxmlformats.org/officeDocument/2006/relationships/hyperlink" Target="https://doi.org/10.1073/pnas.2615835123" TargetMode="External"/><Relationship Id="rId658" Type="http://schemas.openxmlformats.org/officeDocument/2006/relationships/hyperlink" Target="https://www.pnas.org/doi/abs/10.1073/pnas.2535317123?mi=eymic2&amp;af=R&amp;access=on&amp;content=articlesChapters&amp;publication=pnas&amp;sortBy=Earliest&amp;target=default" TargetMode="External"/><Relationship Id="rId659" Type="http://schemas.openxmlformats.org/officeDocument/2006/relationships/hyperlink" Target="https://doi.org/10.1073/pnas.2535317123" TargetMode="External"/><Relationship Id="rId660" Type="http://schemas.openxmlformats.org/officeDocument/2006/relationships/hyperlink" Target="https://www.pnas.org/doi/abs/10.1073/pnas.2511503123?mi=eymic2&amp;af=R&amp;access=on&amp;content=articlesChapters&amp;publication=pnas&amp;sortBy=Earliest&amp;target=default" TargetMode="External"/><Relationship Id="rId661" Type="http://schemas.openxmlformats.org/officeDocument/2006/relationships/hyperlink" Target="https://doi.org/10.1073/pnas.2511503123" TargetMode="External"/><Relationship Id="rId662" Type="http://schemas.openxmlformats.org/officeDocument/2006/relationships/hyperlink" Target="https://www.pnas.org/doi/abs/10.1073/pnas.2528874123?mi=eymic2&amp;af=R&amp;access=on&amp;content=articlesChapters&amp;publication=pnas&amp;sortBy=Earliest&amp;target=default" TargetMode="External"/><Relationship Id="rId663" Type="http://schemas.openxmlformats.org/officeDocument/2006/relationships/hyperlink" Target="https://doi.org/10.1073/pnas.2528874123" TargetMode="External"/><Relationship Id="rId664" Type="http://schemas.openxmlformats.org/officeDocument/2006/relationships/hyperlink" Target="https://www.pnas.org/doi/abs/10.1073/pnas.2533408123?mi=eymic2&amp;af=R&amp;access=on&amp;content=articlesChapters&amp;publication=pnas&amp;sortBy=Earliest&amp;target=default" TargetMode="External"/><Relationship Id="rId665" Type="http://schemas.openxmlformats.org/officeDocument/2006/relationships/hyperlink" Target="https://doi.org/10.1073/pnas.2533408123" TargetMode="External"/><Relationship Id="rId666" Type="http://schemas.openxmlformats.org/officeDocument/2006/relationships/hyperlink" Target="https://www.pnas.org/doi/abs/10.1073/pnas.2615226123?mi=eymic2&amp;af=R&amp;access=on&amp;content=articlesChapters&amp;publication=pnas&amp;sortBy=Earliest&amp;target=default" TargetMode="External"/><Relationship Id="rId667" Type="http://schemas.openxmlformats.org/officeDocument/2006/relationships/hyperlink" Target="https://doi.org/10.1073/pnas.2615226123" TargetMode="External"/><Relationship Id="rId668" Type="http://schemas.openxmlformats.org/officeDocument/2006/relationships/hyperlink" Target="https://www.pnas.org/doi/abs/10.1073/pnas.2617205123?mi=eymic2&amp;af=R&amp;access=on&amp;content=articlesChapters&amp;publication=pnas&amp;sortBy=Earliest&amp;target=default" TargetMode="External"/><Relationship Id="rId669" Type="http://schemas.openxmlformats.org/officeDocument/2006/relationships/hyperlink" Target="https://doi.org/10.1073/pnas.2617205123" TargetMode="External"/><Relationship Id="rId670" Type="http://schemas.openxmlformats.org/officeDocument/2006/relationships/hyperlink" Target="https://www.pnas.org/doi/abs/10.1073/pnas.2535998123?mi=eymic2&amp;af=R&amp;access=on&amp;content=articlesChapters&amp;publication=pnas&amp;sortBy=Earliest&amp;target=default" TargetMode="External"/><Relationship Id="rId671" Type="http://schemas.openxmlformats.org/officeDocument/2006/relationships/hyperlink" Target="https://doi.org/10.1073/pnas.2535998123" TargetMode="External"/><Relationship Id="rId672" Type="http://schemas.openxmlformats.org/officeDocument/2006/relationships/hyperlink" Target="https://www.pnas.org/doi/abs/10.1073/pnas.2619794123?mi=eymic2&amp;af=R&amp;access=on&amp;content=articlesChapters&amp;publication=pnas&amp;sortBy=Earliest&amp;target=default" TargetMode="External"/><Relationship Id="rId673" Type="http://schemas.openxmlformats.org/officeDocument/2006/relationships/hyperlink" Target="https://doi.org/10.1073/pnas.2619794123" TargetMode="External"/><Relationship Id="rId674" Type="http://schemas.openxmlformats.org/officeDocument/2006/relationships/hyperlink" Target="https://www.pnas.org/doi/abs/10.1073/pnas.2619005123?mi=eymic2&amp;af=R&amp;access=on&amp;content=articlesChapters&amp;publication=pnas&amp;sortBy=Earliest&amp;target=default" TargetMode="External"/><Relationship Id="rId675" Type="http://schemas.openxmlformats.org/officeDocument/2006/relationships/hyperlink" Target="https://doi.org/10.1073/pnas.2619005123" TargetMode="External"/><Relationship Id="rId676" Type="http://schemas.openxmlformats.org/officeDocument/2006/relationships/hyperlink" Target="https://www.pnas.org/doi/abs/10.1073/pnas.2618282123?mi=eymic2&amp;af=R&amp;access=on&amp;content=articlesChapters&amp;publication=pnas&amp;sortBy=Earliest&amp;target=default" TargetMode="External"/><Relationship Id="rId677" Type="http://schemas.openxmlformats.org/officeDocument/2006/relationships/hyperlink" Target="https://doi.org/10.1073/pnas.2618282123" TargetMode="External"/><Relationship Id="rId678" Type="http://schemas.openxmlformats.org/officeDocument/2006/relationships/hyperlink" Target="https://www.pnas.org/doi/abs/10.1073/pnas.2617206123?mi=eymic2&amp;af=R&amp;access=on&amp;content=articlesChapters&amp;publication=pnas&amp;sortBy=Earliest&amp;target=default" TargetMode="External"/><Relationship Id="rId679" Type="http://schemas.openxmlformats.org/officeDocument/2006/relationships/hyperlink" Target="https://doi.org/10.1073/pnas.2617206123" TargetMode="External"/><Relationship Id="rId680" Type="http://schemas.openxmlformats.org/officeDocument/2006/relationships/hyperlink" Target="https://www.pnas.org/doi/abs/10.1073/pnas.2616714123?mi=eymic2&amp;af=R&amp;access=on&amp;content=articlesChapters&amp;publication=pnas&amp;sortBy=Earliest&amp;target=default" TargetMode="External"/><Relationship Id="rId681" Type="http://schemas.openxmlformats.org/officeDocument/2006/relationships/hyperlink" Target="https://doi.org/10.1073/pnas.2616714123" TargetMode="External"/><Relationship Id="rId682" Type="http://schemas.openxmlformats.org/officeDocument/2006/relationships/hyperlink" Target="https://www.pnas.org/doi/abs/10.1073/pnas.2537010123?mi=eymic2&amp;af=R&amp;access=on&amp;content=articlesChapters&amp;publication=pnas&amp;sortBy=Earliest&amp;target=default" TargetMode="External"/><Relationship Id="rId683" Type="http://schemas.openxmlformats.org/officeDocument/2006/relationships/hyperlink" Target="https://doi.org/10.1073/pnas.2537010123" TargetMode="External"/><Relationship Id="rId684" Type="http://schemas.openxmlformats.org/officeDocument/2006/relationships/hyperlink" Target="https://www.pnas.org/doi/abs/10.1073/pnas.2524934123?mi=eymic2&amp;af=R&amp;access=on&amp;content=articlesChapters&amp;publication=pnas&amp;sortBy=Earliest&amp;target=default" TargetMode="External"/><Relationship Id="rId685" Type="http://schemas.openxmlformats.org/officeDocument/2006/relationships/hyperlink" Target="https://doi.org/10.1073/pnas.2524934123" TargetMode="External"/><Relationship Id="rId686" Type="http://schemas.openxmlformats.org/officeDocument/2006/relationships/hyperlink" Target="http://link.aps.org/doi/10.1103/7hjs-rx8d" TargetMode="External"/><Relationship Id="rId687" Type="http://schemas.openxmlformats.org/officeDocument/2006/relationships/hyperlink" Target="https://doi.org/10.1103/7hjs-rx8d" TargetMode="External"/><Relationship Id="rId688" Type="http://schemas.openxmlformats.org/officeDocument/2006/relationships/hyperlink" Target="http://link.aps.org/doi/10.1103/9n96-whkp" TargetMode="External"/><Relationship Id="rId689" Type="http://schemas.openxmlformats.org/officeDocument/2006/relationships/hyperlink" Target="https://doi.org/10.1103/9n96-whkp" TargetMode="External"/><Relationship Id="rId690" Type="http://schemas.openxmlformats.org/officeDocument/2006/relationships/hyperlink" Target="http://link.aps.org/doi/10.1103/rj2s-tfnc" TargetMode="External"/><Relationship Id="rId691" Type="http://schemas.openxmlformats.org/officeDocument/2006/relationships/hyperlink" Target="https://doi.org/10.1103/rj2s-tfnc" TargetMode="External"/><Relationship Id="rId692" Type="http://schemas.openxmlformats.org/officeDocument/2006/relationships/hyperlink" Target="http://link.aps.org/doi/10.1103/ntfh-mk9d" TargetMode="External"/><Relationship Id="rId693" Type="http://schemas.openxmlformats.org/officeDocument/2006/relationships/hyperlink" Target="https://doi.org/10.1103/ntfh-mk9d" TargetMode="External"/><Relationship Id="rId694" Type="http://schemas.openxmlformats.org/officeDocument/2006/relationships/hyperlink" Target="http://link.aps.org/doi/10.1103/p4s9-9smn" TargetMode="External"/><Relationship Id="rId695" Type="http://schemas.openxmlformats.org/officeDocument/2006/relationships/hyperlink" Target="https://doi.org/10.1103/p4s9-9smn" TargetMode="External"/><Relationship Id="rId696" Type="http://schemas.openxmlformats.org/officeDocument/2006/relationships/hyperlink" Target="http://link.aps.org/doi/10.1103/g41l-jmdx" TargetMode="External"/><Relationship Id="rId697" Type="http://schemas.openxmlformats.org/officeDocument/2006/relationships/hyperlink" Target="https://doi.org/10.1103/g41l-jmdx" TargetMode="External"/><Relationship Id="rId698" Type="http://schemas.openxmlformats.org/officeDocument/2006/relationships/hyperlink" Target="http://link.aps.org/doi/10.1103/9d2s-4gf7" TargetMode="External"/><Relationship Id="rId699" Type="http://schemas.openxmlformats.org/officeDocument/2006/relationships/hyperlink" Target="https://doi.org/10.1103/9d2s-4gf7" TargetMode="External"/><Relationship Id="rId700" Type="http://schemas.openxmlformats.org/officeDocument/2006/relationships/hyperlink" Target="http://link.aps.org/doi/10.1103/3gg8-wgdr" TargetMode="External"/><Relationship Id="rId701" Type="http://schemas.openxmlformats.org/officeDocument/2006/relationships/hyperlink" Target="https://doi.org/10.1103/3gg8-wgdr" TargetMode="External"/><Relationship Id="rId702" Type="http://schemas.openxmlformats.org/officeDocument/2006/relationships/hyperlink" Target="http://link.aps.org/doi/10.1103/3pqk-qr64" TargetMode="External"/><Relationship Id="rId703" Type="http://schemas.openxmlformats.org/officeDocument/2006/relationships/hyperlink" Target="https://doi.org/10.1103/3pqk-qr64" TargetMode="External"/><Relationship Id="rId704" Type="http://schemas.openxmlformats.org/officeDocument/2006/relationships/hyperlink" Target="http://link.aps.org/doi/10.1103/gcpg-wf17" TargetMode="External"/><Relationship Id="rId705" Type="http://schemas.openxmlformats.org/officeDocument/2006/relationships/hyperlink" Target="https://doi.org/10.1103/gcpg-wf17" TargetMode="External"/><Relationship Id="rId706" Type="http://schemas.openxmlformats.org/officeDocument/2006/relationships/hyperlink" Target="http://link.aps.org/doi/10.1103/wd91-v58h" TargetMode="External"/><Relationship Id="rId707" Type="http://schemas.openxmlformats.org/officeDocument/2006/relationships/hyperlink" Target="https://doi.org/10.1103/wd91-v58h" TargetMode="External"/><Relationship Id="rId708" Type="http://schemas.openxmlformats.org/officeDocument/2006/relationships/hyperlink" Target="http://link.aps.org/doi/10.1103/dyj9-k827" TargetMode="External"/><Relationship Id="rId709" Type="http://schemas.openxmlformats.org/officeDocument/2006/relationships/hyperlink" Target="https://doi.org/10.1103/dyj9-k827" TargetMode="External"/><Relationship Id="rId710" Type="http://schemas.openxmlformats.org/officeDocument/2006/relationships/hyperlink" Target="http://link.aps.org/doi/10.1103/gjmd-fyjy" TargetMode="External"/><Relationship Id="rId711" Type="http://schemas.openxmlformats.org/officeDocument/2006/relationships/hyperlink" Target="https://doi.org/10.1103/gjmd-fyjy" TargetMode="External"/><Relationship Id="rId712" Type="http://schemas.openxmlformats.org/officeDocument/2006/relationships/hyperlink" Target="http://link.aps.org/doi/10.1103/r796-y5tc" TargetMode="External"/><Relationship Id="rId713" Type="http://schemas.openxmlformats.org/officeDocument/2006/relationships/hyperlink" Target="https://doi.org/10.1103/r796-y5tc" TargetMode="External"/><Relationship Id="rId714" Type="http://schemas.openxmlformats.org/officeDocument/2006/relationships/hyperlink" Target="http://link.aps.org/doi/10.1103/p36h-kpgb" TargetMode="External"/><Relationship Id="rId715" Type="http://schemas.openxmlformats.org/officeDocument/2006/relationships/hyperlink" Target="https://doi.org/10.1103/p36h-kpgb" TargetMode="External"/><Relationship Id="rId716" Type="http://schemas.openxmlformats.org/officeDocument/2006/relationships/hyperlink" Target="http://link.aps.org/doi/10.1103/1wyj-nrgk" TargetMode="External"/><Relationship Id="rId717" Type="http://schemas.openxmlformats.org/officeDocument/2006/relationships/hyperlink" Target="https://doi.org/10.1103/1wyj-nrgk" TargetMode="External"/><Relationship Id="rId718" Type="http://schemas.openxmlformats.org/officeDocument/2006/relationships/hyperlink" Target="https://www.nature.com/articles/s41563-026-02677-5" TargetMode="External"/><Relationship Id="rId719" Type="http://schemas.openxmlformats.org/officeDocument/2006/relationships/hyperlink" Target="https://doi.org/10.1038/s41563-026-02677-5" TargetMode="External"/><Relationship Id="rId720" Type="http://schemas.openxmlformats.org/officeDocument/2006/relationships/hyperlink" Target="https://www.nature.com/articles/s41563-026-02687-3" TargetMode="External"/><Relationship Id="rId721" Type="http://schemas.openxmlformats.org/officeDocument/2006/relationships/hyperlink" Target="https://doi.org/10.1038/s41563-026-02687-3" TargetMode="External"/><Relationship Id="rId722" Type="http://schemas.openxmlformats.org/officeDocument/2006/relationships/hyperlink" Target="https://www.nature.com/articles/d41586-026-01128-0" TargetMode="External"/><Relationship Id="rId723" Type="http://schemas.openxmlformats.org/officeDocument/2006/relationships/hyperlink" Target="https://doi.org/10.1038/d41586-026-01128-0" TargetMode="External"/><Relationship Id="rId724" Type="http://schemas.openxmlformats.org/officeDocument/2006/relationships/hyperlink" Target="https://www.nature.com/articles/d41586-026-02122-2" TargetMode="External"/><Relationship Id="rId725" Type="http://schemas.openxmlformats.org/officeDocument/2006/relationships/hyperlink" Target="https://doi.org/10.1038/d41586-026-02122-2" TargetMode="External"/><Relationship Id="rId726" Type="http://schemas.openxmlformats.org/officeDocument/2006/relationships/hyperlink" Target="https://www.nature.com/articles/d41586-026-02148-6" TargetMode="External"/><Relationship Id="rId727" Type="http://schemas.openxmlformats.org/officeDocument/2006/relationships/hyperlink" Target="https://doi.org/10.1038/d41586-026-02148-6" TargetMode="External"/><Relationship Id="rId728" Type="http://schemas.openxmlformats.org/officeDocument/2006/relationships/hyperlink" Target="https://www.nature.com/articles/d41586-026-01855-4" TargetMode="External"/><Relationship Id="rId729" Type="http://schemas.openxmlformats.org/officeDocument/2006/relationships/hyperlink" Target="https://doi.org/10.1038/d41586-026-01855-4" TargetMode="External"/><Relationship Id="rId730" Type="http://schemas.openxmlformats.org/officeDocument/2006/relationships/hyperlink" Target="https://www.nature.com/articles/d41586-026-02192-2" TargetMode="External"/><Relationship Id="rId731" Type="http://schemas.openxmlformats.org/officeDocument/2006/relationships/hyperlink" Target="https://doi.org/10.1038/d41586-026-02192-2" TargetMode="External"/><Relationship Id="rId732" Type="http://schemas.openxmlformats.org/officeDocument/2006/relationships/hyperlink" Target="https://www.nature.com/articles/d41586-026-02102-6" TargetMode="External"/><Relationship Id="rId733" Type="http://schemas.openxmlformats.org/officeDocument/2006/relationships/hyperlink" Target="https://doi.org/10.1038/d41586-026-02102-6" TargetMode="External"/><Relationship Id="rId734" Type="http://schemas.openxmlformats.org/officeDocument/2006/relationships/hyperlink" Target="https://pubs.acs.org/doi/10.1021/jacs.6c04891" TargetMode="External"/><Relationship Id="rId735" Type="http://schemas.openxmlformats.org/officeDocument/2006/relationships/hyperlink" Target="https://doi.org/10.1021/jacs.6c04891" TargetMode="External"/><Relationship Id="rId736" Type="http://schemas.openxmlformats.org/officeDocument/2006/relationships/hyperlink" Target="https://www.nature.com/articles/d41586-026-02187-z" TargetMode="External"/><Relationship Id="rId737" Type="http://schemas.openxmlformats.org/officeDocument/2006/relationships/hyperlink" Target="https://doi.org/10.1038/d41586-026-02187-z" TargetMode="External"/><Relationship Id="rId738" Type="http://schemas.openxmlformats.org/officeDocument/2006/relationships/hyperlink" Target="https://www.nature.com/articles/d41586-026-02189-x" TargetMode="External"/><Relationship Id="rId739" Type="http://schemas.openxmlformats.org/officeDocument/2006/relationships/hyperlink" Target="https://doi.org/10.1038/d41586-026-02189-x" TargetMode="External"/><Relationship Id="rId740" Type="http://schemas.openxmlformats.org/officeDocument/2006/relationships/hyperlink" Target="https://www.nature.com/articles/d41586-026-02190-4" TargetMode="External"/><Relationship Id="rId741" Type="http://schemas.openxmlformats.org/officeDocument/2006/relationships/hyperlink" Target="https://doi.org/10.1038/d41586-026-02190-4" TargetMode="External"/><Relationship Id="rId742" Type="http://schemas.openxmlformats.org/officeDocument/2006/relationships/hyperlink" Target="https://www.nature.com/articles/d41586-026-02188-y" TargetMode="External"/><Relationship Id="rId743" Type="http://schemas.openxmlformats.org/officeDocument/2006/relationships/hyperlink" Target="https://doi.org/10.1038/d41586-026-02188-y" TargetMode="External"/><Relationship Id="rId744" Type="http://schemas.openxmlformats.org/officeDocument/2006/relationships/hyperlink" Target="https://www.nature.com/articles/s41563-026-02653-z" TargetMode="External"/><Relationship Id="rId745" Type="http://schemas.openxmlformats.org/officeDocument/2006/relationships/hyperlink" Target="https://doi.org/10.1038/s41563-026-02653-z" TargetMode="External"/><Relationship Id="rId746" Type="http://schemas.openxmlformats.org/officeDocument/2006/relationships/hyperlink" Target="https://www.nature.com/articles/s41893-026-01885-w" TargetMode="External"/><Relationship Id="rId747" Type="http://schemas.openxmlformats.org/officeDocument/2006/relationships/hyperlink" Target="https://doi.org/10.1038/s41893-026-01885-w" TargetMode="External"/><Relationship Id="rId748" Type="http://schemas.openxmlformats.org/officeDocument/2006/relationships/hyperlink" Target="https://www.nature.com/articles/s41563-026-02641-3" TargetMode="External"/><Relationship Id="rId749" Type="http://schemas.openxmlformats.org/officeDocument/2006/relationships/hyperlink" Target="https://doi.org/10.1038/s41563-026-02641-3" TargetMode="External"/><Relationship Id="rId750" Type="http://schemas.openxmlformats.org/officeDocument/2006/relationships/hyperlink" Target="https://www.nature.com/articles/d41586-026-02041-2" TargetMode="External"/><Relationship Id="rId751" Type="http://schemas.openxmlformats.org/officeDocument/2006/relationships/hyperlink" Target="https://doi.org/10.1038/d41586-026-02041-2" TargetMode="External"/><Relationship Id="rId752" Type="http://schemas.openxmlformats.org/officeDocument/2006/relationships/hyperlink" Target="https://www.nature.com/articles/d41586-026-02170-8" TargetMode="External"/><Relationship Id="rId753" Type="http://schemas.openxmlformats.org/officeDocument/2006/relationships/hyperlink" Target="https://doi.org/10.1038/d41586-026-02170-8" TargetMode="External"/><Relationship Id="rId754" Type="http://schemas.openxmlformats.org/officeDocument/2006/relationships/hyperlink" Target="https://www.nature.com/articles/d41586-026-02149-5" TargetMode="External"/><Relationship Id="rId755" Type="http://schemas.openxmlformats.org/officeDocument/2006/relationships/hyperlink" Target="https://doi.org/10.1038/d41586-026-02149-5" TargetMode="External"/><Relationship Id="rId756" Type="http://schemas.openxmlformats.org/officeDocument/2006/relationships/hyperlink" Target="https://www.nature.com/articles/d41586-026-01988-6" TargetMode="External"/><Relationship Id="rId757" Type="http://schemas.openxmlformats.org/officeDocument/2006/relationships/hyperlink" Target="https://doi.org/10.1038/d41586-026-01988-6" TargetMode="External"/><Relationship Id="rId758" Type="http://schemas.openxmlformats.org/officeDocument/2006/relationships/hyperlink" Target="https://pubs.acs.org/doi/10.1021/jacs.6c08580" TargetMode="External"/><Relationship Id="rId759" Type="http://schemas.openxmlformats.org/officeDocument/2006/relationships/hyperlink" Target="https://doi.org/10.1021/jacs.6c08580" TargetMode="External"/><Relationship Id="rId760" Type="http://schemas.openxmlformats.org/officeDocument/2006/relationships/hyperlink" Target="https://pubs.acs.org/doi/10.1021/jacs.6c10687" TargetMode="External"/><Relationship Id="rId761" Type="http://schemas.openxmlformats.org/officeDocument/2006/relationships/hyperlink" Target="https://doi.org/10.1021/jacs.6c10687" TargetMode="External"/><Relationship Id="rId762" Type="http://schemas.openxmlformats.org/officeDocument/2006/relationships/hyperlink" Target="https://www.nature.com/articles/s41893-026-01886-9" TargetMode="External"/><Relationship Id="rId763" Type="http://schemas.openxmlformats.org/officeDocument/2006/relationships/hyperlink" Target="https://doi.org/10.1038/s41893-026-01886-9" TargetMode="External"/><Relationship Id="rId764" Type="http://schemas.openxmlformats.org/officeDocument/2006/relationships/hyperlink" Target="https://www.nature.com/articles/s41563-026-02676-6" TargetMode="External"/><Relationship Id="rId765" Type="http://schemas.openxmlformats.org/officeDocument/2006/relationships/hyperlink" Target="https://doi.org/10.1038/s41563-026-02676-6" TargetMode="External"/><Relationship Id="rId766" Type="http://schemas.openxmlformats.org/officeDocument/2006/relationships/hyperlink" Target="https://www.nature.com/articles/s41563-026-02657-9" TargetMode="External"/><Relationship Id="rId767" Type="http://schemas.openxmlformats.org/officeDocument/2006/relationships/hyperlink" Target="https://doi.org/10.1038/s41563-026-02657-9" TargetMode="External"/><Relationship Id="rId768" Type="http://schemas.openxmlformats.org/officeDocument/2006/relationships/hyperlink" Target="https://www.sciencedirect.com/science/article/pii/S0301421526004088?dgcid=rss_sd_all" TargetMode="External"/><Relationship Id="rId769" Type="http://schemas.openxmlformats.org/officeDocument/2006/relationships/hyperlink" Target="https://pubs.acs.org/doi/10.1021/acsami.6c09080" TargetMode="External"/><Relationship Id="rId770" Type="http://schemas.openxmlformats.org/officeDocument/2006/relationships/hyperlink" Target="https://doi.org/10.1021/acsami.6c09080" TargetMode="External"/><Relationship Id="rId771" Type="http://schemas.openxmlformats.org/officeDocument/2006/relationships/hyperlink" Target="https://www.nature.com/articles/d41586-026-02222-z" TargetMode="External"/><Relationship Id="rId772" Type="http://schemas.openxmlformats.org/officeDocument/2006/relationships/hyperlink" Target="https://doi.org/10.1038/d41586-026-02222-z" TargetMode="External"/><Relationship Id="rId773" Type="http://schemas.openxmlformats.org/officeDocument/2006/relationships/hyperlink" Target="https://www.nature.com/articles/s41467-026-75572-x" TargetMode="External"/><Relationship Id="rId774" Type="http://schemas.openxmlformats.org/officeDocument/2006/relationships/hyperlink" Target="https://pubs.acs.org/doi/10.1021/jacs.6c01410" TargetMode="External"/><Relationship Id="rId775" Type="http://schemas.openxmlformats.org/officeDocument/2006/relationships/hyperlink" Target="https://doi.org/10.1021/jacs.6c01410" TargetMode="External"/><Relationship Id="rId776" Type="http://schemas.openxmlformats.org/officeDocument/2006/relationships/hyperlink" Target="https://pubs.acs.org/doi/10.1021/jacs.6c07331" TargetMode="External"/><Relationship Id="rId777" Type="http://schemas.openxmlformats.org/officeDocument/2006/relationships/hyperlink" Target="https://doi.org/10.1021/jacs.6c07331" TargetMode="External"/><Relationship Id="rId778" Type="http://schemas.openxmlformats.org/officeDocument/2006/relationships/hyperlink" Target="https://www.sciencedirect.com/science/article/pii/S0306261926010858?dgcid=rss_sd_all" TargetMode="External"/><Relationship Id="rId779" Type="http://schemas.openxmlformats.org/officeDocument/2006/relationships/hyperlink" Target="https://www.sciencedirect.com/science/article/pii/S0306261926010755?dgcid=rss_sd_all" TargetMode="External"/><Relationship Id="rId780" Type="http://schemas.openxmlformats.org/officeDocument/2006/relationships/hyperlink" Target="https://www.sciencedirect.com/science/article/pii/S0306261926010585?dgcid=rss_sd_all" TargetMode="External"/><Relationship Id="rId781" Type="http://schemas.openxmlformats.org/officeDocument/2006/relationships/hyperlink" Target="https://www.cell.com/matter/fulltext/S2590-2385(26)00284-5?rss=yes" TargetMode="External"/><Relationship Id="rId782" Type="http://schemas.openxmlformats.org/officeDocument/2006/relationships/hyperlink" Target="https://doi.org/10.1016/j.matt.2026.102921" TargetMode="External"/><Relationship Id="rId783" Type="http://schemas.openxmlformats.org/officeDocument/2006/relationships/hyperlink" Target="https://www.cell.com/one-earth/fulltext/S2590-3322(26)00171-5?rss=yes" TargetMode="External"/><Relationship Id="rId784" Type="http://schemas.openxmlformats.org/officeDocument/2006/relationships/hyperlink" Target="https://doi.org/10.1016/j.oneear.2026.101770" TargetMode="External"/><Relationship Id="rId785" Type="http://schemas.openxmlformats.org/officeDocument/2006/relationships/hyperlink" Target="https://pubs.acs.org/doi/10.1021/jacs.6c01992" TargetMode="External"/><Relationship Id="rId786" Type="http://schemas.openxmlformats.org/officeDocument/2006/relationships/hyperlink" Target="https://doi.org/10.1021/jacs.6c01992" TargetMode="External"/><Relationship Id="rId787" Type="http://schemas.openxmlformats.org/officeDocument/2006/relationships/hyperlink" Target="https://pubs.acs.org/doi/10.1021/jacs.6c09199" TargetMode="External"/><Relationship Id="rId788" Type="http://schemas.openxmlformats.org/officeDocument/2006/relationships/hyperlink" Target="https://doi.org/10.1021/jacs.6c09199" TargetMode="External"/><Relationship Id="rId789" Type="http://schemas.openxmlformats.org/officeDocument/2006/relationships/hyperlink" Target="https://pubs.acs.org/doi/10.1021/jacs.6c01290" TargetMode="External"/><Relationship Id="rId790" Type="http://schemas.openxmlformats.org/officeDocument/2006/relationships/hyperlink" Target="https://doi.org/10.1021/jacs.6c01290" TargetMode="External"/><Relationship Id="rId791" Type="http://schemas.openxmlformats.org/officeDocument/2006/relationships/hyperlink" Target="https://pubs.acs.org/doi/10.1021/acsami.6c10442" TargetMode="External"/><Relationship Id="rId792" Type="http://schemas.openxmlformats.org/officeDocument/2006/relationships/hyperlink" Target="https://doi.org/10.1021/acsami.6c10442" TargetMode="External"/><Relationship Id="rId793" Type="http://schemas.openxmlformats.org/officeDocument/2006/relationships/hyperlink" Target="https://pubs.acs.org/doi/10.1021/jacs.6c09990" TargetMode="External"/><Relationship Id="rId794" Type="http://schemas.openxmlformats.org/officeDocument/2006/relationships/hyperlink" Target="https://doi.org/10.1021/jacs.6c09990" TargetMode="External"/><Relationship Id="rId795" Type="http://schemas.openxmlformats.org/officeDocument/2006/relationships/hyperlink" Target="https://pubs.acs.org/doi/10.1021/jacs.6c10180" TargetMode="External"/><Relationship Id="rId796" Type="http://schemas.openxmlformats.org/officeDocument/2006/relationships/hyperlink" Target="https://doi.org/10.1021/jacs.6c10180" TargetMode="External"/><Relationship Id="rId797" Type="http://schemas.openxmlformats.org/officeDocument/2006/relationships/hyperlink" Target="https://www.sciencedirect.com/science/article/pii/S0301421526004246?dgcid=rss_sd_all" TargetMode="External"/><Relationship Id="rId798" Type="http://schemas.openxmlformats.org/officeDocument/2006/relationships/hyperlink" Target="https://pubs.acs.org/doi/10.1021/acsami.6c11783" TargetMode="External"/><Relationship Id="rId799" Type="http://schemas.openxmlformats.org/officeDocument/2006/relationships/hyperlink" Target="https://doi.org/10.1021/acsami.6c11783" TargetMode="External"/><Relationship Id="rId800" Type="http://schemas.openxmlformats.org/officeDocument/2006/relationships/hyperlink" Target="https://pubs.acs.org/doi/10.1021/acsami.6c10335" TargetMode="External"/><Relationship Id="rId801" Type="http://schemas.openxmlformats.org/officeDocument/2006/relationships/hyperlink" Target="https://doi.org/10.1021/acsami.6c10335" TargetMode="External"/><Relationship Id="rId802" Type="http://schemas.openxmlformats.org/officeDocument/2006/relationships/hyperlink" Target="https://pubs.acs.org/doi/10.1021/jacs.6c07209" TargetMode="External"/><Relationship Id="rId803" Type="http://schemas.openxmlformats.org/officeDocument/2006/relationships/hyperlink" Target="https://doi.org/10.1021/jacs.6c07209" TargetMode="External"/><Relationship Id="rId804" Type="http://schemas.openxmlformats.org/officeDocument/2006/relationships/hyperlink" Target="https://pubs.acs.org/doi/10.1021/jacs.6c06337" TargetMode="External"/><Relationship Id="rId805" Type="http://schemas.openxmlformats.org/officeDocument/2006/relationships/hyperlink" Target="https://doi.org/10.1021/jacs.6c06337" TargetMode="External"/><Relationship Id="rId806" Type="http://schemas.openxmlformats.org/officeDocument/2006/relationships/hyperlink" Target="https://www.nature.com/articles/s41467-026-75568-7" TargetMode="External"/><Relationship Id="rId807" Type="http://schemas.openxmlformats.org/officeDocument/2006/relationships/hyperlink" Target="https://www.nature.com/articles/s41467-026-75401-1" TargetMode="External"/><Relationship Id="rId808" Type="http://schemas.openxmlformats.org/officeDocument/2006/relationships/hyperlink" Target="https://www.nature.com/articles/s41467-026-75641-1" TargetMode="External"/><Relationship Id="rId809" Type="http://schemas.openxmlformats.org/officeDocument/2006/relationships/hyperlink" Target="https://www.nature.com/articles/s41467-026-75465-z" TargetMode="External"/><Relationship Id="rId810" Type="http://schemas.openxmlformats.org/officeDocument/2006/relationships/hyperlink" Target="https://www.nature.com/articles/s41467-026-75355-4" TargetMode="External"/><Relationship Id="rId811" Type="http://schemas.openxmlformats.org/officeDocument/2006/relationships/hyperlink" Target="https://www.nature.com/articles/s41467-026-74799-y" TargetMode="External"/><Relationship Id="rId812" Type="http://schemas.openxmlformats.org/officeDocument/2006/relationships/hyperlink" Target="https://www.nature.com/articles/s41467-026-74959-0" TargetMode="External"/><Relationship Id="rId813" Type="http://schemas.openxmlformats.org/officeDocument/2006/relationships/hyperlink" Target="https://www.nature.com/articles/s41467-026-75407-9" TargetMode="External"/><Relationship Id="rId814" Type="http://schemas.openxmlformats.org/officeDocument/2006/relationships/hyperlink" Target="https://www.nature.com/articles/s41467-026-75527-2" TargetMode="External"/><Relationship Id="rId815" Type="http://schemas.openxmlformats.org/officeDocument/2006/relationships/hyperlink" Target="https://www.nature.com/articles/s41467-026-75141-2" TargetMode="External"/><Relationship Id="rId816" Type="http://schemas.openxmlformats.org/officeDocument/2006/relationships/hyperlink" Target="https://www.nature.com/articles/s41467-026-75423-9" TargetMode="External"/><Relationship Id="rId817" Type="http://schemas.openxmlformats.org/officeDocument/2006/relationships/hyperlink" Target="https://www.nature.com/articles/s41467-026-75560-1" TargetMode="External"/><Relationship Id="rId818" Type="http://schemas.openxmlformats.org/officeDocument/2006/relationships/hyperlink" Target="https://www.nature.com/articles/s41467-026-75498-4" TargetMode="External"/><Relationship Id="rId819" Type="http://schemas.openxmlformats.org/officeDocument/2006/relationships/hyperlink" Target="https://www.nature.com/articles/s41467-026-75422-w" TargetMode="External"/><Relationship Id="rId820" Type="http://schemas.openxmlformats.org/officeDocument/2006/relationships/hyperlink" Target="https://www.nature.com/articles/s41467-026-75522-7" TargetMode="External"/><Relationship Id="rId821" Type="http://schemas.openxmlformats.org/officeDocument/2006/relationships/hyperlink" Target="https://www.nature.com/articles/s41467-026-75364-3" TargetMode="External"/><Relationship Id="rId822" Type="http://schemas.openxmlformats.org/officeDocument/2006/relationships/hyperlink" Target="https://www.nature.com/articles/s41467-026-75252-w" TargetMode="External"/><Relationship Id="rId823" Type="http://schemas.openxmlformats.org/officeDocument/2006/relationships/hyperlink" Target="https://www.nature.com/articles/s41467-026-75607-3" TargetMode="External"/><Relationship Id="rId824" Type="http://schemas.openxmlformats.org/officeDocument/2006/relationships/hyperlink" Target="https://www.nature.com/articles/s41467-026-75616-2" TargetMode="External"/><Relationship Id="rId825" Type="http://schemas.openxmlformats.org/officeDocument/2006/relationships/hyperlink" Target="https://www.nature.com/articles/s41467-026-75570-z" TargetMode="External"/><Relationship Id="rId826" Type="http://schemas.openxmlformats.org/officeDocument/2006/relationships/hyperlink" Target="https://www.nature.com/articles/s41467-026-75578-5" TargetMode="External"/><Relationship Id="rId827" Type="http://schemas.openxmlformats.org/officeDocument/2006/relationships/hyperlink" Target="https://pubs.acs.org/doi/10.1021/acsami.6c09393" TargetMode="External"/><Relationship Id="rId828" Type="http://schemas.openxmlformats.org/officeDocument/2006/relationships/hyperlink" Target="https://doi.org/10.1021/acsami.6c09393" TargetMode="External"/><Relationship Id="rId829" Type="http://schemas.openxmlformats.org/officeDocument/2006/relationships/hyperlink" Target="https://pubs.acs.org/doi/10.1021/acsami.6c04610" TargetMode="External"/><Relationship Id="rId830" Type="http://schemas.openxmlformats.org/officeDocument/2006/relationships/hyperlink" Target="https://doi.org/10.1021/acsami.6c04610" TargetMode="External"/><Relationship Id="rId831" Type="http://schemas.openxmlformats.org/officeDocument/2006/relationships/hyperlink" Target="https://pubs.acs.org/doi/10.1021/jacs.5c22017" TargetMode="External"/><Relationship Id="rId832" Type="http://schemas.openxmlformats.org/officeDocument/2006/relationships/hyperlink" Target="https://doi.org/10.1021/jacs.5c22017" TargetMode="External"/><Relationship Id="rId833" Type="http://schemas.openxmlformats.org/officeDocument/2006/relationships/hyperlink" Target="https://pubs.acs.org/doi/10.1021/acsami.6c11314" TargetMode="External"/><Relationship Id="rId834" Type="http://schemas.openxmlformats.org/officeDocument/2006/relationships/hyperlink" Target="https://doi.org/10.1021/acsami.6c11314" TargetMode="External"/><Relationship Id="rId835" Type="http://schemas.openxmlformats.org/officeDocument/2006/relationships/hyperlink" Target="https://pubs.acs.org/doi/10.1021/acsami.6c06660" TargetMode="External"/><Relationship Id="rId836" Type="http://schemas.openxmlformats.org/officeDocument/2006/relationships/hyperlink" Target="https://doi.org/10.1021/acsami.6c06660" TargetMode="External"/><Relationship Id="rId837" Type="http://schemas.openxmlformats.org/officeDocument/2006/relationships/hyperlink" Target="https://www.nature.com/articles/s41467-026-75596-3" TargetMode="External"/><Relationship Id="rId838" Type="http://schemas.openxmlformats.org/officeDocument/2006/relationships/hyperlink" Target="https://www.nature.com/articles/s41467-026-75153-y" TargetMode="External"/><Relationship Id="rId839" Type="http://schemas.openxmlformats.org/officeDocument/2006/relationships/hyperlink" Target="https://www.nature.com/articles/s41467-026-75069-7" TargetMode="External"/><Relationship Id="rId840" Type="http://schemas.openxmlformats.org/officeDocument/2006/relationships/hyperlink" Target="https://www.nature.com/articles/s41557-026-02204-8" TargetMode="External"/><Relationship Id="rId841" Type="http://schemas.openxmlformats.org/officeDocument/2006/relationships/hyperlink" Target="https://doi.org/10.1038/s41557-026-02204-8" TargetMode="External"/><Relationship Id="rId842" Type="http://schemas.openxmlformats.org/officeDocument/2006/relationships/hyperlink" Target="https://www.nature.com/articles/s41557-026-02208-4" TargetMode="External"/><Relationship Id="rId843" Type="http://schemas.openxmlformats.org/officeDocument/2006/relationships/hyperlink" Target="https://doi.org/10.1038/s41557-026-02208-4" TargetMode="External"/><Relationship Id="rId844" Type="http://schemas.openxmlformats.org/officeDocument/2006/relationships/hyperlink" Target="https://pubs.acs.org/doi/10.1021/jacs.6c04542" TargetMode="External"/><Relationship Id="rId845" Type="http://schemas.openxmlformats.org/officeDocument/2006/relationships/hyperlink" Target="https://doi.org/10.1021/jacs.6c04542" TargetMode="External"/><Relationship Id="rId846" Type="http://schemas.openxmlformats.org/officeDocument/2006/relationships/hyperlink" Target="https://pubs.acs.org/doi/10.1021/jacs.6c07366" TargetMode="External"/><Relationship Id="rId847" Type="http://schemas.openxmlformats.org/officeDocument/2006/relationships/hyperlink" Target="https://doi.org/10.1021/jacs.6c07366" TargetMode="External"/><Relationship Id="rId848" Type="http://schemas.openxmlformats.org/officeDocument/2006/relationships/hyperlink" Target="https://academic.oup.com/nsr/advance-article/doi/10.1093/nsr/nwag430/8733949?rss=1" TargetMode="External"/><Relationship Id="rId849" Type="http://schemas.openxmlformats.org/officeDocument/2006/relationships/hyperlink" Target="https://doi.org/10.1093/nsr/nwag430" TargetMode="External"/><Relationship Id="rId850" Type="http://schemas.openxmlformats.org/officeDocument/2006/relationships/hyperlink" Target="https://pubs.acs.org/doi/10.1021/jacs.6c09744" TargetMode="External"/><Relationship Id="rId851" Type="http://schemas.openxmlformats.org/officeDocument/2006/relationships/hyperlink" Target="https://doi.org/10.1021/jacs.6c09744" TargetMode="External"/><Relationship Id="rId852" Type="http://schemas.openxmlformats.org/officeDocument/2006/relationships/hyperlink" Target="https://www.nature.com/articles/s41467-026-75497-5" TargetMode="External"/><Relationship Id="rId853" Type="http://schemas.openxmlformats.org/officeDocument/2006/relationships/hyperlink" Target="https://pubs.acs.org/doi/10.1021/jacs.6c06322" TargetMode="External"/><Relationship Id="rId854" Type="http://schemas.openxmlformats.org/officeDocument/2006/relationships/hyperlink" Target="https://doi.org/10.1021/jacs.6c06322" TargetMode="External"/><Relationship Id="rId855" Type="http://schemas.openxmlformats.org/officeDocument/2006/relationships/hyperlink" Target="https://pubs.acs.org/doi/10.1021/jacs.6c08557" TargetMode="External"/><Relationship Id="rId856" Type="http://schemas.openxmlformats.org/officeDocument/2006/relationships/hyperlink" Target="https://doi.org/10.1021/jacs.6c08557" TargetMode="External"/><Relationship Id="rId857" Type="http://schemas.openxmlformats.org/officeDocument/2006/relationships/hyperlink" Target="https://pubs.acs.org/doi/10.1021/jacs.6c05445" TargetMode="External"/><Relationship Id="rId858" Type="http://schemas.openxmlformats.org/officeDocument/2006/relationships/hyperlink" Target="https://doi.org/10.1021/jacs.6c05445" TargetMode="External"/><Relationship Id="rId859" Type="http://schemas.openxmlformats.org/officeDocument/2006/relationships/hyperlink" Target="https://academic.oup.com/nsr/advance-article/doi/10.1093/nsr/nwag416/8733954?rss=1" TargetMode="External"/><Relationship Id="rId860" Type="http://schemas.openxmlformats.org/officeDocument/2006/relationships/hyperlink" Target="https://doi.org/10.1093/nsr/nwag416" TargetMode="External"/><Relationship Id="rId861" Type="http://schemas.openxmlformats.org/officeDocument/2006/relationships/hyperlink" Target="https://www.nature.com/articles/s41578-026-00948-w" TargetMode="External"/><Relationship Id="rId862" Type="http://schemas.openxmlformats.org/officeDocument/2006/relationships/hyperlink" Target="https://doi.org/10.1038/s41578-026-00948-w" TargetMode="External"/><Relationship Id="rId863" Type="http://schemas.openxmlformats.org/officeDocument/2006/relationships/hyperlink" Target="https://www.nature.com/articles/s41467-026-75361-6" TargetMode="External"/><Relationship Id="rId864" Type="http://schemas.openxmlformats.org/officeDocument/2006/relationships/hyperlink" Target="https://www.nature.com/articles/s41467-026-74319-y" TargetMode="External"/><Relationship Id="rId865" Type="http://schemas.openxmlformats.org/officeDocument/2006/relationships/hyperlink" Target="https://www.nature.com/articles/s41467-026-75538-z" TargetMode="External"/><Relationship Id="rId866" Type="http://schemas.openxmlformats.org/officeDocument/2006/relationships/hyperlink" Target="https://www.nature.com/articles/s41467-026-74220-8" TargetMode="External"/><Relationship Id="rId867" Type="http://schemas.openxmlformats.org/officeDocument/2006/relationships/hyperlink" Target="https://www.nature.com/articles/s41467-026-75601-9" TargetMode="External"/><Relationship Id="rId868" Type="http://schemas.openxmlformats.org/officeDocument/2006/relationships/hyperlink" Target="https://www.nature.com/articles/s41467-026-75295-z" TargetMode="External"/><Relationship Id="rId869" Type="http://schemas.openxmlformats.org/officeDocument/2006/relationships/hyperlink" Target="https://pubs.acs.org/doi/10.1021/acs.chemrev.6c00294" TargetMode="External"/><Relationship Id="rId870" Type="http://schemas.openxmlformats.org/officeDocument/2006/relationships/hyperlink" Target="https://doi.org/10.1021/acs.chemrev.6c00294" TargetMode="External"/><Relationship Id="rId871" Type="http://schemas.openxmlformats.org/officeDocument/2006/relationships/hyperlink" Target="https://pubs.acs.org/doi/10.1021/acsami.6c13034" TargetMode="External"/><Relationship Id="rId872" Type="http://schemas.openxmlformats.org/officeDocument/2006/relationships/hyperlink" Target="https://doi.org/10.1021/acsami.6c13034" TargetMode="External"/><Relationship Id="rId873" Type="http://schemas.openxmlformats.org/officeDocument/2006/relationships/hyperlink" Target="https://www.nature.com/articles/d41586-026-02154-8" TargetMode="External"/><Relationship Id="rId874" Type="http://schemas.openxmlformats.org/officeDocument/2006/relationships/hyperlink" Target="https://doi.org/10.1038/d41586-026-02154-8" TargetMode="External"/><Relationship Id="rId875" Type="http://schemas.openxmlformats.org/officeDocument/2006/relationships/hyperlink" Target="https://www.nature.com/articles/s41467-026-74620-w" TargetMode="External"/><Relationship Id="rId876" Type="http://schemas.openxmlformats.org/officeDocument/2006/relationships/hyperlink" Target="https://www.pnas.org/doi/abs/10.1073/pnas.2533103123?mi=eymic2&amp;af=R&amp;access=on&amp;content=articlesChapters&amp;publication=pnas&amp;sortBy=Earliest&amp;target=default" TargetMode="External"/><Relationship Id="rId877" Type="http://schemas.openxmlformats.org/officeDocument/2006/relationships/hyperlink" Target="https://doi.org/10.1073/pnas.2533103123" TargetMode="External"/><Relationship Id="rId878" Type="http://schemas.openxmlformats.org/officeDocument/2006/relationships/hyperlink" Target="https://www.pnas.org/doi/abs/10.1073/pnas.2601897123?mi=eymic2&amp;af=R&amp;access=on&amp;content=articlesChapters&amp;publication=pnas&amp;sortBy=Earliest&amp;target=default" TargetMode="External"/><Relationship Id="rId879" Type="http://schemas.openxmlformats.org/officeDocument/2006/relationships/hyperlink" Target="https://doi.org/10.1073/pnas.2601897123" TargetMode="External"/><Relationship Id="rId880" Type="http://schemas.openxmlformats.org/officeDocument/2006/relationships/hyperlink" Target="https://www.pnas.org/doi/abs/10.1073/pnas.2617982123?mi=eymic2&amp;af=R&amp;access=on&amp;content=articlesChapters&amp;publication=pnas&amp;sortBy=Earliest&amp;target=default" TargetMode="External"/><Relationship Id="rId881" Type="http://schemas.openxmlformats.org/officeDocument/2006/relationships/hyperlink" Target="https://doi.org/10.1073/pnas.2617982123" TargetMode="External"/><Relationship Id="rId882" Type="http://schemas.openxmlformats.org/officeDocument/2006/relationships/hyperlink" Target="https://www.pnas.org/doi/abs/10.1073/iti2826123?mi=eymic2&amp;af=R&amp;access=on&amp;content=articlesChapters&amp;publication=pnas&amp;sortBy=Earliest&amp;target=default" TargetMode="External"/><Relationship Id="rId883" Type="http://schemas.openxmlformats.org/officeDocument/2006/relationships/hyperlink" Target="https://doi.org/10.1073/iti2826123" TargetMode="External"/><Relationship Id="rId884" Type="http://schemas.openxmlformats.org/officeDocument/2006/relationships/hyperlink" Target="https://www.pnas.org/doi/abs/10.1073/pnas.2526461123?mi=eymic2&amp;af=R&amp;access=on&amp;content=articlesChapters&amp;publication=pnas&amp;sortBy=Earliest&amp;target=default" TargetMode="External"/><Relationship Id="rId885" Type="http://schemas.openxmlformats.org/officeDocument/2006/relationships/hyperlink" Target="https://doi.org/10.1073/pnas.2526461123" TargetMode="External"/><Relationship Id="rId886" Type="http://schemas.openxmlformats.org/officeDocument/2006/relationships/hyperlink" Target="https://www.pnas.org/doi/abs/10.1073/pnas.2531283123?mi=eymic2&amp;af=R&amp;access=on&amp;content=articlesChapters&amp;publication=pnas&amp;sortBy=Earliest&amp;target=default" TargetMode="External"/><Relationship Id="rId887" Type="http://schemas.openxmlformats.org/officeDocument/2006/relationships/hyperlink" Target="https://doi.org/10.1073/pnas.2531283123" TargetMode="External"/><Relationship Id="rId888" Type="http://schemas.openxmlformats.org/officeDocument/2006/relationships/hyperlink" Target="https://www.pnas.org/doi/abs/10.1073/pnas.2533029123?mi=eymic2&amp;af=R&amp;access=on&amp;content=articlesChapters&amp;publication=pnas&amp;sortBy=Earliest&amp;target=default" TargetMode="External"/><Relationship Id="rId889" Type="http://schemas.openxmlformats.org/officeDocument/2006/relationships/hyperlink" Target="https://doi.org/10.1073/pnas.2533029123" TargetMode="External"/><Relationship Id="rId890" Type="http://schemas.openxmlformats.org/officeDocument/2006/relationships/hyperlink" Target="https://www.pnas.org/doi/abs/10.1073/pnas.2536489123?mi=eymic2&amp;af=R&amp;access=on&amp;content=articlesChapters&amp;publication=pnas&amp;sortBy=Earliest&amp;target=default" TargetMode="External"/><Relationship Id="rId891" Type="http://schemas.openxmlformats.org/officeDocument/2006/relationships/hyperlink" Target="https://doi.org/10.1073/pnas.2536489123" TargetMode="External"/><Relationship Id="rId892" Type="http://schemas.openxmlformats.org/officeDocument/2006/relationships/hyperlink" Target="https://www.pnas.org/doi/abs/10.1073/pnas.2615678123?mi=eymic2&amp;af=R&amp;access=on&amp;content=articlesChapters&amp;publication=pnas&amp;sortBy=Earliest&amp;target=default" TargetMode="External"/><Relationship Id="rId893" Type="http://schemas.openxmlformats.org/officeDocument/2006/relationships/hyperlink" Target="https://doi.org/10.1073/pnas.2615678123" TargetMode="External"/><Relationship Id="rId894" Type="http://schemas.openxmlformats.org/officeDocument/2006/relationships/hyperlink" Target="https://www.pnas.org/doi/abs/10.1073/pnas.2603388123?mi=eymic2&amp;af=R&amp;access=on&amp;content=articlesChapters&amp;publication=pnas&amp;sortBy=Earliest&amp;target=default" TargetMode="External"/><Relationship Id="rId895" Type="http://schemas.openxmlformats.org/officeDocument/2006/relationships/hyperlink" Target="https://doi.org/10.1073/pnas.2603388123" TargetMode="External"/><Relationship Id="rId896" Type="http://schemas.openxmlformats.org/officeDocument/2006/relationships/hyperlink" Target="https://www.pnas.org/doi/abs/10.1073/pnas.2603772123?mi=eymic2&amp;af=R&amp;access=on&amp;content=articlesChapters&amp;publication=pnas&amp;sortBy=Earliest&amp;target=default" TargetMode="External"/><Relationship Id="rId897" Type="http://schemas.openxmlformats.org/officeDocument/2006/relationships/hyperlink" Target="https://doi.org/10.1073/pnas.2603772123" TargetMode="External"/><Relationship Id="rId898" Type="http://schemas.openxmlformats.org/officeDocument/2006/relationships/hyperlink" Target="https://www.pnas.org/doi/abs/10.1073/pnas.2602778123?mi=eymic2&amp;af=R&amp;access=on&amp;content=articlesChapters&amp;publication=pnas&amp;sortBy=Earliest&amp;target=default" TargetMode="External"/><Relationship Id="rId899" Type="http://schemas.openxmlformats.org/officeDocument/2006/relationships/hyperlink" Target="https://doi.org/10.1073/pnas.2602778123" TargetMode="External"/><Relationship Id="rId900" Type="http://schemas.openxmlformats.org/officeDocument/2006/relationships/hyperlink" Target="https://www.pnas.org/doi/abs/10.1073/pnas.2610068123?mi=eymic2&amp;af=R&amp;access=on&amp;content=articlesChapters&amp;publication=pnas&amp;sortBy=Earliest&amp;target=default" TargetMode="External"/><Relationship Id="rId901" Type="http://schemas.openxmlformats.org/officeDocument/2006/relationships/hyperlink" Target="https://doi.org/10.1073/pnas.2610068123" TargetMode="External"/><Relationship Id="rId902" Type="http://schemas.openxmlformats.org/officeDocument/2006/relationships/hyperlink" Target="https://www.pnas.org/doi/abs/10.1073/pnas.2609827123?mi=eymic2&amp;af=R&amp;access=on&amp;content=articlesChapters&amp;publication=pnas&amp;sortBy=Earliest&amp;target=default" TargetMode="External"/><Relationship Id="rId903" Type="http://schemas.openxmlformats.org/officeDocument/2006/relationships/hyperlink" Target="https://doi.org/10.1073/pnas.2609827123" TargetMode="External"/><Relationship Id="rId904" Type="http://schemas.openxmlformats.org/officeDocument/2006/relationships/hyperlink" Target="https://www.pnas.org/doi/abs/10.1073/pnas.2609022123?mi=eymic2&amp;af=R&amp;access=on&amp;content=articlesChapters&amp;publication=pnas&amp;sortBy=Earliest&amp;target=default" TargetMode="External"/><Relationship Id="rId905" Type="http://schemas.openxmlformats.org/officeDocument/2006/relationships/hyperlink" Target="https://doi.org/10.1073/pnas.2609022123" TargetMode="External"/><Relationship Id="rId906" Type="http://schemas.openxmlformats.org/officeDocument/2006/relationships/hyperlink" Target="https://www.pnas.org/doi/abs/10.1073/pnas.2608896123?mi=eymic2&amp;af=R&amp;access=on&amp;content=articlesChapters&amp;publication=pnas&amp;sortBy=Earliest&amp;target=default" TargetMode="External"/><Relationship Id="rId907" Type="http://schemas.openxmlformats.org/officeDocument/2006/relationships/hyperlink" Target="https://doi.org/10.1073/pnas.2608896123" TargetMode="External"/><Relationship Id="rId908" Type="http://schemas.openxmlformats.org/officeDocument/2006/relationships/hyperlink" Target="https://www.pnas.org/doi/abs/10.1073/pnas.2606495123?mi=eymic2&amp;af=R&amp;access=on&amp;content=articlesChapters&amp;publication=pnas&amp;sortBy=Earliest&amp;target=default" TargetMode="External"/><Relationship Id="rId909" Type="http://schemas.openxmlformats.org/officeDocument/2006/relationships/hyperlink" Target="https://doi.org/10.1073/pnas.2606495123" TargetMode="External"/><Relationship Id="rId910" Type="http://schemas.openxmlformats.org/officeDocument/2006/relationships/hyperlink" Target="https://www.pnas.org/doi/abs/10.1073/pnas.2604560123?mi=eymic2&amp;af=R&amp;access=on&amp;content=articlesChapters&amp;publication=pnas&amp;sortBy=Earliest&amp;target=default" TargetMode="External"/><Relationship Id="rId911" Type="http://schemas.openxmlformats.org/officeDocument/2006/relationships/hyperlink" Target="https://doi.org/10.1073/pnas.2604560123" TargetMode="External"/><Relationship Id="rId912" Type="http://schemas.openxmlformats.org/officeDocument/2006/relationships/hyperlink" Target="https://www.pnas.org/doi/abs/10.1073/pnas.2602208123?mi=eymic2&amp;af=R&amp;access=on&amp;content=articlesChapters&amp;publication=pnas&amp;sortBy=Earliest&amp;target=default" TargetMode="External"/><Relationship Id="rId913" Type="http://schemas.openxmlformats.org/officeDocument/2006/relationships/hyperlink" Target="https://doi.org/10.1073/pnas.2602208123" TargetMode="External"/><Relationship Id="rId914" Type="http://schemas.openxmlformats.org/officeDocument/2006/relationships/hyperlink" Target="https://www.pnas.org/doi/abs/10.1073/pnas.2525799123?mi=eymic2&amp;af=R&amp;access=on&amp;content=articlesChapters&amp;publication=pnas&amp;sortBy=Earliest&amp;target=default" TargetMode="External"/><Relationship Id="rId915" Type="http://schemas.openxmlformats.org/officeDocument/2006/relationships/hyperlink" Target="https://doi.org/10.1073/pnas.2525799123" TargetMode="External"/><Relationship Id="rId916" Type="http://schemas.openxmlformats.org/officeDocument/2006/relationships/hyperlink" Target="https://www.pnas.org/doi/abs/10.1073/pnas.2537017123?mi=eymic2&amp;af=R&amp;access=on&amp;content=articlesChapters&amp;publication=pnas&amp;sortBy=Earliest&amp;target=default" TargetMode="External"/><Relationship Id="rId917" Type="http://schemas.openxmlformats.org/officeDocument/2006/relationships/hyperlink" Target="https://doi.org/10.1073/pnas.2537017123" TargetMode="External"/><Relationship Id="rId918" Type="http://schemas.openxmlformats.org/officeDocument/2006/relationships/hyperlink" Target="http://link.aps.org/doi/10.1103/g4wr-5vfy" TargetMode="External"/><Relationship Id="rId919" Type="http://schemas.openxmlformats.org/officeDocument/2006/relationships/hyperlink" Target="https://doi.org/10.1103/g4wr-5vfy" TargetMode="External"/><Relationship Id="rId920" Type="http://schemas.openxmlformats.org/officeDocument/2006/relationships/hyperlink" Target="http://link.aps.org/doi/10.1103/nm5t-qk3h" TargetMode="External"/><Relationship Id="rId921" Type="http://schemas.openxmlformats.org/officeDocument/2006/relationships/hyperlink" Target="https://doi.org/10.1103/nm5t-qk3h" TargetMode="External"/><Relationship Id="rId922" Type="http://schemas.openxmlformats.org/officeDocument/2006/relationships/hyperlink" Target="http://link.aps.org/doi/10.1103/g865-9mk1" TargetMode="External"/><Relationship Id="rId923" Type="http://schemas.openxmlformats.org/officeDocument/2006/relationships/hyperlink" Target="https://doi.org/10.1103/g865-9mk1" TargetMode="External"/><Relationship Id="rId924" Type="http://schemas.openxmlformats.org/officeDocument/2006/relationships/hyperlink" Target="http://link.aps.org/doi/10.1103/2wnk-dpxp" TargetMode="External"/><Relationship Id="rId925" Type="http://schemas.openxmlformats.org/officeDocument/2006/relationships/hyperlink" Target="https://doi.org/10.1103/2wnk-dpxp" TargetMode="External"/><Relationship Id="rId926" Type="http://schemas.openxmlformats.org/officeDocument/2006/relationships/hyperlink" Target="http://link.aps.org/doi/10.1103/8s5j-63xf" TargetMode="External"/><Relationship Id="rId927" Type="http://schemas.openxmlformats.org/officeDocument/2006/relationships/hyperlink" Target="https://doi.org/10.1103/8s5j-63xf" TargetMode="External"/><Relationship Id="rId928" Type="http://schemas.openxmlformats.org/officeDocument/2006/relationships/hyperlink" Target="http://link.aps.org/doi/10.1103/5j3k-hztz" TargetMode="External"/><Relationship Id="rId929" Type="http://schemas.openxmlformats.org/officeDocument/2006/relationships/hyperlink" Target="https://doi.org/10.1103/5j3k-hztz" TargetMode="External"/><Relationship Id="rId930" Type="http://schemas.openxmlformats.org/officeDocument/2006/relationships/hyperlink" Target="http://link.aps.org/doi/10.1103/n11w-csdh" TargetMode="External"/><Relationship Id="rId931" Type="http://schemas.openxmlformats.org/officeDocument/2006/relationships/hyperlink" Target="https://doi.org/10.1103/n11w-csdh" TargetMode="External"/><Relationship Id="rId932" Type="http://schemas.openxmlformats.org/officeDocument/2006/relationships/hyperlink" Target="http://link.aps.org/doi/10.1103/sqhm-bpsb" TargetMode="External"/><Relationship Id="rId933" Type="http://schemas.openxmlformats.org/officeDocument/2006/relationships/hyperlink" Target="https://doi.org/10.1103/sqhm-bpsb" TargetMode="External"/><Relationship Id="rId934" Type="http://schemas.openxmlformats.org/officeDocument/2006/relationships/hyperlink" Target="http://link.aps.org/doi/10.1103/dqvd-15q4" TargetMode="External"/><Relationship Id="rId935" Type="http://schemas.openxmlformats.org/officeDocument/2006/relationships/hyperlink" Target="https://doi.org/10.1103/dqvd-15q4" TargetMode="External"/><Relationship Id="rId936" Type="http://schemas.openxmlformats.org/officeDocument/2006/relationships/hyperlink" Target="https://pubs.acs.org/doi/10.1021/acs.chemrev.5c00939" TargetMode="External"/><Relationship Id="rId937" Type="http://schemas.openxmlformats.org/officeDocument/2006/relationships/hyperlink" Target="https://doi.org/10.1021/acs.chemrev.5c00939" TargetMode="External"/><Relationship Id="rId938" Type="http://schemas.openxmlformats.org/officeDocument/2006/relationships/hyperlink" Target="https://www.nature.com/articles/s41586-026-10895-9" TargetMode="External"/><Relationship Id="rId939" Type="http://schemas.openxmlformats.org/officeDocument/2006/relationships/hyperlink" Target="https://doi.org/10.1038/s41586-026-10895-9" TargetMode="External"/><Relationship Id="rId940" Type="http://schemas.openxmlformats.org/officeDocument/2006/relationships/hyperlink" Target="https://www.nature.com/articles/s41586-026-10782-3" TargetMode="External"/><Relationship Id="rId941" Type="http://schemas.openxmlformats.org/officeDocument/2006/relationships/hyperlink" Target="https://doi.org/10.1038/s41586-026-10782-3" TargetMode="External"/><Relationship Id="rId942" Type="http://schemas.openxmlformats.org/officeDocument/2006/relationships/hyperlink" Target="https://www.nature.com/articles/d41586-026-02186-0" TargetMode="External"/><Relationship Id="rId943" Type="http://schemas.openxmlformats.org/officeDocument/2006/relationships/hyperlink" Target="https://doi.org/10.1038/d41586-026-02186-0" TargetMode="External"/><Relationship Id="rId944" Type="http://schemas.openxmlformats.org/officeDocument/2006/relationships/hyperlink" Target="https://www.nature.com/articles/s41586-026-10775-2" TargetMode="External"/><Relationship Id="rId945" Type="http://schemas.openxmlformats.org/officeDocument/2006/relationships/hyperlink" Target="https://doi.org/10.1038/s41586-026-10775-2" TargetMode="External"/><Relationship Id="rId946" Type="http://schemas.openxmlformats.org/officeDocument/2006/relationships/hyperlink" Target="https://www.cell.com/matter/fulltext/S2590-2385(26)00283-3?rss=yes" TargetMode="External"/><Relationship Id="rId947" Type="http://schemas.openxmlformats.org/officeDocument/2006/relationships/hyperlink" Target="https://doi.org/10.1016/j.matt.2026.102920" TargetMode="External"/><Relationship Id="rId948" Type="http://schemas.openxmlformats.org/officeDocument/2006/relationships/hyperlink" Target="https://www.sciencedirect.com/science/article/pii/S0306261926009736?dgcid=rss_sd_all" TargetMode="External"/><Relationship Id="rId949" Type="http://schemas.openxmlformats.org/officeDocument/2006/relationships/hyperlink" Target="https://www.sciencedirect.com/science/article/pii/S0306261926010925?dgcid=rss_sd_all" TargetMode="External"/><Relationship Id="rId950" Type="http://schemas.openxmlformats.org/officeDocument/2006/relationships/hyperlink" Target="https://www.sciencedirect.com/science/article/pii/S0306261926010615?dgcid=rss_sd_all" TargetMode="External"/><Relationship Id="rId951" Type="http://schemas.openxmlformats.org/officeDocument/2006/relationships/hyperlink" Target="https://www.nature.com/articles/s41467-026-74960-7" TargetMode="External"/><Relationship Id="rId952" Type="http://schemas.openxmlformats.org/officeDocument/2006/relationships/hyperlink" Target="https://www.nature.com/articles/s41467-026-75610-8" TargetMode="External"/><Relationship Id="rId953" Type="http://schemas.openxmlformats.org/officeDocument/2006/relationships/hyperlink" Target="https://www.nature.com/articles/s41586-026-10789-w" TargetMode="External"/><Relationship Id="rId954" Type="http://schemas.openxmlformats.org/officeDocument/2006/relationships/hyperlink" Target="https://doi.org/10.1038/s41586-026-10789-w" TargetMode="External"/><Relationship Id="rId955" Type="http://schemas.openxmlformats.org/officeDocument/2006/relationships/hyperlink" Target="https://www.nature.com/articles/s41467-026-74371-8" TargetMode="External"/><Relationship Id="rId956" Type="http://schemas.openxmlformats.org/officeDocument/2006/relationships/hyperlink" Target="https://www.nature.com/articles/s41586-026-10743-w" TargetMode="External"/><Relationship Id="rId957" Type="http://schemas.openxmlformats.org/officeDocument/2006/relationships/hyperlink" Target="https://doi.org/10.1038/s41586-026-10743-w" TargetMode="External"/><Relationship Id="rId958" Type="http://schemas.openxmlformats.org/officeDocument/2006/relationships/hyperlink" Target="https://www.nature.com/articles/s41586-026-10790-3" TargetMode="External"/><Relationship Id="rId959" Type="http://schemas.openxmlformats.org/officeDocument/2006/relationships/hyperlink" Target="https://doi.org/10.1038/s41586-026-10790-3" TargetMode="External"/><Relationship Id="rId960" Type="http://schemas.openxmlformats.org/officeDocument/2006/relationships/hyperlink" Target="https://www.nature.com/articles/s41586-026-10757-4" TargetMode="External"/><Relationship Id="rId961" Type="http://schemas.openxmlformats.org/officeDocument/2006/relationships/hyperlink" Target="https://doi.org/10.1038/s41586-026-10757-4" TargetMode="External"/><Relationship Id="rId962" Type="http://schemas.openxmlformats.org/officeDocument/2006/relationships/hyperlink" Target="https://www.nature.com/articles/s41586-026-10804-0" TargetMode="External"/><Relationship Id="rId963" Type="http://schemas.openxmlformats.org/officeDocument/2006/relationships/hyperlink" Target="https://doi.org/10.1038/s41586-026-10804-0" TargetMode="External"/><Relationship Id="rId964" Type="http://schemas.openxmlformats.org/officeDocument/2006/relationships/hyperlink" Target="https://www.nature.com/articles/s41467-026-74042-8" TargetMode="External"/><Relationship Id="rId965" Type="http://schemas.openxmlformats.org/officeDocument/2006/relationships/hyperlink" Target="https://www.nature.com/articles/s41586-026-10801-3" TargetMode="External"/><Relationship Id="rId966" Type="http://schemas.openxmlformats.org/officeDocument/2006/relationships/hyperlink" Target="https://doi.org/10.1038/s41586-026-10801-3" TargetMode="External"/><Relationship Id="rId967" Type="http://schemas.openxmlformats.org/officeDocument/2006/relationships/hyperlink" Target="https://www.nature.com/articles/s41586-026-10772-5" TargetMode="External"/><Relationship Id="rId968" Type="http://schemas.openxmlformats.org/officeDocument/2006/relationships/hyperlink" Target="https://doi.org/10.1038/s41586-026-10772-5" TargetMode="External"/><Relationship Id="rId969" Type="http://schemas.openxmlformats.org/officeDocument/2006/relationships/hyperlink" Target="https://www.nature.com/articles/d41586-026-02168-2" TargetMode="External"/><Relationship Id="rId970" Type="http://schemas.openxmlformats.org/officeDocument/2006/relationships/hyperlink" Target="https://doi.org/10.1038/d41586-026-02168-2" TargetMode="External"/><Relationship Id="rId971" Type="http://schemas.openxmlformats.org/officeDocument/2006/relationships/hyperlink" Target="https://www.nature.com/articles/d41586-026-02221-0" TargetMode="External"/><Relationship Id="rId972" Type="http://schemas.openxmlformats.org/officeDocument/2006/relationships/hyperlink" Target="https://doi.org/10.1038/d41586-026-02221-0" TargetMode="External"/><Relationship Id="rId973" Type="http://schemas.openxmlformats.org/officeDocument/2006/relationships/hyperlink" Target="https://www.nature.com/articles/s41467-026-75075-9" TargetMode="External"/><Relationship Id="rId974" Type="http://schemas.openxmlformats.org/officeDocument/2006/relationships/hyperlink" Target="https://www.nature.com/articles/s41586-026-10709-y" TargetMode="External"/><Relationship Id="rId975" Type="http://schemas.openxmlformats.org/officeDocument/2006/relationships/hyperlink" Target="https://doi.org/10.1038/s41586-026-10709-y" TargetMode="External"/><Relationship Id="rId976" Type="http://schemas.openxmlformats.org/officeDocument/2006/relationships/hyperlink" Target="https://pubs.acs.org/doi/10.1021/jacs.6c07859" TargetMode="External"/><Relationship Id="rId977" Type="http://schemas.openxmlformats.org/officeDocument/2006/relationships/hyperlink" Target="https://doi.org/10.1021/jacs.6c07859" TargetMode="External"/><Relationship Id="rId978" Type="http://schemas.openxmlformats.org/officeDocument/2006/relationships/hyperlink" Target="https://www.nature.com/articles/s41467-026-75435-5" TargetMode="External"/><Relationship Id="rId979" Type="http://schemas.openxmlformats.org/officeDocument/2006/relationships/hyperlink" Target="https://pubs.acs.org/doi/10.1021/jacs.6c10830" TargetMode="External"/><Relationship Id="rId980" Type="http://schemas.openxmlformats.org/officeDocument/2006/relationships/hyperlink" Target="https://doi.org/10.1021/jacs.6c10830" TargetMode="External"/><Relationship Id="rId981" Type="http://schemas.openxmlformats.org/officeDocument/2006/relationships/hyperlink" Target="https://www.sciencedirect.com/science/article/pii/S0306261926010883?dgcid=rss_sd_all" TargetMode="External"/><Relationship Id="rId982" Type="http://schemas.openxmlformats.org/officeDocument/2006/relationships/hyperlink" Target="https://www.sciencedirect.com/science/article/pii/S0306261926010718?dgcid=rss_sd_all" TargetMode="External"/><Relationship Id="rId983" Type="http://schemas.openxmlformats.org/officeDocument/2006/relationships/hyperlink" Target="https://www.sciencedirect.com/science/article/pii/S0306261926009943?dgcid=rss_sd_all" TargetMode="External"/><Relationship Id="rId984" Type="http://schemas.openxmlformats.org/officeDocument/2006/relationships/hyperlink" Target="https://www.sciencedirect.com/science/article/pii/S0306261926010469?dgcid=rss_sd_all" TargetMode="External"/><Relationship Id="rId985" Type="http://schemas.openxmlformats.org/officeDocument/2006/relationships/hyperlink" Target="https://www.nature.com/articles/d41586-026-02204-1" TargetMode="External"/><Relationship Id="rId986" Type="http://schemas.openxmlformats.org/officeDocument/2006/relationships/hyperlink" Target="https://doi.org/10.1038/d41586-026-02204-1" TargetMode="External"/><Relationship Id="rId987" Type="http://schemas.openxmlformats.org/officeDocument/2006/relationships/hyperlink" Target="https://pubs.acs.org/doi/10.1021/jacs.6c07345" TargetMode="External"/><Relationship Id="rId988" Type="http://schemas.openxmlformats.org/officeDocument/2006/relationships/hyperlink" Target="https://doi.org/10.1021/jacs.6c07345" TargetMode="External"/><Relationship Id="rId989" Type="http://schemas.openxmlformats.org/officeDocument/2006/relationships/hyperlink" Target="https://pubs.acs.org/doi/10.1021/jacs.5c18611" TargetMode="External"/><Relationship Id="rId990" Type="http://schemas.openxmlformats.org/officeDocument/2006/relationships/hyperlink" Target="https://doi.org/10.1021/jacs.5c18611" TargetMode="External"/><Relationship Id="rId991" Type="http://schemas.openxmlformats.org/officeDocument/2006/relationships/hyperlink" Target="https://www.sciencedirect.com/science/article/pii/S0306261926010421?dgcid=rss_sd_all" TargetMode="External"/><Relationship Id="rId992" Type="http://schemas.openxmlformats.org/officeDocument/2006/relationships/hyperlink" Target="https://pubs.acs.org/doi/10.1021/jacs.6c06445" TargetMode="External"/><Relationship Id="rId993" Type="http://schemas.openxmlformats.org/officeDocument/2006/relationships/hyperlink" Target="https://doi.org/10.1021/jacs.6c06445" TargetMode="External"/><Relationship Id="rId994" Type="http://schemas.openxmlformats.org/officeDocument/2006/relationships/hyperlink" Target="https://pubs.acs.org/doi/10.1021/jacs.6c08579" TargetMode="External"/><Relationship Id="rId995" Type="http://schemas.openxmlformats.org/officeDocument/2006/relationships/hyperlink" Target="https://doi.org/10.1021/jacs.6c08579" TargetMode="External"/><Relationship Id="rId996" Type="http://schemas.openxmlformats.org/officeDocument/2006/relationships/hyperlink" Target="https://pubs.acs.org/doi/10.1021/jacs.6c09874" TargetMode="External"/><Relationship Id="rId997" Type="http://schemas.openxmlformats.org/officeDocument/2006/relationships/hyperlink" Target="https://doi.org/10.1021/jacs.6c09874" TargetMode="External"/><Relationship Id="rId998" Type="http://schemas.openxmlformats.org/officeDocument/2006/relationships/hyperlink" Target="https://www.sciencedirect.com/science/article/pii/S0306261926010275?dgcid=rss_sd_all" TargetMode="External"/><Relationship Id="rId999" Type="http://schemas.openxmlformats.org/officeDocument/2006/relationships/hyperlink" Target="https://www.sciencedirect.com/science/article/pii/S0306261926010500?dgcid=rss_sd_all" TargetMode="External"/><Relationship Id="rId1000" Type="http://schemas.openxmlformats.org/officeDocument/2006/relationships/hyperlink" Target="https://www.nature.com/articles/d41586-026-02071-w" TargetMode="External"/><Relationship Id="rId1001" Type="http://schemas.openxmlformats.org/officeDocument/2006/relationships/hyperlink" Target="https://doi.org/10.1038/d41586-026-02071-w" TargetMode="External"/><Relationship Id="rId1002" Type="http://schemas.openxmlformats.org/officeDocument/2006/relationships/hyperlink" Target="https://pubs.acs.org/doi/10.1021/jacs.6c08412" TargetMode="External"/><Relationship Id="rId1003" Type="http://schemas.openxmlformats.org/officeDocument/2006/relationships/hyperlink" Target="https://doi.org/10.1021/jacs.6c08412" TargetMode="External"/><Relationship Id="rId1004" Type="http://schemas.openxmlformats.org/officeDocument/2006/relationships/hyperlink" Target="https://pubs.acs.org/doi/10.1021/jacs.6c07565" TargetMode="External"/><Relationship Id="rId1005" Type="http://schemas.openxmlformats.org/officeDocument/2006/relationships/hyperlink" Target="https://doi.org/10.1021/jacs.6c07565" TargetMode="External"/><Relationship Id="rId1006" Type="http://schemas.openxmlformats.org/officeDocument/2006/relationships/hyperlink" Target="https://pubs.acs.org/doi/10.1021/jacs.6c05302" TargetMode="External"/><Relationship Id="rId1007" Type="http://schemas.openxmlformats.org/officeDocument/2006/relationships/hyperlink" Target="https://doi.org/10.1021/jacs.6c05302" TargetMode="External"/><Relationship Id="rId1008" Type="http://schemas.openxmlformats.org/officeDocument/2006/relationships/hyperlink" Target="https://www.nature.com/articles/d41586-026-02161-9" TargetMode="External"/><Relationship Id="rId1009" Type="http://schemas.openxmlformats.org/officeDocument/2006/relationships/hyperlink" Target="https://doi.org/10.1038/d41586-026-02161-9" TargetMode="External"/><Relationship Id="rId1010" Type="http://schemas.openxmlformats.org/officeDocument/2006/relationships/hyperlink" Target="https://www.nature.com/articles/d41586-026-02039-w" TargetMode="External"/><Relationship Id="rId1011" Type="http://schemas.openxmlformats.org/officeDocument/2006/relationships/hyperlink" Target="https://doi.org/10.1038/d41586-026-02039-w" TargetMode="External"/><Relationship Id="rId1012" Type="http://schemas.openxmlformats.org/officeDocument/2006/relationships/hyperlink" Target="https://www.nature.com/articles/d41586-026-02147-7" TargetMode="External"/><Relationship Id="rId1013" Type="http://schemas.openxmlformats.org/officeDocument/2006/relationships/hyperlink" Target="https://doi.org/10.1038/d41586-026-02147-7" TargetMode="External"/><Relationship Id="rId1014" Type="http://schemas.openxmlformats.org/officeDocument/2006/relationships/hyperlink" Target="https://pubs.acs.org/doi/10.1021/jacs.6c11866" TargetMode="External"/><Relationship Id="rId1015" Type="http://schemas.openxmlformats.org/officeDocument/2006/relationships/hyperlink" Target="https://doi.org/10.1021/jacs.6c11866" TargetMode="External"/><Relationship Id="rId1016" Type="http://schemas.openxmlformats.org/officeDocument/2006/relationships/hyperlink" Target="https://www.nature.com/articles/d41586-026-02150-y" TargetMode="External"/><Relationship Id="rId1017" Type="http://schemas.openxmlformats.org/officeDocument/2006/relationships/hyperlink" Target="https://doi.org/10.1038/d41586-026-02150-y" TargetMode="External"/><Relationship Id="rId1018" Type="http://schemas.openxmlformats.org/officeDocument/2006/relationships/hyperlink" Target="https://www.nature.com/articles/s41467-026-75647-9" TargetMode="External"/><Relationship Id="rId1019" Type="http://schemas.openxmlformats.org/officeDocument/2006/relationships/hyperlink" Target="https://www.nature.com/articles/s41467-026-75603-7" TargetMode="External"/><Relationship Id="rId1020" Type="http://schemas.openxmlformats.org/officeDocument/2006/relationships/hyperlink" Target="https://www.nature.com/articles/d41586-026-02016-3" TargetMode="External"/><Relationship Id="rId1021" Type="http://schemas.openxmlformats.org/officeDocument/2006/relationships/hyperlink" Target="https://doi.org/10.1038/d41586-026-02016-3" TargetMode="External"/><Relationship Id="rId1022" Type="http://schemas.openxmlformats.org/officeDocument/2006/relationships/hyperlink" Target="https://www.nature.com/articles/s41586-026-10793-0" TargetMode="External"/><Relationship Id="rId1023" Type="http://schemas.openxmlformats.org/officeDocument/2006/relationships/hyperlink" Target="https://doi.org/10.1038/s41586-026-10793-0" TargetMode="External"/><Relationship Id="rId1024" Type="http://schemas.openxmlformats.org/officeDocument/2006/relationships/hyperlink" Target="https://www.nature.com/articles/s41586-026-10779-y" TargetMode="External"/><Relationship Id="rId1025" Type="http://schemas.openxmlformats.org/officeDocument/2006/relationships/hyperlink" Target="https://doi.org/10.1038/s41586-026-10779-y" TargetMode="External"/><Relationship Id="rId1026" Type="http://schemas.openxmlformats.org/officeDocument/2006/relationships/hyperlink" Target="https://www.nature.com/articles/s41586-026-10762-7" TargetMode="External"/><Relationship Id="rId1027" Type="http://schemas.openxmlformats.org/officeDocument/2006/relationships/hyperlink" Target="https://doi.org/10.1038/s41586-026-10762-7" TargetMode="External"/><Relationship Id="rId1028" Type="http://schemas.openxmlformats.org/officeDocument/2006/relationships/hyperlink" Target="https://www.nature.com/articles/s41586-026-10781-4" TargetMode="External"/><Relationship Id="rId1029" Type="http://schemas.openxmlformats.org/officeDocument/2006/relationships/hyperlink" Target="https://doi.org/10.1038/s41586-026-10781-4" TargetMode="External"/><Relationship Id="rId1030" Type="http://schemas.openxmlformats.org/officeDocument/2006/relationships/hyperlink" Target="https://www.nature.com/articles/s41586-026-10758-3" TargetMode="External"/><Relationship Id="rId1031" Type="http://schemas.openxmlformats.org/officeDocument/2006/relationships/hyperlink" Target="https://doi.org/10.1038/s41586-026-10758-3" TargetMode="External"/><Relationship Id="rId1032" Type="http://schemas.openxmlformats.org/officeDocument/2006/relationships/hyperlink" Target="https://www.nature.com/articles/s41586-026-10786-z" TargetMode="External"/><Relationship Id="rId1033" Type="http://schemas.openxmlformats.org/officeDocument/2006/relationships/hyperlink" Target="https://doi.org/10.1038/s41586-026-10786-z" TargetMode="External"/><Relationship Id="rId1034" Type="http://schemas.openxmlformats.org/officeDocument/2006/relationships/hyperlink" Target="https://www.nature.com/articles/s41586-026-10765-4" TargetMode="External"/><Relationship Id="rId1035" Type="http://schemas.openxmlformats.org/officeDocument/2006/relationships/hyperlink" Target="https://doi.org/10.1038/s41586-026-10765-4" TargetMode="External"/><Relationship Id="rId1036" Type="http://schemas.openxmlformats.org/officeDocument/2006/relationships/hyperlink" Target="https://www.nature.com/articles/d41586-026-02133-z" TargetMode="External"/><Relationship Id="rId1037" Type="http://schemas.openxmlformats.org/officeDocument/2006/relationships/hyperlink" Target="https://doi.org/10.1038/d41586-026-02133-z" TargetMode="External"/><Relationship Id="rId1038" Type="http://schemas.openxmlformats.org/officeDocument/2006/relationships/hyperlink" Target="https://www.nature.com/articles/s41467-026-75333-w" TargetMode="External"/><Relationship Id="rId1039" Type="http://schemas.openxmlformats.org/officeDocument/2006/relationships/hyperlink" Target="https://www.nature.com/articles/s41467-026-75619-z" TargetMode="External"/><Relationship Id="rId1040" Type="http://schemas.openxmlformats.org/officeDocument/2006/relationships/hyperlink" Target="https://www.nature.com/articles/d41586-026-01945-3" TargetMode="External"/><Relationship Id="rId1041" Type="http://schemas.openxmlformats.org/officeDocument/2006/relationships/hyperlink" Target="https://doi.org/10.1038/d41586-026-01945-3" TargetMode="External"/><Relationship Id="rId1042" Type="http://schemas.openxmlformats.org/officeDocument/2006/relationships/hyperlink" Target="https://www.nature.com/articles/d41586-026-01674-7" TargetMode="External"/><Relationship Id="rId1043" Type="http://schemas.openxmlformats.org/officeDocument/2006/relationships/hyperlink" Target="https://doi.org/10.1038/d41586-026-01674-7" TargetMode="External"/><Relationship Id="rId1044" Type="http://schemas.openxmlformats.org/officeDocument/2006/relationships/hyperlink" Target="https://www.nature.com/articles/d41586-026-02038-x" TargetMode="External"/><Relationship Id="rId1045" Type="http://schemas.openxmlformats.org/officeDocument/2006/relationships/hyperlink" Target="https://doi.org/10.1038/d41586-026-02038-x" TargetMode="External"/><Relationship Id="rId1046" Type="http://schemas.openxmlformats.org/officeDocument/2006/relationships/hyperlink" Target="https://pubs.acs.org/doi/10.1021/acsami.6c09414" TargetMode="External"/><Relationship Id="rId1047" Type="http://schemas.openxmlformats.org/officeDocument/2006/relationships/hyperlink" Target="https://doi.org/10.1021/acsami.6c09414" TargetMode="External"/><Relationship Id="rId1048" Type="http://schemas.openxmlformats.org/officeDocument/2006/relationships/hyperlink" Target="https://pubs.acs.org/doi/10.1021/acsami.6c05934" TargetMode="External"/><Relationship Id="rId1049" Type="http://schemas.openxmlformats.org/officeDocument/2006/relationships/hyperlink" Target="https://doi.org/10.1021/acsami.6c05934" TargetMode="External"/><Relationship Id="rId1050" Type="http://schemas.openxmlformats.org/officeDocument/2006/relationships/hyperlink" Target="https://pubs.acs.org/doi/10.1021/acsami.6c09491" TargetMode="External"/><Relationship Id="rId1051" Type="http://schemas.openxmlformats.org/officeDocument/2006/relationships/hyperlink" Target="https://doi.org/10.1021/acsami.6c09491" TargetMode="External"/><Relationship Id="rId1052" Type="http://schemas.openxmlformats.org/officeDocument/2006/relationships/hyperlink" Target="https://pubs.acs.org/doi/10.1021/acsami.6c06581" TargetMode="External"/><Relationship Id="rId1053" Type="http://schemas.openxmlformats.org/officeDocument/2006/relationships/hyperlink" Target="https://doi.org/10.1021/acsami.6c06581" TargetMode="External"/><Relationship Id="rId1054" Type="http://schemas.openxmlformats.org/officeDocument/2006/relationships/hyperlink" Target="https://pubs.acs.org/doi/10.1021/acsami.6c08372" TargetMode="External"/><Relationship Id="rId1055" Type="http://schemas.openxmlformats.org/officeDocument/2006/relationships/hyperlink" Target="https://doi.org/10.1021/acsami.6c08372" TargetMode="External"/><Relationship Id="rId1056" Type="http://schemas.openxmlformats.org/officeDocument/2006/relationships/hyperlink" Target="https://www.nature.com/articles/s41586-026-10722-1" TargetMode="External"/><Relationship Id="rId1057" Type="http://schemas.openxmlformats.org/officeDocument/2006/relationships/hyperlink" Target="https://doi.org/10.1038/s41586-026-10722-1" TargetMode="External"/><Relationship Id="rId1058" Type="http://schemas.openxmlformats.org/officeDocument/2006/relationships/hyperlink" Target="https://pubs.acs.org/doi/10.1021/acsami.6c06847" TargetMode="External"/><Relationship Id="rId1059" Type="http://schemas.openxmlformats.org/officeDocument/2006/relationships/hyperlink" Target="https://doi.org/10.1021/acsami.6c06847" TargetMode="External"/><Relationship Id="rId1060" Type="http://schemas.openxmlformats.org/officeDocument/2006/relationships/hyperlink" Target="https://www.nature.com/articles/s41467-026-75432-8" TargetMode="External"/><Relationship Id="rId1061" Type="http://schemas.openxmlformats.org/officeDocument/2006/relationships/hyperlink" Target="https://www.nature.com/articles/s41467-026-75558-9" TargetMode="External"/><Relationship Id="rId1062" Type="http://schemas.openxmlformats.org/officeDocument/2006/relationships/hyperlink" Target="https://www.nature.com/articles/s41586-026-10668-4" TargetMode="External"/><Relationship Id="rId1063" Type="http://schemas.openxmlformats.org/officeDocument/2006/relationships/hyperlink" Target="https://doi.org/10.1038/s41586-026-10668-4" TargetMode="External"/><Relationship Id="rId1064" Type="http://schemas.openxmlformats.org/officeDocument/2006/relationships/hyperlink" Target="https://www.nature.com/articles/s41467-026-75397-8" TargetMode="External"/><Relationship Id="rId1065" Type="http://schemas.openxmlformats.org/officeDocument/2006/relationships/hyperlink" Target="https://www.nature.com/articles/d41586-026-02216-x" TargetMode="External"/><Relationship Id="rId1066" Type="http://schemas.openxmlformats.org/officeDocument/2006/relationships/hyperlink" Target="https://doi.org/10.1038/d41586-026-02216-x" TargetMode="External"/><Relationship Id="rId1067" Type="http://schemas.openxmlformats.org/officeDocument/2006/relationships/hyperlink" Target="https://www.nature.com/articles/s41467-026-75393-y" TargetMode="External"/><Relationship Id="rId1068" Type="http://schemas.openxmlformats.org/officeDocument/2006/relationships/hyperlink" Target="https://www.nature.com/articles/s41467-026-75557-w" TargetMode="External"/><Relationship Id="rId1069" Type="http://schemas.openxmlformats.org/officeDocument/2006/relationships/hyperlink" Target="https://www.nature.com/articles/s41467-026-75632-2" TargetMode="External"/><Relationship Id="rId1070" Type="http://schemas.openxmlformats.org/officeDocument/2006/relationships/hyperlink" Target="https://www.nature.com/articles/s41586-026-10897-7" TargetMode="External"/><Relationship Id="rId1071" Type="http://schemas.openxmlformats.org/officeDocument/2006/relationships/hyperlink" Target="https://doi.org/10.1038/s41586-026-10897-7" TargetMode="External"/><Relationship Id="rId1072" Type="http://schemas.openxmlformats.org/officeDocument/2006/relationships/hyperlink" Target="https://www.nature.com/articles/s41467-026-75715-0" TargetMode="External"/><Relationship Id="rId1073" Type="http://schemas.openxmlformats.org/officeDocument/2006/relationships/hyperlink" Target="https://www.nature.com/articles/s41467-026-75183-6" TargetMode="External"/><Relationship Id="rId1074" Type="http://schemas.openxmlformats.org/officeDocument/2006/relationships/hyperlink" Target="https://www.nature.com/articles/s41467-026-75535-2" TargetMode="External"/><Relationship Id="rId1075" Type="http://schemas.openxmlformats.org/officeDocument/2006/relationships/hyperlink" Target="https://www.nature.com/articles/s41565-026-02214-0" TargetMode="External"/><Relationship Id="rId1076" Type="http://schemas.openxmlformats.org/officeDocument/2006/relationships/hyperlink" Target="https://doi.org/10.1038/s41565-026-02214-0" TargetMode="External"/><Relationship Id="rId1077" Type="http://schemas.openxmlformats.org/officeDocument/2006/relationships/hyperlink" Target="https://www.nature.com/articles/s41565-026-02241-x" TargetMode="External"/><Relationship Id="rId1078" Type="http://schemas.openxmlformats.org/officeDocument/2006/relationships/hyperlink" Target="https://doi.org/10.1038/s41565-026-02241-x" TargetMode="External"/><Relationship Id="rId1079" Type="http://schemas.openxmlformats.org/officeDocument/2006/relationships/hyperlink" Target="https://pubs.acs.org/doi/10.1021/acsenergylett.6c00550" TargetMode="External"/><Relationship Id="rId1080" Type="http://schemas.openxmlformats.org/officeDocument/2006/relationships/hyperlink" Target="https://doi.org/10.1021/acsenergylett.6c00550" TargetMode="External"/><Relationship Id="rId1081" Type="http://schemas.openxmlformats.org/officeDocument/2006/relationships/hyperlink" Target="https://www.nature.com/articles/s41893-026-01905-9" TargetMode="External"/><Relationship Id="rId1082" Type="http://schemas.openxmlformats.org/officeDocument/2006/relationships/hyperlink" Target="https://doi.org/10.1038/s41893-026-01905-9" TargetMode="External"/><Relationship Id="rId1083" Type="http://schemas.openxmlformats.org/officeDocument/2006/relationships/hyperlink" Target="https://www.nature.com/articles/s41467-026-75402-0" TargetMode="External"/><Relationship Id="rId1084" Type="http://schemas.openxmlformats.org/officeDocument/2006/relationships/hyperlink" Target="https://www.nature.com/articles/s41467-026-74758-7" TargetMode="External"/><Relationship Id="rId1085" Type="http://schemas.openxmlformats.org/officeDocument/2006/relationships/hyperlink" Target="https://www.nature.com/articles/s41467-026-74969-y" TargetMode="External"/><Relationship Id="rId1086" Type="http://schemas.openxmlformats.org/officeDocument/2006/relationships/hyperlink" Target="https://www.nature.com/articles/s41467-026-75659-5" TargetMode="External"/><Relationship Id="rId1087" Type="http://schemas.openxmlformats.org/officeDocument/2006/relationships/hyperlink" Target="https://www.nature.com/articles/s41467-026-75021-9" TargetMode="External"/><Relationship Id="rId1088" Type="http://schemas.openxmlformats.org/officeDocument/2006/relationships/hyperlink" Target="https://www.nature.com/articles/s41467-026-75542-3" TargetMode="External"/><Relationship Id="rId1089" Type="http://schemas.openxmlformats.org/officeDocument/2006/relationships/hyperlink" Target="https://www.nature.com/articles/s41467-026-75587-4" TargetMode="External"/><Relationship Id="rId1090" Type="http://schemas.openxmlformats.org/officeDocument/2006/relationships/hyperlink" Target="https://www.nature.com/articles/s41467-026-75546-z" TargetMode="External"/><Relationship Id="rId1091" Type="http://schemas.openxmlformats.org/officeDocument/2006/relationships/hyperlink" Target="https://www.nature.com/articles/s41467-026-75209-z" TargetMode="External"/><Relationship Id="rId1092" Type="http://schemas.openxmlformats.org/officeDocument/2006/relationships/hyperlink" Target="https://www.nature.com/articles/s41467-026-75463-1" TargetMode="External"/><Relationship Id="rId1093" Type="http://schemas.openxmlformats.org/officeDocument/2006/relationships/hyperlink" Target="https://www.nature.com/articles/s41467-026-75502-x" TargetMode="External"/><Relationship Id="rId1094" Type="http://schemas.openxmlformats.org/officeDocument/2006/relationships/hyperlink" Target="https://www.nature.com/articles/s41467-026-74639-z" TargetMode="External"/><Relationship Id="rId1095" Type="http://schemas.openxmlformats.org/officeDocument/2006/relationships/hyperlink" Target="https://www.nature.com/articles/s41467-026-74144-3" TargetMode="External"/><Relationship Id="rId1096" Type="http://schemas.openxmlformats.org/officeDocument/2006/relationships/hyperlink" Target="https://www.nature.com/articles/s41467-026-75427-5" TargetMode="External"/><Relationship Id="rId1097" Type="http://schemas.openxmlformats.org/officeDocument/2006/relationships/hyperlink" Target="https://www.nature.com/articles/s41467-026-75471-1" TargetMode="External"/><Relationship Id="rId1098" Type="http://schemas.openxmlformats.org/officeDocument/2006/relationships/hyperlink" Target="https://www.nature.com/articles/s41467-026-75540-5" TargetMode="External"/><Relationship Id="rId1099" Type="http://schemas.openxmlformats.org/officeDocument/2006/relationships/hyperlink" Target="https://www.nature.com/articles/s41467-026-75600-w" TargetMode="External"/><Relationship Id="rId1100" Type="http://schemas.openxmlformats.org/officeDocument/2006/relationships/hyperlink" Target="https://advanced.onlinelibrary.wiley.com/doi/10.1002/adma.202523059?af=R" TargetMode="External"/><Relationship Id="rId1101" Type="http://schemas.openxmlformats.org/officeDocument/2006/relationships/hyperlink" Target="https://doi.org/10.1002/adma.202523059" TargetMode="External"/><Relationship Id="rId1102" Type="http://schemas.openxmlformats.org/officeDocument/2006/relationships/hyperlink" Target="https://advanced.onlinelibrary.wiley.com/doi/10.1002/adma.74071?af=R" TargetMode="External"/><Relationship Id="rId1103" Type="http://schemas.openxmlformats.org/officeDocument/2006/relationships/hyperlink" Target="https://doi.org/10.1002/adma.74071" TargetMode="External"/><Relationship Id="rId1104" Type="http://schemas.openxmlformats.org/officeDocument/2006/relationships/hyperlink" Target="https://www.pnas.org/doi/abs/10.1073/pnas.2622410123?mi=eymic2&amp;af=R&amp;access=on&amp;content=articlesChapters&amp;publication=pnas&amp;sortBy=Earliest&amp;target=default" TargetMode="External"/><Relationship Id="rId1105" Type="http://schemas.openxmlformats.org/officeDocument/2006/relationships/hyperlink" Target="https://doi.org/10.1073/pnas.2622410123" TargetMode="External"/><Relationship Id="rId1106" Type="http://schemas.openxmlformats.org/officeDocument/2006/relationships/hyperlink" Target="https://www.pnas.org/doi/abs/10.1073/pnas.2601766123?mi=eymic2&amp;af=R&amp;access=on&amp;content=articlesChapters&amp;publication=pnas&amp;sortBy=Earliest&amp;target=default" TargetMode="External"/><Relationship Id="rId1107" Type="http://schemas.openxmlformats.org/officeDocument/2006/relationships/hyperlink" Target="https://doi.org/10.1073/pnas.2601766123" TargetMode="External"/><Relationship Id="rId1108" Type="http://schemas.openxmlformats.org/officeDocument/2006/relationships/hyperlink" Target="https://www.science.org/doi/abs/10.1126/sciadv.aee3529?af=R" TargetMode="External"/><Relationship Id="rId1109" Type="http://schemas.openxmlformats.org/officeDocument/2006/relationships/hyperlink" Target="https://doi.org/10.1126/sciadv.aee3529" TargetMode="External"/><Relationship Id="rId1110" Type="http://schemas.openxmlformats.org/officeDocument/2006/relationships/hyperlink" Target="https://www.pnas.org/doi/abs/10.1073/pnas.2518967123?mi=eymic2&amp;af=R&amp;access=on&amp;content=articlesChapters&amp;publication=pnas&amp;sortBy=Earliest&amp;target=default" TargetMode="External"/><Relationship Id="rId1111" Type="http://schemas.openxmlformats.org/officeDocument/2006/relationships/hyperlink" Target="https://doi.org/10.1073/pnas.2518967123" TargetMode="External"/><Relationship Id="rId1112" Type="http://schemas.openxmlformats.org/officeDocument/2006/relationships/hyperlink" Target="https://www.science.org/doi/abs/10.1126/sciadv.aee6417?af=R" TargetMode="External"/><Relationship Id="rId1113" Type="http://schemas.openxmlformats.org/officeDocument/2006/relationships/hyperlink" Target="https://doi.org/10.1126/sciadv.aee6417" TargetMode="External"/><Relationship Id="rId1114" Type="http://schemas.openxmlformats.org/officeDocument/2006/relationships/hyperlink" Target="https://www.science.org/doi/abs/10.1126/sciadv.aej5861?af=R" TargetMode="External"/><Relationship Id="rId1115" Type="http://schemas.openxmlformats.org/officeDocument/2006/relationships/hyperlink" Target="https://doi.org/10.1126/sciadv.aej5861" TargetMode="External"/><Relationship Id="rId1116" Type="http://schemas.openxmlformats.org/officeDocument/2006/relationships/hyperlink" Target="https://www.science.org/doi/abs/10.1126/sciadv.adz9055?af=R" TargetMode="External"/><Relationship Id="rId1117" Type="http://schemas.openxmlformats.org/officeDocument/2006/relationships/hyperlink" Target="https://doi.org/10.1126/sciadv.adz9055" TargetMode="External"/><Relationship Id="rId1118" Type="http://schemas.openxmlformats.org/officeDocument/2006/relationships/hyperlink" Target="https://www.science.org/doi/abs/10.1126/sciadv.aeb8867?af=R" TargetMode="External"/><Relationship Id="rId1119" Type="http://schemas.openxmlformats.org/officeDocument/2006/relationships/hyperlink" Target="https://doi.org/10.1126/sciadv.aeb8867" TargetMode="External"/><Relationship Id="rId1120" Type="http://schemas.openxmlformats.org/officeDocument/2006/relationships/hyperlink" Target="https://www.science.org/doi/abs/10.1126/sciadv.aee5890?af=R" TargetMode="External"/><Relationship Id="rId1121" Type="http://schemas.openxmlformats.org/officeDocument/2006/relationships/hyperlink" Target="https://doi.org/10.1126/sciadv.aee5890" TargetMode="External"/><Relationship Id="rId1122" Type="http://schemas.openxmlformats.org/officeDocument/2006/relationships/hyperlink" Target="https://www.science.org/doi/abs/10.1126/sciadv.aee6237?af=R" TargetMode="External"/><Relationship Id="rId1123" Type="http://schemas.openxmlformats.org/officeDocument/2006/relationships/hyperlink" Target="https://doi.org/10.1126/sciadv.aee6237" TargetMode="External"/><Relationship Id="rId1124" Type="http://schemas.openxmlformats.org/officeDocument/2006/relationships/hyperlink" Target="https://www.science.org/doi/abs/10.1126/sciadv.aeb8608?af=R" TargetMode="External"/><Relationship Id="rId1125" Type="http://schemas.openxmlformats.org/officeDocument/2006/relationships/hyperlink" Target="https://doi.org/10.1126/sciadv.aeb8608" TargetMode="External"/><Relationship Id="rId1126" Type="http://schemas.openxmlformats.org/officeDocument/2006/relationships/hyperlink" Target="https://www.science.org/doi/abs/10.1126/sciadv.aec4166?af=R" TargetMode="External"/><Relationship Id="rId1127" Type="http://schemas.openxmlformats.org/officeDocument/2006/relationships/hyperlink" Target="https://doi.org/10.1126/sciadv.aec4166" TargetMode="External"/><Relationship Id="rId1128" Type="http://schemas.openxmlformats.org/officeDocument/2006/relationships/hyperlink" Target="https://www.science.org/doi/abs/10.1126/sciadv.aed6456?af=R" TargetMode="External"/><Relationship Id="rId1129" Type="http://schemas.openxmlformats.org/officeDocument/2006/relationships/hyperlink" Target="https://doi.org/10.1126/sciadv.aed6456" TargetMode="External"/><Relationship Id="rId1130" Type="http://schemas.openxmlformats.org/officeDocument/2006/relationships/hyperlink" Target="https://www.science.org/doi/abs/10.1126/sciadv.aea0455?af=R" TargetMode="External"/><Relationship Id="rId1131" Type="http://schemas.openxmlformats.org/officeDocument/2006/relationships/hyperlink" Target="https://doi.org/10.1126/sciadv.aea0455" TargetMode="External"/><Relationship Id="rId1132" Type="http://schemas.openxmlformats.org/officeDocument/2006/relationships/hyperlink" Target="https://www.science.org/doi/abs/10.1126/sciadv.aef7066?af=R" TargetMode="External"/><Relationship Id="rId1133" Type="http://schemas.openxmlformats.org/officeDocument/2006/relationships/hyperlink" Target="https://doi.org/10.1126/sciadv.aef7066" TargetMode="External"/><Relationship Id="rId1134" Type="http://schemas.openxmlformats.org/officeDocument/2006/relationships/hyperlink" Target="https://www.science.org/doi/abs/10.1126/sciadv.aeg3960?af=R" TargetMode="External"/><Relationship Id="rId1135" Type="http://schemas.openxmlformats.org/officeDocument/2006/relationships/hyperlink" Target="https://doi.org/10.1126/sciadv.aeg3960" TargetMode="External"/><Relationship Id="rId1136" Type="http://schemas.openxmlformats.org/officeDocument/2006/relationships/hyperlink" Target="https://www.science.org/doi/abs/10.1126/sciadv.aeg6323?af=R" TargetMode="External"/><Relationship Id="rId1137" Type="http://schemas.openxmlformats.org/officeDocument/2006/relationships/hyperlink" Target="https://doi.org/10.1126/sciadv.aeg6323" TargetMode="External"/><Relationship Id="rId1138" Type="http://schemas.openxmlformats.org/officeDocument/2006/relationships/hyperlink" Target="https://www.science.org/doi/abs/10.1126/sciadv.aee6534?af=R" TargetMode="External"/><Relationship Id="rId1139" Type="http://schemas.openxmlformats.org/officeDocument/2006/relationships/hyperlink" Target="https://doi.org/10.1126/sciadv.aee6534" TargetMode="External"/><Relationship Id="rId1140" Type="http://schemas.openxmlformats.org/officeDocument/2006/relationships/hyperlink" Target="https://www.science.org/doi/abs/10.1126/sciadv.aef1021?af=R" TargetMode="External"/><Relationship Id="rId1141" Type="http://schemas.openxmlformats.org/officeDocument/2006/relationships/hyperlink" Target="https://doi.org/10.1126/sciadv.aef1021" TargetMode="External"/><Relationship Id="rId1142" Type="http://schemas.openxmlformats.org/officeDocument/2006/relationships/hyperlink" Target="https://www.science.org/doi/abs/10.1126/sciadv.aef3048?af=R" TargetMode="External"/><Relationship Id="rId1143" Type="http://schemas.openxmlformats.org/officeDocument/2006/relationships/hyperlink" Target="https://doi.org/10.1126/sciadv.aef3048" TargetMode="External"/><Relationship Id="rId1144" Type="http://schemas.openxmlformats.org/officeDocument/2006/relationships/hyperlink" Target="https://www.science.org/doi/abs/10.1126/sciadv.aee9308?af=R" TargetMode="External"/><Relationship Id="rId1145" Type="http://schemas.openxmlformats.org/officeDocument/2006/relationships/hyperlink" Target="https://doi.org/10.1126/sciadv.aee9308" TargetMode="External"/><Relationship Id="rId1146" Type="http://schemas.openxmlformats.org/officeDocument/2006/relationships/hyperlink" Target="https://www.science.org/doi/abs/10.1126/sciadv.aef5699?af=R" TargetMode="External"/><Relationship Id="rId1147" Type="http://schemas.openxmlformats.org/officeDocument/2006/relationships/hyperlink" Target="https://doi.org/10.1126/sciadv.aef5699" TargetMode="External"/><Relationship Id="rId1148" Type="http://schemas.openxmlformats.org/officeDocument/2006/relationships/hyperlink" Target="https://www.science.org/doi/abs/10.1126/sciadv.aeg1267?af=R" TargetMode="External"/><Relationship Id="rId1149" Type="http://schemas.openxmlformats.org/officeDocument/2006/relationships/hyperlink" Target="https://doi.org/10.1126/sciadv.aeg1267" TargetMode="External"/><Relationship Id="rId1150" Type="http://schemas.openxmlformats.org/officeDocument/2006/relationships/hyperlink" Target="https://www.science.org/doi/abs/10.1126/sciadv.aeg2631?af=R" TargetMode="External"/><Relationship Id="rId1151" Type="http://schemas.openxmlformats.org/officeDocument/2006/relationships/hyperlink" Target="https://doi.org/10.1126/sciadv.aeg2631" TargetMode="External"/><Relationship Id="rId1152" Type="http://schemas.openxmlformats.org/officeDocument/2006/relationships/hyperlink" Target="https://www.science.org/doi/abs/10.1126/sciadv.aef3895?af=R" TargetMode="External"/><Relationship Id="rId1153" Type="http://schemas.openxmlformats.org/officeDocument/2006/relationships/hyperlink" Target="https://doi.org/10.1126/sciadv.aef3895" TargetMode="External"/><Relationship Id="rId1154" Type="http://schemas.openxmlformats.org/officeDocument/2006/relationships/hyperlink" Target="https://www.science.org/doi/abs/10.1126/sciadv.aeh1266?af=R" TargetMode="External"/><Relationship Id="rId1155" Type="http://schemas.openxmlformats.org/officeDocument/2006/relationships/hyperlink" Target="https://doi.org/10.1126/sciadv.aeh1266" TargetMode="External"/><Relationship Id="rId1156" Type="http://schemas.openxmlformats.org/officeDocument/2006/relationships/hyperlink" Target="https://www.pnas.org/doi/abs/10.1073/pnas.2611077123?mi=eymic2&amp;af=R&amp;access=on&amp;content=articlesChapters&amp;publication=pnas&amp;sortBy=Earliest&amp;target=default" TargetMode="External"/><Relationship Id="rId1157" Type="http://schemas.openxmlformats.org/officeDocument/2006/relationships/hyperlink" Target="https://doi.org/10.1073/pnas.2611077123" TargetMode="External"/><Relationship Id="rId1158" Type="http://schemas.openxmlformats.org/officeDocument/2006/relationships/hyperlink" Target="https://www.pnas.org/doi/abs/10.1073/pnas.2610776123?mi=eymic2&amp;af=R&amp;access=on&amp;content=articlesChapters&amp;publication=pnas&amp;sortBy=Earliest&amp;target=default" TargetMode="External"/><Relationship Id="rId1159" Type="http://schemas.openxmlformats.org/officeDocument/2006/relationships/hyperlink" Target="https://doi.org/10.1073/pnas.2610776123" TargetMode="External"/><Relationship Id="rId1160" Type="http://schemas.openxmlformats.org/officeDocument/2006/relationships/hyperlink" Target="https://www.science.org/doi/abs/10.1126/sciadv.aed9835?af=R" TargetMode="External"/><Relationship Id="rId1161" Type="http://schemas.openxmlformats.org/officeDocument/2006/relationships/hyperlink" Target="https://doi.org/10.1126/sciadv.aed9835" TargetMode="External"/><Relationship Id="rId1162" Type="http://schemas.openxmlformats.org/officeDocument/2006/relationships/hyperlink" Target="https://www.science.org/doi/abs/10.1126/sciadv.aec3865?af=R" TargetMode="External"/><Relationship Id="rId1163" Type="http://schemas.openxmlformats.org/officeDocument/2006/relationships/hyperlink" Target="https://doi.org/10.1126/sciadv.aec3865" TargetMode="External"/><Relationship Id="rId1164" Type="http://schemas.openxmlformats.org/officeDocument/2006/relationships/hyperlink" Target="https://www.science.org/doi/abs/10.1126/sciadv.aec4514?af=R" TargetMode="External"/><Relationship Id="rId1165" Type="http://schemas.openxmlformats.org/officeDocument/2006/relationships/hyperlink" Target="https://doi.org/10.1126/sciadv.aec4514" TargetMode="External"/><Relationship Id="rId1166" Type="http://schemas.openxmlformats.org/officeDocument/2006/relationships/hyperlink" Target="https://www.science.org/doi/abs/10.1126/sciadv.aec8501?af=R" TargetMode="External"/><Relationship Id="rId1167" Type="http://schemas.openxmlformats.org/officeDocument/2006/relationships/hyperlink" Target="https://doi.org/10.1126/sciadv.aec8501" TargetMode="External"/><Relationship Id="rId1168" Type="http://schemas.openxmlformats.org/officeDocument/2006/relationships/hyperlink" Target="https://www.science.org/doi/abs/10.1126/sciadv.aed1707?af=R" TargetMode="External"/><Relationship Id="rId1169" Type="http://schemas.openxmlformats.org/officeDocument/2006/relationships/hyperlink" Target="https://doi.org/10.1126/sciadv.aed1707" TargetMode="External"/><Relationship Id="rId1170" Type="http://schemas.openxmlformats.org/officeDocument/2006/relationships/hyperlink" Target="https://www.science.org/doi/abs/10.1126/sciadv.ady2267?af=R" TargetMode="External"/><Relationship Id="rId1171" Type="http://schemas.openxmlformats.org/officeDocument/2006/relationships/hyperlink" Target="https://doi.org/10.1126/sciadv.ady2267" TargetMode="External"/><Relationship Id="rId1172" Type="http://schemas.openxmlformats.org/officeDocument/2006/relationships/hyperlink" Target="https://www.science.org/doi/abs/10.1126/sciadv.aed3192?af=R" TargetMode="External"/><Relationship Id="rId1173" Type="http://schemas.openxmlformats.org/officeDocument/2006/relationships/hyperlink" Target="https://doi.org/10.1126/sciadv.aed3192" TargetMode="External"/><Relationship Id="rId1174" Type="http://schemas.openxmlformats.org/officeDocument/2006/relationships/hyperlink" Target="https://www.science.org/doi/abs/10.1126/sciadv.aee0143?af=R" TargetMode="External"/><Relationship Id="rId1175" Type="http://schemas.openxmlformats.org/officeDocument/2006/relationships/hyperlink" Target="https://doi.org/10.1126/sciadv.aee0143" TargetMode="External"/><Relationship Id="rId1176" Type="http://schemas.openxmlformats.org/officeDocument/2006/relationships/hyperlink" Target="https://www.science.org/doi/abs/10.1126/sciadv.aed6012?af=R" TargetMode="External"/><Relationship Id="rId1177" Type="http://schemas.openxmlformats.org/officeDocument/2006/relationships/hyperlink" Target="https://doi.org/10.1126/sciadv.aed6012" TargetMode="External"/><Relationship Id="rId1178" Type="http://schemas.openxmlformats.org/officeDocument/2006/relationships/hyperlink" Target="https://www.science.org/doi/abs/10.1126/sciadv.aed6110?af=R" TargetMode="External"/><Relationship Id="rId1179" Type="http://schemas.openxmlformats.org/officeDocument/2006/relationships/hyperlink" Target="https://doi.org/10.1126/sciadv.aed6110" TargetMode="External"/><Relationship Id="rId1180" Type="http://schemas.openxmlformats.org/officeDocument/2006/relationships/hyperlink" Target="https://www.science.org/doi/abs/10.1126/sciadv.aed7513?af=R" TargetMode="External"/><Relationship Id="rId1181" Type="http://schemas.openxmlformats.org/officeDocument/2006/relationships/hyperlink" Target="https://doi.org/10.1126/sciadv.aed7513" TargetMode="External"/><Relationship Id="rId1182" Type="http://schemas.openxmlformats.org/officeDocument/2006/relationships/hyperlink" Target="https://www.science.org/doi/abs/10.1126/sciadv.aed8404?af=R" TargetMode="External"/><Relationship Id="rId1183" Type="http://schemas.openxmlformats.org/officeDocument/2006/relationships/hyperlink" Target="https://doi.org/10.1126/sciadv.aed8404" TargetMode="External"/><Relationship Id="rId1184" Type="http://schemas.openxmlformats.org/officeDocument/2006/relationships/hyperlink" Target="https://www.science.org/doi/abs/10.1126/sciadv.ady9482?af=R" TargetMode="External"/><Relationship Id="rId1185" Type="http://schemas.openxmlformats.org/officeDocument/2006/relationships/hyperlink" Target="https://doi.org/10.1126/sciadv.ady9482" TargetMode="External"/><Relationship Id="rId1186" Type="http://schemas.openxmlformats.org/officeDocument/2006/relationships/hyperlink" Target="https://www.science.org/doi/abs/10.1126/sciadv.aea2105?af=R" TargetMode="External"/><Relationship Id="rId1187" Type="http://schemas.openxmlformats.org/officeDocument/2006/relationships/hyperlink" Target="https://doi.org/10.1126/sciadv.aea2105" TargetMode="External"/><Relationship Id="rId1188" Type="http://schemas.openxmlformats.org/officeDocument/2006/relationships/hyperlink" Target="https://www.science.org/doi/abs/10.1126/sciadv.aeh4305?af=R" TargetMode="External"/><Relationship Id="rId1189" Type="http://schemas.openxmlformats.org/officeDocument/2006/relationships/hyperlink" Target="https://doi.org/10.1126/sciadv.aeh4305" TargetMode="External"/><Relationship Id="rId1190" Type="http://schemas.openxmlformats.org/officeDocument/2006/relationships/hyperlink" Target="https://www.science.org/doi/abs/10.1126/sciadv.aeb7543?af=R" TargetMode="External"/><Relationship Id="rId1191" Type="http://schemas.openxmlformats.org/officeDocument/2006/relationships/hyperlink" Target="https://doi.org/10.1126/sciadv.aeb7543" TargetMode="External"/><Relationship Id="rId1192" Type="http://schemas.openxmlformats.org/officeDocument/2006/relationships/hyperlink" Target="https://www.science.org/doi/abs/10.1126/sciadv.aeb3177?af=R" TargetMode="External"/><Relationship Id="rId1193" Type="http://schemas.openxmlformats.org/officeDocument/2006/relationships/hyperlink" Target="https://doi.org/10.1126/sciadv.aeb3177" TargetMode="External"/><Relationship Id="rId1194" Type="http://schemas.openxmlformats.org/officeDocument/2006/relationships/hyperlink" Target="https://www.science.org/doi/abs/10.1126/sciadv.aed4249?af=R" TargetMode="External"/><Relationship Id="rId1195" Type="http://schemas.openxmlformats.org/officeDocument/2006/relationships/hyperlink" Target="https://doi.org/10.1126/sciadv.aed4249" TargetMode="External"/><Relationship Id="rId1196" Type="http://schemas.openxmlformats.org/officeDocument/2006/relationships/hyperlink" Target="https://www.science.org/doi/abs/10.1126/sciadv.adx7045?af=R" TargetMode="External"/><Relationship Id="rId1197" Type="http://schemas.openxmlformats.org/officeDocument/2006/relationships/hyperlink" Target="https://doi.org/10.1126/sciadv.adx7045" TargetMode="External"/><Relationship Id="rId1198" Type="http://schemas.openxmlformats.org/officeDocument/2006/relationships/hyperlink" Target="https://www.pnas.org/doi/abs/10.1073/pnas.2605569123?mi=eymic2&amp;af=R&amp;access=on&amp;content=articlesChapters&amp;publication=pnas&amp;sortBy=Earliest&amp;target=default" TargetMode="External"/><Relationship Id="rId1199" Type="http://schemas.openxmlformats.org/officeDocument/2006/relationships/hyperlink" Target="https://doi.org/10.1073/pnas.2605569123" TargetMode="External"/><Relationship Id="rId1200" Type="http://schemas.openxmlformats.org/officeDocument/2006/relationships/hyperlink" Target="https://www.pnas.org/doi/abs/10.1073/pnas.2603906123?mi=eymic2&amp;af=R&amp;access=on&amp;content=articlesChapters&amp;publication=pnas&amp;sortBy=Earliest&amp;target=default" TargetMode="External"/><Relationship Id="rId1201" Type="http://schemas.openxmlformats.org/officeDocument/2006/relationships/hyperlink" Target="https://doi.org/10.1073/pnas.2603906123" TargetMode="External"/><Relationship Id="rId1202" Type="http://schemas.openxmlformats.org/officeDocument/2006/relationships/hyperlink" Target="https://www.pnas.org/doi/abs/10.1073/pnas.2602117123?mi=eymic2&amp;af=R&amp;access=on&amp;content=articlesChapters&amp;publication=pnas&amp;sortBy=Earliest&amp;target=default" TargetMode="External"/><Relationship Id="rId1203" Type="http://schemas.openxmlformats.org/officeDocument/2006/relationships/hyperlink" Target="https://doi.org/10.1073/pnas.2602117123" TargetMode="External"/><Relationship Id="rId1204" Type="http://schemas.openxmlformats.org/officeDocument/2006/relationships/hyperlink" Target="https://www.science.org/doi/abs/10.1126/sciadv.aeb1442?af=R" TargetMode="External"/><Relationship Id="rId1205" Type="http://schemas.openxmlformats.org/officeDocument/2006/relationships/hyperlink" Target="https://doi.org/10.1126/sciadv.aeb1442" TargetMode="External"/><Relationship Id="rId1206" Type="http://schemas.openxmlformats.org/officeDocument/2006/relationships/hyperlink" Target="https://www.pnas.org/doi/abs/10.1073/pnas.2601657123?mi=eymic2&amp;af=R&amp;access=on&amp;content=articlesChapters&amp;publication=pnas&amp;sortBy=Earliest&amp;target=default" TargetMode="External"/><Relationship Id="rId1207" Type="http://schemas.openxmlformats.org/officeDocument/2006/relationships/hyperlink" Target="https://doi.org/10.1073/pnas.2601657123" TargetMode="External"/><Relationship Id="rId1208" Type="http://schemas.openxmlformats.org/officeDocument/2006/relationships/hyperlink" Target="https://www.pnas.org/doi/abs/10.1073/pnas.2622614123?mi=eymic2&amp;af=R&amp;access=on&amp;content=articlesChapters&amp;publication=pnas&amp;sortBy=Earliest&amp;target=default" TargetMode="External"/><Relationship Id="rId1209" Type="http://schemas.openxmlformats.org/officeDocument/2006/relationships/hyperlink" Target="https://doi.org/10.1073/pnas.2622614123" TargetMode="External"/><Relationship Id="rId1210" Type="http://schemas.openxmlformats.org/officeDocument/2006/relationships/hyperlink" Target="https://www.pnas.org/doi/abs/10.1073/pnas.2601610123?mi=eymic2&amp;af=R&amp;access=on&amp;content=articlesChapters&amp;publication=pnas&amp;sortBy=Earliest&amp;target=default" TargetMode="External"/><Relationship Id="rId1211" Type="http://schemas.openxmlformats.org/officeDocument/2006/relationships/hyperlink" Target="https://doi.org/10.1073/pnas.2601610123" TargetMode="External"/><Relationship Id="rId1212" Type="http://schemas.openxmlformats.org/officeDocument/2006/relationships/hyperlink" Target="https://www.pnas.org/doi/abs/10.1073/pnas.2537872123?mi=eymic2&amp;af=R&amp;access=on&amp;content=articlesChapters&amp;publication=pnas&amp;sortBy=Earliest&amp;target=default" TargetMode="External"/><Relationship Id="rId1213" Type="http://schemas.openxmlformats.org/officeDocument/2006/relationships/hyperlink" Target="https://doi.org/10.1073/pnas.2537872123" TargetMode="External"/><Relationship Id="rId1214" Type="http://schemas.openxmlformats.org/officeDocument/2006/relationships/hyperlink" Target="https://www.science.org/doi/abs/10.1126/sciadv.aeb2203?af=R" TargetMode="External"/><Relationship Id="rId1215" Type="http://schemas.openxmlformats.org/officeDocument/2006/relationships/hyperlink" Target="https://doi.org/10.1126/sciadv.aeb2203" TargetMode="External"/><Relationship Id="rId1216" Type="http://schemas.openxmlformats.org/officeDocument/2006/relationships/hyperlink" Target="https://www.pnas.org/doi/abs/10.1073/pnas.2531501123?mi=eymic2&amp;af=R&amp;access=on&amp;content=articlesChapters&amp;publication=pnas&amp;sortBy=Earliest&amp;target=default" TargetMode="External"/><Relationship Id="rId1217" Type="http://schemas.openxmlformats.org/officeDocument/2006/relationships/hyperlink" Target="https://doi.org/10.1073/pnas.2531501123" TargetMode="External"/><Relationship Id="rId1218" Type="http://schemas.openxmlformats.org/officeDocument/2006/relationships/hyperlink" Target="https://www.pnas.org/doi/abs/10.1073/pnas.2530848123?mi=eymic2&amp;af=R&amp;access=on&amp;content=articlesChapters&amp;publication=pnas&amp;sortBy=Earliest&amp;target=default" TargetMode="External"/><Relationship Id="rId1219" Type="http://schemas.openxmlformats.org/officeDocument/2006/relationships/hyperlink" Target="https://doi.org/10.1073/pnas.2530848123" TargetMode="External"/><Relationship Id="rId1220" Type="http://schemas.openxmlformats.org/officeDocument/2006/relationships/hyperlink" Target="https://www.pnas.org/doi/abs/10.1073/pnas.2530835123?mi=eymic2&amp;af=R&amp;access=on&amp;content=articlesChapters&amp;publication=pnas&amp;sortBy=Earliest&amp;target=default" TargetMode="External"/><Relationship Id="rId1221" Type="http://schemas.openxmlformats.org/officeDocument/2006/relationships/hyperlink" Target="https://doi.org/10.1073/pnas.2530835123" TargetMode="External"/><Relationship Id="rId1222" Type="http://schemas.openxmlformats.org/officeDocument/2006/relationships/hyperlink" Target="https://www.pnas.org/doi/abs/10.1073/pnas.2606129123?mi=eymic2&amp;af=R&amp;access=on&amp;content=articlesChapters&amp;publication=pnas&amp;sortBy=Earliest&amp;target=default" TargetMode="External"/><Relationship Id="rId1223" Type="http://schemas.openxmlformats.org/officeDocument/2006/relationships/hyperlink" Target="https://doi.org/10.1073/pnas.2606129123" TargetMode="External"/><Relationship Id="rId1224" Type="http://schemas.openxmlformats.org/officeDocument/2006/relationships/hyperlink" Target="https://www.pnas.org/doi/abs/10.1073/pnas.2622471123?mi=eymic2&amp;af=R&amp;access=on&amp;content=articlesChapters&amp;publication=pnas&amp;sortBy=Earliest&amp;target=default" TargetMode="External"/><Relationship Id="rId1225" Type="http://schemas.openxmlformats.org/officeDocument/2006/relationships/hyperlink" Target="https://doi.org/10.1073/pnas.2622471123" TargetMode="External"/><Relationship Id="rId1226" Type="http://schemas.openxmlformats.org/officeDocument/2006/relationships/hyperlink" Target="https://www.pnas.org/doi/abs/10.1073/pnas.2523230123?mi=eymic2&amp;af=R&amp;access=on&amp;content=articlesChapters&amp;publication=pnas&amp;sortBy=Earliest&amp;target=default" TargetMode="External"/><Relationship Id="rId1227" Type="http://schemas.openxmlformats.org/officeDocument/2006/relationships/hyperlink" Target="https://doi.org/10.1073/pnas.2523230123" TargetMode="External"/><Relationship Id="rId1228" Type="http://schemas.openxmlformats.org/officeDocument/2006/relationships/hyperlink" Target="https://www.pnas.org/doi/abs/10.1073/pnas.2526410123?mi=eymic2&amp;af=R&amp;access=on&amp;content=articlesChapters&amp;publication=pnas&amp;sortBy=Earliest&amp;target=default" TargetMode="External"/><Relationship Id="rId1229" Type="http://schemas.openxmlformats.org/officeDocument/2006/relationships/hyperlink" Target="https://doi.org/10.1073/pnas.2526410123" TargetMode="External"/><Relationship Id="rId1230" Type="http://schemas.openxmlformats.org/officeDocument/2006/relationships/hyperlink" Target="https://www.pnas.org/doi/abs/10.1073/pnas.2535541123?mi=eymic2&amp;af=R&amp;access=on&amp;content=articlesChapters&amp;publication=pnas&amp;sortBy=Earliest&amp;target=default" TargetMode="External"/><Relationship Id="rId1231" Type="http://schemas.openxmlformats.org/officeDocument/2006/relationships/hyperlink" Target="https://doi.org/10.1073/pnas.2535541123" TargetMode="External"/><Relationship Id="rId1232" Type="http://schemas.openxmlformats.org/officeDocument/2006/relationships/hyperlink" Target="https://advanced.onlinelibrary.wiley.com/doi/10.1002/adma.74089?af=R" TargetMode="External"/><Relationship Id="rId1233" Type="http://schemas.openxmlformats.org/officeDocument/2006/relationships/hyperlink" Target="https://doi.org/10.1002/adma.74089" TargetMode="External"/><Relationship Id="rId1234" Type="http://schemas.openxmlformats.org/officeDocument/2006/relationships/hyperlink" Target="https://advanced.onlinelibrary.wiley.com/doi/10.1002/adma.74112?af=R" TargetMode="External"/><Relationship Id="rId1235" Type="http://schemas.openxmlformats.org/officeDocument/2006/relationships/hyperlink" Target="https://doi.org/10.1002/adma.74112" TargetMode="External"/><Relationship Id="rId1236" Type="http://schemas.openxmlformats.org/officeDocument/2006/relationships/hyperlink" Target="https://advanced.onlinelibrary.wiley.com/doi/10.1002/adma.74173?af=R" TargetMode="External"/><Relationship Id="rId1237" Type="http://schemas.openxmlformats.org/officeDocument/2006/relationships/hyperlink" Target="https://doi.org/10.1002/adma.74173" TargetMode="External"/><Relationship Id="rId1238" Type="http://schemas.openxmlformats.org/officeDocument/2006/relationships/hyperlink" Target="https://advanced.onlinelibrary.wiley.com/doi/10.1002/adma.74058?af=R" TargetMode="External"/><Relationship Id="rId1239" Type="http://schemas.openxmlformats.org/officeDocument/2006/relationships/hyperlink" Target="https://doi.org/10.1002/adma.74058" TargetMode="External"/><Relationship Id="rId1240" Type="http://schemas.openxmlformats.org/officeDocument/2006/relationships/hyperlink" Target="https://advanced.onlinelibrary.wiley.com/doi/10.1002/adma.74152?af=R" TargetMode="External"/><Relationship Id="rId1241" Type="http://schemas.openxmlformats.org/officeDocument/2006/relationships/hyperlink" Target="https://doi.org/10.1002/adma.74152" TargetMode="External"/><Relationship Id="rId1242" Type="http://schemas.openxmlformats.org/officeDocument/2006/relationships/hyperlink" Target="http://link.aps.org/doi/10.1103/tsnc-4jjl" TargetMode="External"/><Relationship Id="rId1243" Type="http://schemas.openxmlformats.org/officeDocument/2006/relationships/hyperlink" Target="https://doi.org/10.1103/tsnc-4jjl" TargetMode="External"/><Relationship Id="rId1244" Type="http://schemas.openxmlformats.org/officeDocument/2006/relationships/hyperlink" Target="http://link.aps.org/doi/10.1103/s6dz-2tbn" TargetMode="External"/><Relationship Id="rId1245" Type="http://schemas.openxmlformats.org/officeDocument/2006/relationships/hyperlink" Target="https://doi.org/10.1103/s6dz-2tbn" TargetMode="External"/><Relationship Id="rId1246" Type="http://schemas.openxmlformats.org/officeDocument/2006/relationships/hyperlink" Target="http://link.aps.org/doi/10.1103/jg6l-gzfr" TargetMode="External"/><Relationship Id="rId1247" Type="http://schemas.openxmlformats.org/officeDocument/2006/relationships/hyperlink" Target="https://doi.org/10.1103/jg6l-gzfr" TargetMode="External"/><Relationship Id="rId1248" Type="http://schemas.openxmlformats.org/officeDocument/2006/relationships/hyperlink" Target="http://link.aps.org/doi/10.1103/6f6r-51br" TargetMode="External"/><Relationship Id="rId1249" Type="http://schemas.openxmlformats.org/officeDocument/2006/relationships/hyperlink" Target="https://doi.org/10.1103/6f6r-51br" TargetMode="External"/><Relationship Id="rId1250" Type="http://schemas.openxmlformats.org/officeDocument/2006/relationships/hyperlink" Target="http://link.aps.org/doi/10.1103/y243-ygbf" TargetMode="External"/><Relationship Id="rId1251" Type="http://schemas.openxmlformats.org/officeDocument/2006/relationships/hyperlink" Target="https://doi.org/10.1103/y243-ygbf" TargetMode="External"/><Relationship Id="rId1252" Type="http://schemas.openxmlformats.org/officeDocument/2006/relationships/hyperlink" Target="http://link.aps.org/doi/10.1103/ydpq-zy7k" TargetMode="External"/><Relationship Id="rId1253" Type="http://schemas.openxmlformats.org/officeDocument/2006/relationships/hyperlink" Target="https://doi.org/10.1103/ydpq-zy7k" TargetMode="External"/><Relationship Id="rId1254" Type="http://schemas.openxmlformats.org/officeDocument/2006/relationships/hyperlink" Target="http://link.aps.org/doi/10.1103/snjm-s1nv" TargetMode="External"/><Relationship Id="rId1255" Type="http://schemas.openxmlformats.org/officeDocument/2006/relationships/hyperlink" Target="https://doi.org/10.1103/snjm-s1nv" TargetMode="External"/><Relationship Id="rId1256" Type="http://schemas.openxmlformats.org/officeDocument/2006/relationships/hyperlink" Target="http://link.aps.org/doi/10.1103/m1tx-9mx1" TargetMode="External"/><Relationship Id="rId1257" Type="http://schemas.openxmlformats.org/officeDocument/2006/relationships/hyperlink" Target="https://doi.org/10.1103/m1tx-9mx1" TargetMode="External"/><Relationship Id="rId1258" Type="http://schemas.openxmlformats.org/officeDocument/2006/relationships/hyperlink" Target="http://link.aps.org/doi/10.1103/94pm-hp34" TargetMode="External"/><Relationship Id="rId1259" Type="http://schemas.openxmlformats.org/officeDocument/2006/relationships/hyperlink" Target="https://doi.org/10.1103/94pm-hp34" TargetMode="External"/><Relationship Id="rId1260" Type="http://schemas.openxmlformats.org/officeDocument/2006/relationships/hyperlink" Target="http://link.aps.org/doi/10.1103/d87s-gnwn" TargetMode="External"/><Relationship Id="rId1261" Type="http://schemas.openxmlformats.org/officeDocument/2006/relationships/hyperlink" Target="https://doi.org/10.1103/d87s-gnwn" TargetMode="External"/><Relationship Id="rId1262" Type="http://schemas.openxmlformats.org/officeDocument/2006/relationships/hyperlink" Target="http://link.aps.org/doi/10.1103/zmjz-42kp" TargetMode="External"/><Relationship Id="rId1263" Type="http://schemas.openxmlformats.org/officeDocument/2006/relationships/hyperlink" Target="https://doi.org/10.1103/zmjz-42kp" TargetMode="External"/><Relationship Id="rId1264" Type="http://schemas.openxmlformats.org/officeDocument/2006/relationships/hyperlink" Target="http://link.aps.org/doi/10.1103/qw54-df4l" TargetMode="External"/><Relationship Id="rId1265" Type="http://schemas.openxmlformats.org/officeDocument/2006/relationships/hyperlink" Target="https://doi.org/10.1103/qw54-df4l" TargetMode="External"/><Relationship Id="rId1266" Type="http://schemas.openxmlformats.org/officeDocument/2006/relationships/hyperlink" Target="http://link.aps.org/doi/10.1103/7kjw-vfgp" TargetMode="External"/><Relationship Id="rId1267" Type="http://schemas.openxmlformats.org/officeDocument/2006/relationships/hyperlink" Target="https://doi.org/10.1103/7kjw-vfgp" TargetMode="External"/><Relationship Id="rId1268" Type="http://schemas.openxmlformats.org/officeDocument/2006/relationships/hyperlink" Target="http://link.aps.org/doi/10.1103/xd9n-4gwf" TargetMode="External"/><Relationship Id="rId1269" Type="http://schemas.openxmlformats.org/officeDocument/2006/relationships/hyperlink" Target="https://doi.org/10.1103/xd9n-4gwf" TargetMode="External"/><Relationship Id="rId1270" Type="http://schemas.openxmlformats.org/officeDocument/2006/relationships/hyperlink" Target="http://link.aps.org/doi/10.1103/2clj-zh3s" TargetMode="External"/><Relationship Id="rId1271" Type="http://schemas.openxmlformats.org/officeDocument/2006/relationships/hyperlink" Target="https://doi.org/10.1103/2clj-zh3s" TargetMode="External"/><Relationship Id="rId1272" Type="http://schemas.openxmlformats.org/officeDocument/2006/relationships/hyperlink" Target="http://link.aps.org/doi/10.1103/mbjk-v4ym" TargetMode="External"/><Relationship Id="rId1273" Type="http://schemas.openxmlformats.org/officeDocument/2006/relationships/hyperlink" Target="https://doi.org/10.1103/mbjk-v4ym" TargetMode="External"/><Relationship Id="rId1274" Type="http://schemas.openxmlformats.org/officeDocument/2006/relationships/hyperlink" Target="http://link.aps.org/doi/10.1103/9z34-b378" TargetMode="External"/><Relationship Id="rId1275" Type="http://schemas.openxmlformats.org/officeDocument/2006/relationships/hyperlink" Target="https://doi.org/10.1103/9z34-b378" TargetMode="External"/><Relationship Id="rId1276" Type="http://schemas.openxmlformats.org/officeDocument/2006/relationships/hyperlink" Target="https://advanced.onlinelibrary.wiley.com/doi/10.1002/adma.202521122?af=R" TargetMode="External"/><Relationship Id="rId1277" Type="http://schemas.openxmlformats.org/officeDocument/2006/relationships/hyperlink" Target="https://doi.org/10.1002/adma.202521122" TargetMode="External"/><Relationship Id="rId1278" Type="http://schemas.openxmlformats.org/officeDocument/2006/relationships/hyperlink" Target="https://advanced.onlinelibrary.wiley.com/doi/10.1002/adma.74128?af=R" TargetMode="External"/><Relationship Id="rId1279" Type="http://schemas.openxmlformats.org/officeDocument/2006/relationships/hyperlink" Target="https://doi.org/10.1002/adma.74128" TargetMode="External"/><Relationship Id="rId1280" Type="http://schemas.openxmlformats.org/officeDocument/2006/relationships/hyperlink" Target="https://onlinelibrary.wiley.com/doi/10.1002/anie.4104555?af=R" TargetMode="External"/><Relationship Id="rId1281" Type="http://schemas.openxmlformats.org/officeDocument/2006/relationships/hyperlink" Target="https://doi.org/10.1002/anie.4104555" TargetMode="External"/><Relationship Id="rId1282" Type="http://schemas.openxmlformats.org/officeDocument/2006/relationships/hyperlink" Target="https://onlinelibrary.wiley.com/doi/10.1002/anie.3280921?af=R" TargetMode="External"/><Relationship Id="rId1283" Type="http://schemas.openxmlformats.org/officeDocument/2006/relationships/hyperlink" Target="https://doi.org/10.1002/anie.3280921" TargetMode="External"/><Relationship Id="rId1284" Type="http://schemas.openxmlformats.org/officeDocument/2006/relationships/hyperlink" Target="https://onlinelibrary.wiley.com/doi/10.1002/anie.8734845?af=R" TargetMode="External"/><Relationship Id="rId1285" Type="http://schemas.openxmlformats.org/officeDocument/2006/relationships/hyperlink" Target="https://doi.org/10.1002/anie.8734845" TargetMode="External"/><Relationship Id="rId1286" Type="http://schemas.openxmlformats.org/officeDocument/2006/relationships/hyperlink" Target="https://onlinelibrary.wiley.com/doi/10.1002/anie.3048396?af=R" TargetMode="External"/><Relationship Id="rId1287" Type="http://schemas.openxmlformats.org/officeDocument/2006/relationships/hyperlink" Target="https://doi.org/10.1002/anie.3048396" TargetMode="External"/><Relationship Id="rId1288" Type="http://schemas.openxmlformats.org/officeDocument/2006/relationships/hyperlink" Target="https://advanced.onlinelibrary.wiley.com/doi/10.1002/adma.73906?af=R" TargetMode="External"/><Relationship Id="rId1289" Type="http://schemas.openxmlformats.org/officeDocument/2006/relationships/hyperlink" Target="https://doi.org/10.1002/adma.73906" TargetMode="External"/><Relationship Id="rId1290" Type="http://schemas.openxmlformats.org/officeDocument/2006/relationships/hyperlink" Target="https://advanced.onlinelibrary.wiley.com/doi/10.1002/adma.73948?af=R" TargetMode="External"/><Relationship Id="rId1291" Type="http://schemas.openxmlformats.org/officeDocument/2006/relationships/hyperlink" Target="https://doi.org/10.1002/adma.73948" TargetMode="External"/><Relationship Id="rId1292" Type="http://schemas.openxmlformats.org/officeDocument/2006/relationships/hyperlink" Target="https://onlinelibrary.wiley.com/doi/10.1002/anie.3960154?af=R" TargetMode="External"/><Relationship Id="rId1293" Type="http://schemas.openxmlformats.org/officeDocument/2006/relationships/hyperlink" Target="https://doi.org/10.1002/anie.3960154" TargetMode="External"/><Relationship Id="rId1294" Type="http://schemas.openxmlformats.org/officeDocument/2006/relationships/hyperlink" Target="https://onlinelibrary.wiley.com/doi/10.1002/anie.2843858?af=R" TargetMode="External"/><Relationship Id="rId1295" Type="http://schemas.openxmlformats.org/officeDocument/2006/relationships/hyperlink" Target="https://doi.org/10.1002/anie.2843858" TargetMode="External"/><Relationship Id="rId1296" Type="http://schemas.openxmlformats.org/officeDocument/2006/relationships/hyperlink" Target="https://onlinelibrary.wiley.com/doi/10.1002/anie.1106053?af=R" TargetMode="External"/><Relationship Id="rId1297" Type="http://schemas.openxmlformats.org/officeDocument/2006/relationships/hyperlink" Target="https://doi.org/10.1002/anie.1106053" TargetMode="External"/><Relationship Id="rId1298" Type="http://schemas.openxmlformats.org/officeDocument/2006/relationships/hyperlink" Target="https://onlinelibrary.wiley.com/doi/10.1002/anie.8342567?af=R" TargetMode="External"/><Relationship Id="rId1299" Type="http://schemas.openxmlformats.org/officeDocument/2006/relationships/hyperlink" Target="https://doi.org/10.1002/anie.8342567" TargetMode="External"/><Relationship Id="rId1300" Type="http://schemas.openxmlformats.org/officeDocument/2006/relationships/hyperlink" Target="https://onlinelibrary.wiley.com/doi/10.1002/anie.8164022?af=R" TargetMode="External"/><Relationship Id="rId1301" Type="http://schemas.openxmlformats.org/officeDocument/2006/relationships/hyperlink" Target="https://doi.org/10.1002/anie.8164022" TargetMode="External"/><Relationship Id="rId1302" Type="http://schemas.openxmlformats.org/officeDocument/2006/relationships/hyperlink" Target="https://onlinelibrary.wiley.com/doi/10.1002/anie.3006407?af=R" TargetMode="External"/><Relationship Id="rId1303" Type="http://schemas.openxmlformats.org/officeDocument/2006/relationships/hyperlink" Target="https://doi.org/10.1002/anie.3006407" TargetMode="External"/><Relationship Id="rId1304" Type="http://schemas.openxmlformats.org/officeDocument/2006/relationships/hyperlink" Target="https://onlinelibrary.wiley.com/doi/10.1002/anie.3935543?af=R" TargetMode="External"/><Relationship Id="rId1305" Type="http://schemas.openxmlformats.org/officeDocument/2006/relationships/hyperlink" Target="https://doi.org/10.1002/anie.3935543" TargetMode="External"/><Relationship Id="rId1306" Type="http://schemas.openxmlformats.org/officeDocument/2006/relationships/hyperlink" Target="https://onlinelibrary.wiley.com/doi/10.1002/anie.1373955?af=R" TargetMode="External"/><Relationship Id="rId1307" Type="http://schemas.openxmlformats.org/officeDocument/2006/relationships/hyperlink" Target="https://doi.org/10.1002/anie.1373955" TargetMode="External"/><Relationship Id="rId1308" Type="http://schemas.openxmlformats.org/officeDocument/2006/relationships/hyperlink" Target="https://onlinelibrary.wiley.com/doi/10.1002/anie.2175887?af=R" TargetMode="External"/><Relationship Id="rId1309" Type="http://schemas.openxmlformats.org/officeDocument/2006/relationships/hyperlink" Target="https://doi.org/10.1002/anie.2175887" TargetMode="External"/><Relationship Id="rId1310" Type="http://schemas.openxmlformats.org/officeDocument/2006/relationships/hyperlink" Target="https://onlinelibrary.wiley.com/doi/10.1002/anie.3307774?af=R" TargetMode="External"/><Relationship Id="rId1311" Type="http://schemas.openxmlformats.org/officeDocument/2006/relationships/hyperlink" Target="https://doi.org/10.1002/anie.3307774" TargetMode="External"/><Relationship Id="rId1312" Type="http://schemas.openxmlformats.org/officeDocument/2006/relationships/hyperlink" Target="https://advanced.onlinelibrary.wiley.com/doi/10.1002/adma.74028?af=R" TargetMode="External"/><Relationship Id="rId1313" Type="http://schemas.openxmlformats.org/officeDocument/2006/relationships/hyperlink" Target="https://doi.org/10.1002/adma.74028" TargetMode="External"/><Relationship Id="rId1314" Type="http://schemas.openxmlformats.org/officeDocument/2006/relationships/hyperlink" Target="https://www.cell.com/matter/fulltext/S2590-2385(26)00279-1?rss=yes" TargetMode="External"/><Relationship Id="rId1315" Type="http://schemas.openxmlformats.org/officeDocument/2006/relationships/hyperlink" Target="https://doi.org/10.1016/j.matt.2026.102916" TargetMode="External"/><Relationship Id="rId1316" Type="http://schemas.openxmlformats.org/officeDocument/2006/relationships/hyperlink" Target="https://pubs.acs.org/doi/10.1021/jacs.6c06460" TargetMode="External"/><Relationship Id="rId1317" Type="http://schemas.openxmlformats.org/officeDocument/2006/relationships/hyperlink" Target="https://doi.org/10.1021/jacs.6c06460" TargetMode="External"/><Relationship Id="rId1318" Type="http://schemas.openxmlformats.org/officeDocument/2006/relationships/hyperlink" Target="https://pubs.acs.org/doi/10.1021/jacs.6c01356" TargetMode="External"/><Relationship Id="rId1319" Type="http://schemas.openxmlformats.org/officeDocument/2006/relationships/hyperlink" Target="https://doi.org/10.1021/jacs.6c01356" TargetMode="External"/><Relationship Id="rId1320" Type="http://schemas.openxmlformats.org/officeDocument/2006/relationships/hyperlink" Target="https://www.sciencedirect.com/science/article/pii/S0306261926010366?dgcid=rss_sd_all" TargetMode="External"/><Relationship Id="rId1321" Type="http://schemas.openxmlformats.org/officeDocument/2006/relationships/hyperlink" Target="https://pubs.acs.org/doi/10.1021/jacs.6c09447" TargetMode="External"/><Relationship Id="rId1322" Type="http://schemas.openxmlformats.org/officeDocument/2006/relationships/hyperlink" Target="https://doi.org/10.1021/jacs.6c09447" TargetMode="External"/><Relationship Id="rId1323" Type="http://schemas.openxmlformats.org/officeDocument/2006/relationships/hyperlink" Target="https://academic.oup.com/nsr/advance-article/doi/10.1093/nsr/nwag439/8735812?rss=1" TargetMode="External"/><Relationship Id="rId1324" Type="http://schemas.openxmlformats.org/officeDocument/2006/relationships/hyperlink" Target="https://doi.org/10.1093/nsr/nwag439" TargetMode="External"/><Relationship Id="rId1325" Type="http://schemas.openxmlformats.org/officeDocument/2006/relationships/hyperlink" Target="https://pubs.acs.org/doi/10.1021/jacs.6c06459" TargetMode="External"/><Relationship Id="rId1326" Type="http://schemas.openxmlformats.org/officeDocument/2006/relationships/hyperlink" Target="https://doi.org/10.1021/jacs.6c06459" TargetMode="External"/><Relationship Id="rId1327" Type="http://schemas.openxmlformats.org/officeDocument/2006/relationships/hyperlink" Target="https://pubs.acs.org/doi/10.1021/jacs.6c08871" TargetMode="External"/><Relationship Id="rId1328" Type="http://schemas.openxmlformats.org/officeDocument/2006/relationships/hyperlink" Target="https://doi.org/10.1021/jacs.6c08871" TargetMode="External"/><Relationship Id="rId1329" Type="http://schemas.openxmlformats.org/officeDocument/2006/relationships/hyperlink" Target="https://pubs.acs.org/doi/10.1021/jacs.6c03891" TargetMode="External"/><Relationship Id="rId1330" Type="http://schemas.openxmlformats.org/officeDocument/2006/relationships/hyperlink" Target="https://doi.org/10.1021/jacs.6c03891" TargetMode="External"/><Relationship Id="rId1331" Type="http://schemas.openxmlformats.org/officeDocument/2006/relationships/hyperlink" Target="https://www.sciencedirect.com/science/article/pii/S0306261926010482?dgcid=rss_sd_all" TargetMode="External"/><Relationship Id="rId1332" Type="http://schemas.openxmlformats.org/officeDocument/2006/relationships/hyperlink" Target="https://pubs.acs.org/doi/10.1021/jacs.6c09696" TargetMode="External"/><Relationship Id="rId1333" Type="http://schemas.openxmlformats.org/officeDocument/2006/relationships/hyperlink" Target="https://doi.org/10.1021/jacs.6c09696" TargetMode="External"/><Relationship Id="rId1334" Type="http://schemas.openxmlformats.org/officeDocument/2006/relationships/hyperlink" Target="https://www.sciencedirect.com/science/article/pii/S0306261926010871?dgcid=rss_sd_all" TargetMode="External"/><Relationship Id="rId1335" Type="http://schemas.openxmlformats.org/officeDocument/2006/relationships/hyperlink" Target="https://www.sciencedirect.com/science/article/pii/S0306261926010470?dgcid=rss_sd_all" TargetMode="External"/><Relationship Id="rId1336" Type="http://schemas.openxmlformats.org/officeDocument/2006/relationships/hyperlink" Target="https://pubs.acs.org/doi/10.1021/jacs.6c08707" TargetMode="External"/><Relationship Id="rId1337" Type="http://schemas.openxmlformats.org/officeDocument/2006/relationships/hyperlink" Target="https://doi.org/10.1021/jacs.6c08707" TargetMode="External"/><Relationship Id="rId1338" Type="http://schemas.openxmlformats.org/officeDocument/2006/relationships/hyperlink" Target="https://pubs.acs.org/doi/10.1021/jacs.6c05583" TargetMode="External"/><Relationship Id="rId1339" Type="http://schemas.openxmlformats.org/officeDocument/2006/relationships/hyperlink" Target="https://doi.org/10.1021/jacs.6c05583" TargetMode="External"/><Relationship Id="rId1340" Type="http://schemas.openxmlformats.org/officeDocument/2006/relationships/hyperlink" Target="https://pubs.acs.org/doi/10.1021/acs.chemrev.6c00244" TargetMode="External"/><Relationship Id="rId1341" Type="http://schemas.openxmlformats.org/officeDocument/2006/relationships/hyperlink" Target="https://doi.org/10.1021/acs.chemrev.6c00244" TargetMode="External"/><Relationship Id="rId1342" Type="http://schemas.openxmlformats.org/officeDocument/2006/relationships/hyperlink" Target="https://pubs.acs.org/doi/10.1021/jacs.6c02874" TargetMode="External"/><Relationship Id="rId1343" Type="http://schemas.openxmlformats.org/officeDocument/2006/relationships/hyperlink" Target="https://doi.org/10.1021/jacs.6c02874" TargetMode="External"/><Relationship Id="rId1344" Type="http://schemas.openxmlformats.org/officeDocument/2006/relationships/hyperlink" Target="https://pubs.acs.org/doi/10.1021/jacs.6c05580" TargetMode="External"/><Relationship Id="rId1345" Type="http://schemas.openxmlformats.org/officeDocument/2006/relationships/hyperlink" Target="https://doi.org/10.1021/jacs.6c05580" TargetMode="External"/><Relationship Id="rId1346" Type="http://schemas.openxmlformats.org/officeDocument/2006/relationships/hyperlink" Target="https://www.sciencedirect.com/science/article/pii/S0306261926010913?dgcid=rss_sd_all" TargetMode="External"/><Relationship Id="rId1347" Type="http://schemas.openxmlformats.org/officeDocument/2006/relationships/hyperlink" Target="https://www.sciencedirect.com/science/article/pii/S0306261926008457?dgcid=rss_sd_all" TargetMode="External"/><Relationship Id="rId1348" Type="http://schemas.openxmlformats.org/officeDocument/2006/relationships/hyperlink" Target="https://www.sciencedirect.com/science/article/pii/S0306261926010093?dgcid=rss_sd_all" TargetMode="External"/><Relationship Id="rId1349" Type="http://schemas.openxmlformats.org/officeDocument/2006/relationships/hyperlink" Target="https://www.sciencedirect.com/science/article/pii/S0306261926010664?dgcid=rss_sd_all" TargetMode="External"/><Relationship Id="rId1350" Type="http://schemas.openxmlformats.org/officeDocument/2006/relationships/hyperlink" Target="https://academic.oup.com/nsr/advance-article/doi/10.1093/nsr/nwag436/8735821?rss=1" TargetMode="External"/><Relationship Id="rId1351" Type="http://schemas.openxmlformats.org/officeDocument/2006/relationships/hyperlink" Target="https://doi.org/10.1093/nsr/nwag436" TargetMode="External"/><Relationship Id="rId1352" Type="http://schemas.openxmlformats.org/officeDocument/2006/relationships/hyperlink" Target="https://pubs.acs.org/doi/10.1021/jacs.5c22635" TargetMode="External"/><Relationship Id="rId1353" Type="http://schemas.openxmlformats.org/officeDocument/2006/relationships/hyperlink" Target="https://doi.org/10.1021/jacs.5c22635" TargetMode="External"/><Relationship Id="rId1354" Type="http://schemas.openxmlformats.org/officeDocument/2006/relationships/hyperlink" Target="https://www.nature.com/articles/d41586-026-02225-w" TargetMode="External"/><Relationship Id="rId1355" Type="http://schemas.openxmlformats.org/officeDocument/2006/relationships/hyperlink" Target="https://doi.org/10.1038/d41586-026-02225-w" TargetMode="External"/><Relationship Id="rId1356" Type="http://schemas.openxmlformats.org/officeDocument/2006/relationships/hyperlink" Target="https://www.nature.com/articles/d41586-026-01389-9" TargetMode="External"/><Relationship Id="rId1357" Type="http://schemas.openxmlformats.org/officeDocument/2006/relationships/hyperlink" Target="https://doi.org/10.1038/d41586-026-01389-9" TargetMode="External"/><Relationship Id="rId1358" Type="http://schemas.openxmlformats.org/officeDocument/2006/relationships/hyperlink" Target="https://www.nature.com/articles/d41586-026-02214-z" TargetMode="External"/><Relationship Id="rId1359" Type="http://schemas.openxmlformats.org/officeDocument/2006/relationships/hyperlink" Target="https://doi.org/10.1038/d41586-026-02214-z" TargetMode="External"/><Relationship Id="rId1360" Type="http://schemas.openxmlformats.org/officeDocument/2006/relationships/hyperlink" Target="https://www.nature.com/articles/d41586-026-02089-0" TargetMode="External"/><Relationship Id="rId1361" Type="http://schemas.openxmlformats.org/officeDocument/2006/relationships/hyperlink" Target="https://doi.org/10.1038/d41586-026-02089-0" TargetMode="External"/><Relationship Id="rId1362" Type="http://schemas.openxmlformats.org/officeDocument/2006/relationships/hyperlink" Target="https://www.nature.com/articles/s41563-026-02697-1" TargetMode="External"/><Relationship Id="rId1363" Type="http://schemas.openxmlformats.org/officeDocument/2006/relationships/hyperlink" Target="https://doi.org/10.1038/s41563-026-02697-1" TargetMode="External"/><Relationship Id="rId1364" Type="http://schemas.openxmlformats.org/officeDocument/2006/relationships/hyperlink" Target="https://pubs.acs.org/doi/10.1021/acs.chemrev.6c00255" TargetMode="External"/><Relationship Id="rId1365" Type="http://schemas.openxmlformats.org/officeDocument/2006/relationships/hyperlink" Target="https://doi.org/10.1021/acs.chemrev.6c00255" TargetMode="External"/><Relationship Id="rId1366" Type="http://schemas.openxmlformats.org/officeDocument/2006/relationships/hyperlink" Target="https://pubs.acs.org/doi/10.1021/jacs.6c10186" TargetMode="External"/><Relationship Id="rId1367" Type="http://schemas.openxmlformats.org/officeDocument/2006/relationships/hyperlink" Target="https://doi.org/10.1021/jacs.6c10186" TargetMode="External"/><Relationship Id="rId1368" Type="http://schemas.openxmlformats.org/officeDocument/2006/relationships/hyperlink" Target="https://www.cell.com/matter/fulltext/S2590-2385(26)00267-5?rss=yes" TargetMode="External"/><Relationship Id="rId1369" Type="http://schemas.openxmlformats.org/officeDocument/2006/relationships/hyperlink" Target="https://doi.org/10.1016/j.matt.2026.102904" TargetMode="External"/><Relationship Id="rId1370" Type="http://schemas.openxmlformats.org/officeDocument/2006/relationships/hyperlink" Target="https://www.nature.com/articles/d41586-026-02175-3" TargetMode="External"/><Relationship Id="rId1371" Type="http://schemas.openxmlformats.org/officeDocument/2006/relationships/hyperlink" Target="https://doi.org/10.1038/d41586-026-02175-3" TargetMode="External"/><Relationship Id="rId1372" Type="http://schemas.openxmlformats.org/officeDocument/2006/relationships/hyperlink" Target="https://www.nature.com/articles/s41467-026-75757-4" TargetMode="External"/><Relationship Id="rId1373" Type="http://schemas.openxmlformats.org/officeDocument/2006/relationships/hyperlink" Target="https://www.nature.com/articles/s41467-026-75539-y" TargetMode="External"/><Relationship Id="rId1374" Type="http://schemas.openxmlformats.org/officeDocument/2006/relationships/hyperlink" Target="https://pubs.acs.org/doi/10.1021/acsami.6c08069" TargetMode="External"/><Relationship Id="rId1375" Type="http://schemas.openxmlformats.org/officeDocument/2006/relationships/hyperlink" Target="https://doi.org/10.1021/acsami.6c08069" TargetMode="External"/><Relationship Id="rId1376" Type="http://schemas.openxmlformats.org/officeDocument/2006/relationships/hyperlink" Target="https://www.nature.com/articles/s41467-026-75200-8" TargetMode="External"/><Relationship Id="rId1377" Type="http://schemas.openxmlformats.org/officeDocument/2006/relationships/hyperlink" Target="https://www.nature.com/articles/s41467-026-74167-w" TargetMode="External"/><Relationship Id="rId1378" Type="http://schemas.openxmlformats.org/officeDocument/2006/relationships/hyperlink" Target="https://pubs.acs.org/doi/10.1021/acsami.6c09642" TargetMode="External"/><Relationship Id="rId1379" Type="http://schemas.openxmlformats.org/officeDocument/2006/relationships/hyperlink" Target="https://doi.org/10.1021/acsami.6c09642" TargetMode="External"/><Relationship Id="rId1380" Type="http://schemas.openxmlformats.org/officeDocument/2006/relationships/hyperlink" Target="https://pubs.acs.org/doi/10.1021/acsami.6c08163" TargetMode="External"/><Relationship Id="rId1381" Type="http://schemas.openxmlformats.org/officeDocument/2006/relationships/hyperlink" Target="https://doi.org/10.1021/acsami.6c08163" TargetMode="External"/><Relationship Id="rId1382" Type="http://schemas.openxmlformats.org/officeDocument/2006/relationships/hyperlink" Target="https://pubs.acs.org/doi/10.1021/acsami.6c04520" TargetMode="External"/><Relationship Id="rId1383" Type="http://schemas.openxmlformats.org/officeDocument/2006/relationships/hyperlink" Target="https://doi.org/10.1021/acsami.6c04520" TargetMode="External"/><Relationship Id="rId1384" Type="http://schemas.openxmlformats.org/officeDocument/2006/relationships/hyperlink" Target="https://pubs.acs.org/doi/10.1021/acsami.6c07737" TargetMode="External"/><Relationship Id="rId1385" Type="http://schemas.openxmlformats.org/officeDocument/2006/relationships/hyperlink" Target="https://doi.org/10.1021/acsami.6c07737" TargetMode="External"/><Relationship Id="rId1386" Type="http://schemas.openxmlformats.org/officeDocument/2006/relationships/hyperlink" Target="https://pubs.acs.org/doi/10.1021/acsami.6c05488" TargetMode="External"/><Relationship Id="rId1387" Type="http://schemas.openxmlformats.org/officeDocument/2006/relationships/hyperlink" Target="https://doi.org/10.1021/acsami.6c05488" TargetMode="External"/><Relationship Id="rId1388" Type="http://schemas.openxmlformats.org/officeDocument/2006/relationships/hyperlink" Target="https://pubs.acs.org/doi/10.1021/acsami.6c09342" TargetMode="External"/><Relationship Id="rId1389" Type="http://schemas.openxmlformats.org/officeDocument/2006/relationships/hyperlink" Target="https://doi.org/10.1021/acsami.6c09342" TargetMode="External"/><Relationship Id="rId1390" Type="http://schemas.openxmlformats.org/officeDocument/2006/relationships/hyperlink" Target="https://pubs.acs.org/doi/10.1021/acsami.6c13258" TargetMode="External"/><Relationship Id="rId1391" Type="http://schemas.openxmlformats.org/officeDocument/2006/relationships/hyperlink" Target="https://doi.org/10.1021/acsami.6c13258" TargetMode="External"/><Relationship Id="rId1392" Type="http://schemas.openxmlformats.org/officeDocument/2006/relationships/hyperlink" Target="https://pubs.acs.org/doi/10.1021/acsami.6c08458" TargetMode="External"/><Relationship Id="rId1393" Type="http://schemas.openxmlformats.org/officeDocument/2006/relationships/hyperlink" Target="https://doi.org/10.1021/acsami.6c08458" TargetMode="External"/><Relationship Id="rId1394" Type="http://schemas.openxmlformats.org/officeDocument/2006/relationships/hyperlink" Target="https://pubs.acs.org/doi/10.1021/acsami.6c06888" TargetMode="External"/><Relationship Id="rId1395" Type="http://schemas.openxmlformats.org/officeDocument/2006/relationships/hyperlink" Target="https://doi.org/10.1021/acsami.6c06888" TargetMode="External"/><Relationship Id="rId1396" Type="http://schemas.openxmlformats.org/officeDocument/2006/relationships/hyperlink" Target="https://pubs.acs.org/doi/10.1021/acsami.6c02354" TargetMode="External"/><Relationship Id="rId1397" Type="http://schemas.openxmlformats.org/officeDocument/2006/relationships/hyperlink" Target="https://doi.org/10.1021/acsami.6c02354" TargetMode="External"/><Relationship Id="rId1398" Type="http://schemas.openxmlformats.org/officeDocument/2006/relationships/hyperlink" Target="https://pubs.acs.org/doi/10.1021/acsami.6c10322" TargetMode="External"/><Relationship Id="rId1399" Type="http://schemas.openxmlformats.org/officeDocument/2006/relationships/hyperlink" Target="https://doi.org/10.1021/acsami.6c10322" TargetMode="External"/><Relationship Id="rId1400" Type="http://schemas.openxmlformats.org/officeDocument/2006/relationships/hyperlink" Target="https://www.nature.com/articles/s41467-026-75490-y" TargetMode="External"/><Relationship Id="rId1401" Type="http://schemas.openxmlformats.org/officeDocument/2006/relationships/hyperlink" Target="https://pubs.acs.org/doi/10.1021/acsami.6c10093" TargetMode="External"/><Relationship Id="rId1402" Type="http://schemas.openxmlformats.org/officeDocument/2006/relationships/hyperlink" Target="https://doi.org/10.1021/acsami.6c10093" TargetMode="External"/><Relationship Id="rId1403" Type="http://schemas.openxmlformats.org/officeDocument/2006/relationships/hyperlink" Target="https://www.nature.com/articles/s41467-026-75136-z" TargetMode="External"/><Relationship Id="rId1404" Type="http://schemas.openxmlformats.org/officeDocument/2006/relationships/hyperlink" Target="https://www.nature.com/articles/s41467-026-75367-0" TargetMode="External"/><Relationship Id="rId1405" Type="http://schemas.openxmlformats.org/officeDocument/2006/relationships/hyperlink" Target="https://www.nature.com/articles/s41467-026-75399-6" TargetMode="External"/><Relationship Id="rId1406" Type="http://schemas.openxmlformats.org/officeDocument/2006/relationships/hyperlink" Target="https://www.nature.com/articles/s41467-026-75657-7" TargetMode="External"/><Relationship Id="rId1407" Type="http://schemas.openxmlformats.org/officeDocument/2006/relationships/hyperlink" Target="https://www.nature.com/articles/s41467-026-75420-y" TargetMode="External"/><Relationship Id="rId1408" Type="http://schemas.openxmlformats.org/officeDocument/2006/relationships/hyperlink" Target="https://www.nature.com/articles/s41467-026-75651-z" TargetMode="External"/><Relationship Id="rId1409" Type="http://schemas.openxmlformats.org/officeDocument/2006/relationships/hyperlink" Target="https://www.nature.com/articles/s41467-026-75564-x" TargetMode="External"/><Relationship Id="rId1410" Type="http://schemas.openxmlformats.org/officeDocument/2006/relationships/hyperlink" Target="https://www.nature.com/articles/s41467-026-75455-1" TargetMode="External"/><Relationship Id="rId1411" Type="http://schemas.openxmlformats.org/officeDocument/2006/relationships/hyperlink" Target="https://www.nature.com/articles/s41467-026-75728-9" TargetMode="External"/><Relationship Id="rId1412" Type="http://schemas.openxmlformats.org/officeDocument/2006/relationships/hyperlink" Target="https://www.nature.com/articles/s41467-026-75549-w" TargetMode="External"/><Relationship Id="rId1413" Type="http://schemas.openxmlformats.org/officeDocument/2006/relationships/hyperlink" Target="https://www.nature.com/articles/s41467-026-75652-y" TargetMode="External"/><Relationship Id="rId1414" Type="http://schemas.openxmlformats.org/officeDocument/2006/relationships/hyperlink" Target="https://www.nature.com/articles/s41467-026-75716-z" TargetMode="External"/><Relationship Id="rId1415" Type="http://schemas.openxmlformats.org/officeDocument/2006/relationships/hyperlink" Target="https://www.nature.com/articles/s41467-026-75677-3" TargetMode="External"/><Relationship Id="rId1416" Type="http://schemas.openxmlformats.org/officeDocument/2006/relationships/hyperlink" Target="https://www.nature.com/articles/s41467-026-75638-w" TargetMode="External"/><Relationship Id="rId1417" Type="http://schemas.openxmlformats.org/officeDocument/2006/relationships/hyperlink" Target="https://www.nature.com/articles/s41467-026-75467-x" TargetMode="External"/><Relationship Id="rId1418" Type="http://schemas.openxmlformats.org/officeDocument/2006/relationships/hyperlink" Target="https://www.nature.com/articles/s41467-026-75566-9" TargetMode="External"/><Relationship Id="rId1419" Type="http://schemas.openxmlformats.org/officeDocument/2006/relationships/hyperlink" Target="https://www.nature.com/articles/s41467-026-75678-2" TargetMode="External"/><Relationship Id="rId1420" Type="http://schemas.openxmlformats.org/officeDocument/2006/relationships/hyperlink" Target="https://www.nature.com/articles/s41467-026-75801-3" TargetMode="External"/><Relationship Id="rId1421" Type="http://schemas.openxmlformats.org/officeDocument/2006/relationships/hyperlink" Target="https://www.nature.com/articles/s41467-026-75584-7" TargetMode="External"/><Relationship Id="rId1422" Type="http://schemas.openxmlformats.org/officeDocument/2006/relationships/hyperlink" Target="https://www.nature.com/articles/s41467-026-75639-9" TargetMode="External"/><Relationship Id="rId1423" Type="http://schemas.openxmlformats.org/officeDocument/2006/relationships/hyperlink" Target="https://www.nature.com/articles/s41467-026-75614-4" TargetMode="External"/><Relationship Id="rId1424" Type="http://schemas.openxmlformats.org/officeDocument/2006/relationships/hyperlink" Target="https://www.nature.com/articles/s41467-026-73605-z" TargetMode="External"/><Relationship Id="rId1425" Type="http://schemas.openxmlformats.org/officeDocument/2006/relationships/hyperlink" Target="https://www.nature.com/articles/s41467-026-75489-5" TargetMode="External"/><Relationship Id="rId1426" Type="http://schemas.openxmlformats.org/officeDocument/2006/relationships/hyperlink" Target="https://www.nature.com/articles/s41467-026-74138-1" TargetMode="External"/><Relationship Id="rId1427" Type="http://schemas.openxmlformats.org/officeDocument/2006/relationships/hyperlink" Target="https://www.nature.com/articles/s41467-026-74709-2" TargetMode="External"/><Relationship Id="rId1428" Type="http://schemas.openxmlformats.org/officeDocument/2006/relationships/hyperlink" Target="https://www.nature.com/articles/s41467-026-75582-9" TargetMode="External"/><Relationship Id="rId1429" Type="http://schemas.openxmlformats.org/officeDocument/2006/relationships/hyperlink" Target="https://www.nature.com/articles/s41467-026-75628-y" TargetMode="External"/><Relationship Id="rId1430" Type="http://schemas.openxmlformats.org/officeDocument/2006/relationships/hyperlink" Target="https://www.nature.com/articles/s41467-026-75687-1" TargetMode="External"/><Relationship Id="rId1431" Type="http://schemas.openxmlformats.org/officeDocument/2006/relationships/hyperlink" Target="https://www.nature.com/articles/s41467-026-75456-0" TargetMode="External"/><Relationship Id="rId1432" Type="http://schemas.openxmlformats.org/officeDocument/2006/relationships/hyperlink" Target="https://www.nature.com/articles/s41467-026-75644-y" TargetMode="External"/><Relationship Id="rId1433" Type="http://schemas.openxmlformats.org/officeDocument/2006/relationships/hyperlink" Target="https://www.science.org/doi/abs/10.1126/science.aek5958?af=R" TargetMode="External"/><Relationship Id="rId1434" Type="http://schemas.openxmlformats.org/officeDocument/2006/relationships/hyperlink" Target="https://doi.org/10.1126/science.aek5958" TargetMode="External"/><Relationship Id="rId1435" Type="http://schemas.openxmlformats.org/officeDocument/2006/relationships/hyperlink" Target="https://www.science.org/doi/abs/10.1126/science.aek5570?af=R" TargetMode="External"/><Relationship Id="rId1436" Type="http://schemas.openxmlformats.org/officeDocument/2006/relationships/hyperlink" Target="https://doi.org/10.1126/science.aek5570" TargetMode="External"/><Relationship Id="rId1437" Type="http://schemas.openxmlformats.org/officeDocument/2006/relationships/hyperlink" Target="https://www.science.org/doi/abs/10.1126/science.aek5956?af=R" TargetMode="External"/><Relationship Id="rId1438" Type="http://schemas.openxmlformats.org/officeDocument/2006/relationships/hyperlink" Target="https://doi.org/10.1126/science.aek5956" TargetMode="External"/><Relationship Id="rId1439" Type="http://schemas.openxmlformats.org/officeDocument/2006/relationships/hyperlink" Target="https://www.science.org/doi/abs/10.1126/science.aek5957?af=R" TargetMode="External"/><Relationship Id="rId1440" Type="http://schemas.openxmlformats.org/officeDocument/2006/relationships/hyperlink" Target="https://doi.org/10.1126/science.aek5957" TargetMode="External"/><Relationship Id="rId1441" Type="http://schemas.openxmlformats.org/officeDocument/2006/relationships/hyperlink" Target="https://www.science.org/doi/abs/10.1126/science.aeh4797?af=R" TargetMode="External"/><Relationship Id="rId1442" Type="http://schemas.openxmlformats.org/officeDocument/2006/relationships/hyperlink" Target="https://doi.org/10.1126/science.aeh4797" TargetMode="External"/><Relationship Id="rId1443" Type="http://schemas.openxmlformats.org/officeDocument/2006/relationships/hyperlink" Target="https://www.science.org/doi/abs/10.1126/science.aek5960?af=R" TargetMode="External"/><Relationship Id="rId1444" Type="http://schemas.openxmlformats.org/officeDocument/2006/relationships/hyperlink" Target="https://doi.org/10.1126/science.aek5960" TargetMode="External"/><Relationship Id="rId1445" Type="http://schemas.openxmlformats.org/officeDocument/2006/relationships/hyperlink" Target="https://www.science.org/doi/abs/10.1126/science.aeh4808?af=R" TargetMode="External"/><Relationship Id="rId1446" Type="http://schemas.openxmlformats.org/officeDocument/2006/relationships/hyperlink" Target="https://doi.org/10.1126/science.aeh4808" TargetMode="External"/><Relationship Id="rId1447" Type="http://schemas.openxmlformats.org/officeDocument/2006/relationships/hyperlink" Target="https://www.science.org/doi/abs/10.1126/science.aek5962?af=R" TargetMode="External"/><Relationship Id="rId1448" Type="http://schemas.openxmlformats.org/officeDocument/2006/relationships/hyperlink" Target="https://doi.org/10.1126/science.aek5962" TargetMode="External"/><Relationship Id="rId1449" Type="http://schemas.openxmlformats.org/officeDocument/2006/relationships/hyperlink" Target="https://www.science.org/doi/abs/10.1126/science.aek5959?af=R" TargetMode="External"/><Relationship Id="rId1450" Type="http://schemas.openxmlformats.org/officeDocument/2006/relationships/hyperlink" Target="https://doi.org/10.1126/science.aek5959" TargetMode="External"/><Relationship Id="rId1451" Type="http://schemas.openxmlformats.org/officeDocument/2006/relationships/hyperlink" Target="https://www.science.org/doi/abs/10.1126/science.aek5955?af=R" TargetMode="External"/><Relationship Id="rId1452" Type="http://schemas.openxmlformats.org/officeDocument/2006/relationships/hyperlink" Target="https://doi.org/10.1126/science.aek5955" TargetMode="External"/><Relationship Id="rId1453" Type="http://schemas.openxmlformats.org/officeDocument/2006/relationships/hyperlink" Target="https://www.science.org/doi/abs/10.1126/science.aeh4807?af=R" TargetMode="External"/><Relationship Id="rId1454" Type="http://schemas.openxmlformats.org/officeDocument/2006/relationships/hyperlink" Target="https://doi.org/10.1126/science.aeh4807" TargetMode="External"/><Relationship Id="rId1455" Type="http://schemas.openxmlformats.org/officeDocument/2006/relationships/hyperlink" Target="https://www.science.org/doi/abs/10.1126/science.aeg5368?af=R" TargetMode="External"/><Relationship Id="rId1456" Type="http://schemas.openxmlformats.org/officeDocument/2006/relationships/hyperlink" Target="https://doi.org/10.1126/science.aeg5368" TargetMode="External"/><Relationship Id="rId1457" Type="http://schemas.openxmlformats.org/officeDocument/2006/relationships/hyperlink" Target="https://www.science.org/doi/abs/10.1126/science.aek5961?af=R" TargetMode="External"/><Relationship Id="rId1458" Type="http://schemas.openxmlformats.org/officeDocument/2006/relationships/hyperlink" Target="https://doi.org/10.1126/science.aek5961" TargetMode="External"/><Relationship Id="rId1459" Type="http://schemas.openxmlformats.org/officeDocument/2006/relationships/hyperlink" Target="https://www.science.org/doi/abs/10.1126/science.aek5614?af=R" TargetMode="External"/><Relationship Id="rId1460" Type="http://schemas.openxmlformats.org/officeDocument/2006/relationships/hyperlink" Target="https://doi.org/10.1126/science.aek5614" TargetMode="External"/><Relationship Id="rId1461" Type="http://schemas.openxmlformats.org/officeDocument/2006/relationships/hyperlink" Target="https://www.science.org/doi/abs/10.1126/science.adx3027?af=R" TargetMode="External"/><Relationship Id="rId1462" Type="http://schemas.openxmlformats.org/officeDocument/2006/relationships/hyperlink" Target="https://doi.org/10.1126/science.adx3027" TargetMode="External"/><Relationship Id="rId1463" Type="http://schemas.openxmlformats.org/officeDocument/2006/relationships/hyperlink" Target="https://www.science.org/doi/abs/10.1126/science.aeh8601?af=R" TargetMode="External"/><Relationship Id="rId1464" Type="http://schemas.openxmlformats.org/officeDocument/2006/relationships/hyperlink" Target="https://doi.org/10.1126/science.aeh8601" TargetMode="External"/><Relationship Id="rId1465" Type="http://schemas.openxmlformats.org/officeDocument/2006/relationships/hyperlink" Target="https://www.science.org/doi/abs/10.1126/science.aei9741?af=R" TargetMode="External"/><Relationship Id="rId1466" Type="http://schemas.openxmlformats.org/officeDocument/2006/relationships/hyperlink" Target="https://doi.org/10.1126/science.aei9741" TargetMode="External"/><Relationship Id="rId1467" Type="http://schemas.openxmlformats.org/officeDocument/2006/relationships/hyperlink" Target="https://www.science.org/doi/abs/10.1126/science.aei9816?af=R" TargetMode="External"/><Relationship Id="rId1468" Type="http://schemas.openxmlformats.org/officeDocument/2006/relationships/hyperlink" Target="https://doi.org/10.1126/science.aei9816" TargetMode="External"/><Relationship Id="rId1469" Type="http://schemas.openxmlformats.org/officeDocument/2006/relationships/hyperlink" Target="https://www.science.org/doi/abs/10.1126/science.aeh5853?af=R" TargetMode="External"/><Relationship Id="rId1470" Type="http://schemas.openxmlformats.org/officeDocument/2006/relationships/hyperlink" Target="https://doi.org/10.1126/science.aeh5853" TargetMode="External"/><Relationship Id="rId1471" Type="http://schemas.openxmlformats.org/officeDocument/2006/relationships/hyperlink" Target="https://www.science.org/doi/abs/10.1126/science.aeg6638?af=R" TargetMode="External"/><Relationship Id="rId1472" Type="http://schemas.openxmlformats.org/officeDocument/2006/relationships/hyperlink" Target="https://doi.org/10.1126/science.aeg6638" TargetMode="External"/><Relationship Id="rId1473" Type="http://schemas.openxmlformats.org/officeDocument/2006/relationships/hyperlink" Target="https://www.science.org/doi/abs/10.1126/science.aek5615?af=R" TargetMode="External"/><Relationship Id="rId1474" Type="http://schemas.openxmlformats.org/officeDocument/2006/relationships/hyperlink" Target="https://doi.org/10.1126/science.aek5615" TargetMode="External"/><Relationship Id="rId1475" Type="http://schemas.openxmlformats.org/officeDocument/2006/relationships/hyperlink" Target="https://www.science.org/doi/abs/10.1126/science.aeh9302?af=R" TargetMode="External"/><Relationship Id="rId1476" Type="http://schemas.openxmlformats.org/officeDocument/2006/relationships/hyperlink" Target="https://doi.org/10.1126/science.aeh9302" TargetMode="External"/><Relationship Id="rId1477" Type="http://schemas.openxmlformats.org/officeDocument/2006/relationships/hyperlink" Target="https://www.science.org/doi/abs/10.1126/science.aee3453?af=R" TargetMode="External"/><Relationship Id="rId1478" Type="http://schemas.openxmlformats.org/officeDocument/2006/relationships/hyperlink" Target="https://doi.org/10.1126/science.aee3453" TargetMode="External"/><Relationship Id="rId1479" Type="http://schemas.openxmlformats.org/officeDocument/2006/relationships/hyperlink" Target="https://www.science.org/doi/abs/10.1126/science.aed6123?af=R" TargetMode="External"/><Relationship Id="rId1480" Type="http://schemas.openxmlformats.org/officeDocument/2006/relationships/hyperlink" Target="https://doi.org/10.1126/science.aed6123" TargetMode="External"/><Relationship Id="rId1481" Type="http://schemas.openxmlformats.org/officeDocument/2006/relationships/hyperlink" Target="https://www.science.org/doi/abs/10.1126/science.aed6019?af=R" TargetMode="External"/><Relationship Id="rId1482" Type="http://schemas.openxmlformats.org/officeDocument/2006/relationships/hyperlink" Target="https://doi.org/10.1126/science.aed6019" TargetMode="External"/><Relationship Id="rId1483" Type="http://schemas.openxmlformats.org/officeDocument/2006/relationships/hyperlink" Target="https://www.science.org/doi/abs/10.1126/science.aeb2344?af=R" TargetMode="External"/><Relationship Id="rId1484" Type="http://schemas.openxmlformats.org/officeDocument/2006/relationships/hyperlink" Target="https://doi.org/10.1126/science.aeb2344" TargetMode="External"/><Relationship Id="rId1485" Type="http://schemas.openxmlformats.org/officeDocument/2006/relationships/hyperlink" Target="https://www.science.org/doi/abs/10.1126/science.aek5616?af=R" TargetMode="External"/><Relationship Id="rId1486" Type="http://schemas.openxmlformats.org/officeDocument/2006/relationships/hyperlink" Target="https://doi.org/10.1126/science.aek5616" TargetMode="External"/><Relationship Id="rId1487" Type="http://schemas.openxmlformats.org/officeDocument/2006/relationships/hyperlink" Target="https://www.pnas.org/doi/abs/10.1073/pnas.2607976123?mi=eymic2&amp;af=R&amp;access=on&amp;content=articlesChapters&amp;publication=pnas&amp;sortBy=Earliest&amp;target=default" TargetMode="External"/><Relationship Id="rId1488" Type="http://schemas.openxmlformats.org/officeDocument/2006/relationships/hyperlink" Target="https://doi.org/10.1073/pnas.2607976123" TargetMode="External"/><Relationship Id="rId1489" Type="http://schemas.openxmlformats.org/officeDocument/2006/relationships/hyperlink" Target="https://www.science.org/doi/abs/10.1126/science.adx8675?af=R" TargetMode="External"/><Relationship Id="rId1490" Type="http://schemas.openxmlformats.org/officeDocument/2006/relationships/hyperlink" Target="https://doi.org/10.1126/science.adx8675" TargetMode="External"/><Relationship Id="rId1491" Type="http://schemas.openxmlformats.org/officeDocument/2006/relationships/hyperlink" Target="https://www.science.org/doi/abs/10.1126/science.adx2989?af=R" TargetMode="External"/><Relationship Id="rId1492" Type="http://schemas.openxmlformats.org/officeDocument/2006/relationships/hyperlink" Target="https://doi.org/10.1126/science.adx2989" TargetMode="External"/><Relationship Id="rId1493" Type="http://schemas.openxmlformats.org/officeDocument/2006/relationships/hyperlink" Target="https://www.science.org/doi/abs/10.1126/science.aej4257?af=R" TargetMode="External"/><Relationship Id="rId1494" Type="http://schemas.openxmlformats.org/officeDocument/2006/relationships/hyperlink" Target="https://doi.org/10.1126/science.aej4257" TargetMode="External"/><Relationship Id="rId1495" Type="http://schemas.openxmlformats.org/officeDocument/2006/relationships/hyperlink" Target="https://www.science.org/doi/abs/10.1126/science.aed5665?af=R" TargetMode="External"/><Relationship Id="rId1496" Type="http://schemas.openxmlformats.org/officeDocument/2006/relationships/hyperlink" Target="https://doi.org/10.1126/science.aed5665" TargetMode="External"/><Relationship Id="rId1497" Type="http://schemas.openxmlformats.org/officeDocument/2006/relationships/hyperlink" Target="https://www.science.org/doi/abs/10.1126/science.aea3075?af=R" TargetMode="External"/><Relationship Id="rId1498" Type="http://schemas.openxmlformats.org/officeDocument/2006/relationships/hyperlink" Target="https://doi.org/10.1126/science.aea3075" TargetMode="External"/><Relationship Id="rId1499" Type="http://schemas.openxmlformats.org/officeDocument/2006/relationships/hyperlink" Target="https://www.science.org/doi/abs/10.1126/science.ady1678?af=R" TargetMode="External"/><Relationship Id="rId1500" Type="http://schemas.openxmlformats.org/officeDocument/2006/relationships/hyperlink" Target="https://doi.org/10.1126/science.ady1678" TargetMode="External"/><Relationship Id="rId1501" Type="http://schemas.openxmlformats.org/officeDocument/2006/relationships/hyperlink" Target="https://www.pnas.org/doi/abs/10.1073/pnas.2622755123?mi=eymic2&amp;af=R&amp;access=on&amp;content=articlesChapters&amp;publication=pnas&amp;sortBy=Earliest&amp;target=default" TargetMode="External"/><Relationship Id="rId1502" Type="http://schemas.openxmlformats.org/officeDocument/2006/relationships/hyperlink" Target="https://doi.org/10.1073/pnas.2622755123" TargetMode="External"/><Relationship Id="rId1503" Type="http://schemas.openxmlformats.org/officeDocument/2006/relationships/hyperlink" Target="https://www.science.org/doi/abs/10.1126/science.aeb3661?af=R" TargetMode="External"/><Relationship Id="rId1504" Type="http://schemas.openxmlformats.org/officeDocument/2006/relationships/hyperlink" Target="https://doi.org/10.1126/science.aeb3661" TargetMode="External"/><Relationship Id="rId1505" Type="http://schemas.openxmlformats.org/officeDocument/2006/relationships/hyperlink" Target="https://www.pnas.org/doi/abs/10.1073/pnas.2536238123?mi=eymic2&amp;af=R&amp;access=on&amp;content=articlesChapters&amp;publication=pnas&amp;sortBy=Earliest&amp;target=default" TargetMode="External"/><Relationship Id="rId1506" Type="http://schemas.openxmlformats.org/officeDocument/2006/relationships/hyperlink" Target="https://doi.org/10.1073/pnas.2536238123" TargetMode="External"/><Relationship Id="rId1507" Type="http://schemas.openxmlformats.org/officeDocument/2006/relationships/hyperlink" Target="https://www.science.org/doi/abs/10.1126/science.adx9264?af=R" TargetMode="External"/><Relationship Id="rId1508" Type="http://schemas.openxmlformats.org/officeDocument/2006/relationships/hyperlink" Target="https://doi.org/10.1126/science.adx9264" TargetMode="External"/><Relationship Id="rId1509" Type="http://schemas.openxmlformats.org/officeDocument/2006/relationships/hyperlink" Target="https://www.pnas.org/doi/abs/10.1073/pnas.2528388123?mi=eymic2&amp;af=R&amp;access=on&amp;content=articlesChapters&amp;publication=pnas&amp;sortBy=Earliest&amp;target=default" TargetMode="External"/><Relationship Id="rId1510" Type="http://schemas.openxmlformats.org/officeDocument/2006/relationships/hyperlink" Target="https://doi.org/10.1073/pnas.2528388123" TargetMode="External"/><Relationship Id="rId1511" Type="http://schemas.openxmlformats.org/officeDocument/2006/relationships/hyperlink" Target="https://www.pnas.org/doi/abs/10.1073/pnas.2529765123?mi=eymic2&amp;af=R&amp;access=on&amp;content=articlesChapters&amp;publication=pnas&amp;sortBy=Earliest&amp;target=default" TargetMode="External"/><Relationship Id="rId1512" Type="http://schemas.openxmlformats.org/officeDocument/2006/relationships/hyperlink" Target="https://doi.org/10.1073/pnas.2529765123" TargetMode="External"/><Relationship Id="rId1513" Type="http://schemas.openxmlformats.org/officeDocument/2006/relationships/hyperlink" Target="https://www.pnas.org/doi/abs/10.1073/pnas.2610567123?mi=eymic2&amp;af=R&amp;access=on&amp;content=articlesChapters&amp;publication=pnas&amp;sortBy=Earliest&amp;target=default" TargetMode="External"/><Relationship Id="rId1514" Type="http://schemas.openxmlformats.org/officeDocument/2006/relationships/hyperlink" Target="https://doi.org/10.1073/pnas.2610567123" TargetMode="External"/><Relationship Id="rId1515" Type="http://schemas.openxmlformats.org/officeDocument/2006/relationships/hyperlink" Target="https://www.pnas.org/doi/abs/10.1073/pnas.2529799123?mi=eymic2&amp;af=R&amp;access=on&amp;content=articlesChapters&amp;publication=pnas&amp;sortBy=Earliest&amp;target=default" TargetMode="External"/><Relationship Id="rId1516" Type="http://schemas.openxmlformats.org/officeDocument/2006/relationships/hyperlink" Target="https://doi.org/10.1073/pnas.2529799123" TargetMode="External"/><Relationship Id="rId1517" Type="http://schemas.openxmlformats.org/officeDocument/2006/relationships/hyperlink" Target="https://www.science.org/doi/abs/10.1126/science.aej7555?af=R" TargetMode="External"/><Relationship Id="rId1518" Type="http://schemas.openxmlformats.org/officeDocument/2006/relationships/hyperlink" Target="https://doi.org/10.1126/science.aej7555" TargetMode="External"/><Relationship Id="rId1519" Type="http://schemas.openxmlformats.org/officeDocument/2006/relationships/hyperlink" Target="https://www.pnas.org/doi/abs/10.1073/pnas.2536668123?mi=eymic2&amp;af=R&amp;access=on&amp;content=articlesChapters&amp;publication=pnas&amp;sortBy=Earliest&amp;target=default" TargetMode="External"/><Relationship Id="rId1520" Type="http://schemas.openxmlformats.org/officeDocument/2006/relationships/hyperlink" Target="https://doi.org/10.1073/pnas.2536668123" TargetMode="External"/><Relationship Id="rId1521" Type="http://schemas.openxmlformats.org/officeDocument/2006/relationships/hyperlink" Target="https://www.pnas.org/doi/abs/10.1073/pnas.2600283123?mi=eymic2&amp;af=R&amp;access=on&amp;content=articlesChapters&amp;publication=pnas&amp;sortBy=Earliest&amp;target=default" TargetMode="External"/><Relationship Id="rId1522" Type="http://schemas.openxmlformats.org/officeDocument/2006/relationships/hyperlink" Target="https://doi.org/10.1073/pnas.2600283123" TargetMode="External"/><Relationship Id="rId1523" Type="http://schemas.openxmlformats.org/officeDocument/2006/relationships/hyperlink" Target="https://www.pnas.org/doi/abs/10.1073/pnas.2602749123?mi=eymic2&amp;af=R&amp;access=on&amp;content=articlesChapters&amp;publication=pnas&amp;sortBy=Earliest&amp;target=default" TargetMode="External"/><Relationship Id="rId1524" Type="http://schemas.openxmlformats.org/officeDocument/2006/relationships/hyperlink" Target="https://doi.org/10.1073/pnas.2602749123" TargetMode="External"/><Relationship Id="rId1525" Type="http://schemas.openxmlformats.org/officeDocument/2006/relationships/hyperlink" Target="https://www.pnas.org/doi/abs/10.1073/pnas.2605503123?mi=eymic2&amp;af=R&amp;access=on&amp;content=articlesChapters&amp;publication=pnas&amp;sortBy=Earliest&amp;target=default" TargetMode="External"/><Relationship Id="rId1526" Type="http://schemas.openxmlformats.org/officeDocument/2006/relationships/hyperlink" Target="https://doi.org/10.1073/pnas.2605503123" TargetMode="External"/><Relationship Id="rId1527" Type="http://schemas.openxmlformats.org/officeDocument/2006/relationships/hyperlink" Target="https://www.pnas.org/doi/abs/10.1073/pnas.2520205123?mi=eymic2&amp;af=R&amp;access=on&amp;content=articlesChapters&amp;publication=pnas&amp;sortBy=Earliest&amp;target=default" TargetMode="External"/><Relationship Id="rId1528" Type="http://schemas.openxmlformats.org/officeDocument/2006/relationships/hyperlink" Target="https://doi.org/10.1073/pnas.2520205123" TargetMode="External"/><Relationship Id="rId1529" Type="http://schemas.openxmlformats.org/officeDocument/2006/relationships/hyperlink" Target="http://link.aps.org/doi/10.1103/lllj-4k5y" TargetMode="External"/><Relationship Id="rId1530" Type="http://schemas.openxmlformats.org/officeDocument/2006/relationships/hyperlink" Target="https://doi.org/10.1103/lllj-4k5y" TargetMode="External"/><Relationship Id="rId1531" Type="http://schemas.openxmlformats.org/officeDocument/2006/relationships/hyperlink" Target="http://link.aps.org/doi/10.1103/zvdk-57bt" TargetMode="External"/><Relationship Id="rId1532" Type="http://schemas.openxmlformats.org/officeDocument/2006/relationships/hyperlink" Target="https://doi.org/10.1103/zvdk-57bt" TargetMode="External"/><Relationship Id="rId1533" Type="http://schemas.openxmlformats.org/officeDocument/2006/relationships/hyperlink" Target="http://link.aps.org/doi/10.1103/knwh-996r" TargetMode="External"/><Relationship Id="rId1534" Type="http://schemas.openxmlformats.org/officeDocument/2006/relationships/hyperlink" Target="https://doi.org/10.1103/knwh-996r" TargetMode="External"/><Relationship Id="rId1535" Type="http://schemas.openxmlformats.org/officeDocument/2006/relationships/hyperlink" Target="http://link.aps.org/doi/10.1103/wwzf-2pzk" TargetMode="External"/><Relationship Id="rId1536" Type="http://schemas.openxmlformats.org/officeDocument/2006/relationships/hyperlink" Target="https://doi.org/10.1103/wwzf-2pzk" TargetMode="External"/><Relationship Id="rId1537" Type="http://schemas.openxmlformats.org/officeDocument/2006/relationships/hyperlink" Target="http://link.aps.org/doi/10.1103/7ffl-qytm" TargetMode="External"/><Relationship Id="rId1538" Type="http://schemas.openxmlformats.org/officeDocument/2006/relationships/hyperlink" Target="https://doi.org/10.1103/7ffl-qytm" TargetMode="External"/><Relationship Id="rId1539" Type="http://schemas.openxmlformats.org/officeDocument/2006/relationships/hyperlink" Target="http://link.aps.org/doi/10.1103/vmfw-c2kb" TargetMode="External"/><Relationship Id="rId1540" Type="http://schemas.openxmlformats.org/officeDocument/2006/relationships/hyperlink" Target="https://doi.org/10.1103/vmfw-c2kb" TargetMode="External"/><Relationship Id="rId1541" Type="http://schemas.openxmlformats.org/officeDocument/2006/relationships/hyperlink" Target="http://link.aps.org/doi/10.1103/lkg6-j9h9" TargetMode="External"/><Relationship Id="rId1542" Type="http://schemas.openxmlformats.org/officeDocument/2006/relationships/hyperlink" Target="https://doi.org/10.1103/lkg6-j9h9" TargetMode="External"/><Relationship Id="rId1543" Type="http://schemas.openxmlformats.org/officeDocument/2006/relationships/hyperlink" Target="http://link.aps.org/doi/10.1103/77n6-slpf" TargetMode="External"/><Relationship Id="rId1544" Type="http://schemas.openxmlformats.org/officeDocument/2006/relationships/hyperlink" Target="https://doi.org/10.1103/77n6-slpf" TargetMode="External"/><Relationship Id="rId1545" Type="http://schemas.openxmlformats.org/officeDocument/2006/relationships/hyperlink" Target="http://link.aps.org/doi/10.1103/6mwr-98zh" TargetMode="External"/><Relationship Id="rId1546" Type="http://schemas.openxmlformats.org/officeDocument/2006/relationships/hyperlink" Target="https://doi.org/10.1103/6mwr-98zh" TargetMode="External"/><Relationship Id="rId1547" Type="http://schemas.openxmlformats.org/officeDocument/2006/relationships/hyperlink" Target="http://link.aps.org/doi/10.1103/3v91-5pzf" TargetMode="External"/><Relationship Id="rId1548" Type="http://schemas.openxmlformats.org/officeDocument/2006/relationships/hyperlink" Target="https://doi.org/10.1103/3v91-5pzf" TargetMode="External"/><Relationship Id="rId1549" Type="http://schemas.openxmlformats.org/officeDocument/2006/relationships/hyperlink" Target="http://link.aps.org/doi/10.1103/v4dz-yytr" TargetMode="External"/><Relationship Id="rId1550" Type="http://schemas.openxmlformats.org/officeDocument/2006/relationships/hyperlink" Target="https://doi.org/10.1103/v4dz-yytr" TargetMode="External"/><Relationship Id="rId1551" Type="http://schemas.openxmlformats.org/officeDocument/2006/relationships/hyperlink" Target="http://link.aps.org/doi/10.1103/16bf-nm1m" TargetMode="External"/><Relationship Id="rId1552" Type="http://schemas.openxmlformats.org/officeDocument/2006/relationships/hyperlink" Target="https://doi.org/10.1103/16bf-nm1m" TargetMode="External"/><Relationship Id="rId1553" Type="http://schemas.openxmlformats.org/officeDocument/2006/relationships/hyperlink" Target="http://link.aps.org/doi/10.1103/q81l-xfkx" TargetMode="External"/><Relationship Id="rId1554" Type="http://schemas.openxmlformats.org/officeDocument/2006/relationships/hyperlink" Target="https://doi.org/10.1103/q81l-xfkx" TargetMode="External"/><Relationship Id="rId1555" Type="http://schemas.openxmlformats.org/officeDocument/2006/relationships/hyperlink" Target="http://link.aps.org/doi/10.1103/hhtt-ffgg" TargetMode="External"/><Relationship Id="rId1556" Type="http://schemas.openxmlformats.org/officeDocument/2006/relationships/hyperlink" Target="https://doi.org/10.1103/hhtt-ffgg" TargetMode="External"/><Relationship Id="rId1557" Type="http://schemas.openxmlformats.org/officeDocument/2006/relationships/hyperlink" Target="http://link.aps.org/doi/10.1103/lk5d-8qb5" TargetMode="External"/><Relationship Id="rId1558" Type="http://schemas.openxmlformats.org/officeDocument/2006/relationships/hyperlink" Target="https://doi.org/10.1103/lk5d-8qb5" TargetMode="External"/><Relationship Id="rId1559" Type="http://schemas.openxmlformats.org/officeDocument/2006/relationships/hyperlink" Target="http://link.aps.org/doi/10.1103/j8wg-6d9d" TargetMode="External"/><Relationship Id="rId1560" Type="http://schemas.openxmlformats.org/officeDocument/2006/relationships/hyperlink" Target="https://doi.org/10.1103/j8wg-6d9d" TargetMode="External"/><Relationship Id="rId1561" Type="http://schemas.openxmlformats.org/officeDocument/2006/relationships/hyperlink" Target="http://link.aps.org/doi/10.1103/jln4-jg5c" TargetMode="External"/><Relationship Id="rId1562" Type="http://schemas.openxmlformats.org/officeDocument/2006/relationships/hyperlink" Target="https://doi.org/10.1103/jln4-jg5c" TargetMode="External"/><Relationship Id="rId1563" Type="http://schemas.openxmlformats.org/officeDocument/2006/relationships/hyperlink" Target="http://link.aps.org/doi/10.1103/msqr-kq8p" TargetMode="External"/><Relationship Id="rId1564" Type="http://schemas.openxmlformats.org/officeDocument/2006/relationships/hyperlink" Target="https://doi.org/10.1103/msqr-kq8p" TargetMode="External"/><Relationship Id="rId1565" Type="http://schemas.openxmlformats.org/officeDocument/2006/relationships/hyperlink" Target="http://link.aps.org/doi/10.1103/lbj8-qqm6" TargetMode="External"/><Relationship Id="rId1566" Type="http://schemas.openxmlformats.org/officeDocument/2006/relationships/hyperlink" Target="https://doi.org/10.1103/lbj8-qqm6" TargetMode="External"/><Relationship Id="rId1567" Type="http://schemas.openxmlformats.org/officeDocument/2006/relationships/hyperlink" Target="http://link.aps.org/doi/10.1103/6jvb-2kp2" TargetMode="External"/><Relationship Id="rId1568" Type="http://schemas.openxmlformats.org/officeDocument/2006/relationships/hyperlink" Target="https://doi.org/10.1103/6jvb-2kp2" TargetMode="External"/><Relationship Id="rId1569" Type="http://schemas.openxmlformats.org/officeDocument/2006/relationships/hyperlink" Target="http://link.aps.org/doi/10.1103/65gz-dcjz" TargetMode="External"/><Relationship Id="rId1570" Type="http://schemas.openxmlformats.org/officeDocument/2006/relationships/hyperlink" Target="https://doi.org/10.1103/65gz-dcjz" TargetMode="External"/><Relationship Id="rId1571" Type="http://schemas.openxmlformats.org/officeDocument/2006/relationships/hyperlink" Target="http://link.aps.org/doi/10.1103/xxb4-7zc8" TargetMode="External"/><Relationship Id="rId1572" Type="http://schemas.openxmlformats.org/officeDocument/2006/relationships/hyperlink" Target="https://doi.org/10.1103/xxb4-7zc8" TargetMode="External"/><Relationship Id="rId1573" Type="http://schemas.openxmlformats.org/officeDocument/2006/relationships/hyperlink" Target="http://link.aps.org/doi/10.1103/ltgt-kbj7" TargetMode="External"/><Relationship Id="rId1574" Type="http://schemas.openxmlformats.org/officeDocument/2006/relationships/hyperlink" Target="https://doi.org/10.1103/ltgt-kbj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