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2026-06-26</w:t>
      </w:r>
    </w:p>
    <w:p>
      <w:pPr>
        <w:spacing w:before="160" w:after="120"/>
      </w:pPr>
      <w:r>
        <w:rPr>
          <w:b/>
          <w:sz w:val="28"/>
        </w:rPr>
        <w:t>【光伏】</w:t>
      </w:r>
    </w:p>
    <w:p>
      <w:pPr>
        <w:spacing w:before="160" w:after="40" w:line="240" w:lineRule="auto"/>
      </w:pPr>
      <w:r>
        <w:rPr>
          <w:b/>
        </w:rPr>
        <w:t xml:space="preserve">[1] </w:t>
      </w:r>
      <w:hyperlink r:id="rId9">
        <w:r>
          <w:rPr>
            <w:color w:val="1155CC"/>
            <w:u w:val="single"/>
          </w:rPr>
          <w:t>光谱选择性 c-Si 农用光伏模块：评估新方法</w:t>
        </w:r>
      </w:hyperlink>
    </w:p>
    <w:p>
      <w:pPr>
        <w:spacing w:before="0" w:after="80"/>
      </w:pPr>
      <w:r>
        <w:rPr>
          <w:i/>
          <w:sz w:val="20"/>
        </w:rPr>
        <w:t>EN: Spectrally selective c-Si agrivoltaic modules: Evaluating a new approach</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气候变化下住宅建筑屋顶光伏发电的时空供需匹配：跨气候区评估</w:t>
        </w:r>
      </w:hyperlink>
    </w:p>
    <w:p>
      <w:pPr>
        <w:spacing w:before="0" w:after="80"/>
      </w:pPr>
      <w:r>
        <w:rPr>
          <w:i/>
          <w:sz w:val="20"/>
        </w:rPr>
        <w:t>EN: Spatiotemporal supply-demand matching in residential building rooftop photovoltaics (PV) under climate change: a cross-climate zone assessment</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用于在深空环境中可靠发电的有机光伏电池</w:t>
        </w:r>
      </w:hyperlink>
    </w:p>
    <w:p>
      <w:pPr>
        <w:spacing w:before="0" w:after="80"/>
      </w:pPr>
      <w:r>
        <w:rPr>
          <w:i/>
          <w:sz w:val="20"/>
        </w:rPr>
        <w:t>EN: Organic Photovoltaic Cells for Reliable Energy Generation in Deep Space Environments</w:t>
      </w:r>
    </w:p>
    <w:p>
      <w:pPr>
        <w:spacing w:before="0" w:after="120"/>
      </w:pPr>
      <w:r>
        <w:rPr>
          <w:b/>
        </w:rPr>
        <w:t xml:space="preserve">Source: </w:t>
      </w:r>
      <w:r>
        <w:t>Wiley: Advanced Materials: Table of Contents</w:t>
      </w:r>
      <w:r>
        <w:t xml:space="preserve">    </w:t>
      </w:r>
      <w:r>
        <w:rPr>
          <w:b/>
        </w:rPr>
        <w:t xml:space="preserve">Pub date: </w:t>
      </w:r>
      <w:r>
        <w:t>2026-06-20 05:30:14+00:00</w:t>
      </w:r>
      <w:r>
        <w:t xml:space="preserve">    </w:t>
      </w:r>
      <w:r>
        <w:rPr>
          <w:b/>
        </w:rPr>
        <w:t xml:space="preserve">DOI: </w:t>
      </w:r>
      <w:hyperlink r:id="rId12">
        <w:r>
          <w:rPr>
            <w:color w:val="1155CC"/>
            <w:u w:val="single"/>
          </w:rPr>
          <w:t>10.1002/adma.73628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有机光伏 (OPV) 电池重量轻、灵活且具有高比功率，是深空能源发电的一种有前景的解决方案。然而，它们在如此极端条件下的实际操作仍处于起步阶段。在这里，我们揭示了低温重塑了 OPV 电池的固有能量和电荷动力学。随着温度降低，态密度变窄，准费米能级分裂增加，从而提高开路电压。然而，驱动力的降低限制了激子解离和电荷传输，凸显了对具有增强驱动力的下一代有源层的需求。同时，通过界面偶极效应促进电荷提取的阴极中间层材料在低温下表现出优异的性能。基于聚酰亚胺基板的柔性OPV电池在这种条件下表现出显着的机械弹性。这些发现为未来深空探索高效、耐用和适应性强的光伏系统的设计提供了指导原则。</w:t>
      </w:r>
    </w:p>
    <w:p>
      <w:pPr>
        <w:spacing w:before="0" w:after="200" w:lineRule="auto" w:line="276"/>
      </w:pPr>
      <w:r>
        <w:rPr>
          <w:b/>
        </w:rPr>
        <w:t xml:space="preserve">Abstract (EN): </w:t>
      </w:r>
      <w:r>
        <w:t>Lightweight, flexible, and capable of high specific power, organic photovoltaic (OPV) cells represent a promising solution for energy generation in deep space. However, their practical operation under such extreme conditions remains in its infancy. Here we reveal that low temperatures reshape the intrinsic energetics and charge dynamics of OPV cells. As temperature decreases, the density of states narrows and the quasi‐Fermi level splitting increases, enhancing the open‐circuit voltage. Yet, the reduced driving force constrains exciton dissociation and charge transport, highlighting the need for next‐generation active layers with enhanced driving forces. Meanwhile, cathode interlayer materials that facilitate charge extraction through interfacial dipole effects demonstrate superior performance at cryogenic temperatures. Flexible OPV cells based on polyimide substrates exhibit remarkable mechanical resilience under such conditions. These findings provide guiding principles for the design of efficient, durable, and adaptable photovoltaic systems for future deep space exploration.</w:t>
      </w:r>
    </w:p>
    <w:p>
      <w:pPr>
        <w:spacing w:before="120" w:after="120"/>
      </w:pPr>
      <w:r>
        <w:rPr>
          <w:sz w:val="18"/>
        </w:rPr>
        <w:t>——————————————————————————————————————————————————————————————————————</w:t>
      </w:r>
    </w:p>
    <w:p>
      <w:pPr>
        <w:spacing w:before="160" w:after="40" w:line="240" w:lineRule="auto"/>
      </w:pPr>
      <w:r>
        <w:rPr>
          <w:b/>
        </w:rPr>
        <w:t xml:space="preserve">[4] </w:t>
      </w:r>
      <w:hyperlink r:id="rId13">
        <w:r>
          <w:rPr>
            <w:color w:val="1155CC"/>
            <w:u w:val="single"/>
          </w:rPr>
          <w:t>具有不同长度酯连接烷基链的核翼型杂化二聚大分子受体可实现 20.25% 效率的有机太阳能电池</w:t>
        </w:r>
      </w:hyperlink>
    </w:p>
    <w:p>
      <w:pPr>
        <w:spacing w:before="0" w:after="80"/>
      </w:pPr>
      <w:r>
        <w:rPr>
          <w:i/>
          <w:sz w:val="20"/>
        </w:rPr>
        <w:t>EN: Core‐to‐Wing Type Hybrid Dimeric Giant Molecule Acceptors With Different‐Length Ester‐Linked Alkyl Chains Enable 20.25% Efficiency Organic Solar Cells</w:t>
      </w:r>
    </w:p>
    <w:p>
      <w:pPr>
        <w:spacing w:before="0" w:after="120"/>
      </w:pPr>
      <w:r>
        <w:rPr>
          <w:b/>
        </w:rPr>
        <w:t xml:space="preserve">Source: </w:t>
      </w:r>
      <w:r>
        <w:t>Wiley: Angewandte Chemie International Edition: Table of Contents</w:t>
      </w:r>
      <w:r>
        <w:t xml:space="preserve">    </w:t>
      </w:r>
      <w:r>
        <w:rPr>
          <w:b/>
        </w:rPr>
        <w:t xml:space="preserve">Pub date: </w:t>
      </w:r>
      <w:r>
        <w:t>2026-06-20 09:58:30+00:00</w:t>
      </w:r>
      <w:r>
        <w:t xml:space="preserve">    </w:t>
      </w:r>
      <w:r>
        <w:rPr>
          <w:b/>
        </w:rPr>
        <w:t xml:space="preserve">DOI: </w:t>
      </w:r>
      <w:hyperlink r:id="rId14">
        <w:r>
          <w:rPr>
            <w:color w:val="1155CC"/>
            <w:u w:val="single"/>
          </w:rPr>
          <w:t>10.1002/anie.5779751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Dimeric acceptors have recently emerged as promising giant molecule acceptors (GMAs) for organic solar cells (OSCs), but most systems link two identical monomeric units.结合不同受体单元的混合 GMA 仍未被探索。 Herein, we develop a core‐to‐wing type hybrid strategy coupling BT‐ and BZ‐core acceptor units through flexible ester‐linked alkyl chains, affording three GMAs (BTZ‐2‐2, BTZ‐2‐6, and BTZ‐2‐10). This design enables complementary absorption by combining the spectral features of BT‐ and BZ‐based monomers while preserving favorable crystallization behavior. Among them, BTZ‐2‐6 exhibits the broadest, most red‐shifted absorption, enhanced π‐π stacking, and the highest electron mobility due to the optimal length of its ester‐linked alkyl chain. PM6:BTZ-2-6 二元器件的效率为 18.53%，并且在照明 720 小时后仍保留其初始效率的近 90%。 Furthermore, the efficiency can be increased to 19.41% by replacing PM6 with D18 as the donor polymer, and further boosted to 20.25% by incorporating BTZ‐2‐6 as a third component into PM6:L8‐BO binary devices. These results demonstrate that core‐to‐wing hybrid GMAs with ester‐linked alkyl chains of different lengths provide an effective strategy for constructing high‐performance GMAs, offering new opportunities for efficient and stable OSCs.</w:t>
      </w:r>
    </w:p>
    <w:p>
      <w:pPr>
        <w:spacing w:before="0" w:after="200" w:lineRule="auto" w:line="276"/>
      </w:pPr>
      <w:r>
        <w:rPr>
          <w:b/>
        </w:rPr>
        <w:t xml:space="preserve">Abstract (EN): </w:t>
      </w:r>
      <w:r>
        <w:t>Dimeric acceptors have recently emerged as promising giant molecule acceptors (GMAs) for organic solar cells (OSCs), but most systems link two identical monomeric units. Hybrid GMAs combining different acceptor units remain unexplored. Herein, we develop a core‐to‐wing type hybrid strategy coupling BT‐ and BZ‐core acceptor units through flexible ester‐linked alkyl chains, affording three GMAs (BTZ‐2‐2, BTZ‐2‐6, and BTZ‐2‐10). This design enables complementary absorption by combining the spectral features of BT‐ and BZ‐based monomers while preserving favorable crystallization behavior. Among them, BTZ‐2‐6 exhibits the broadest, most red‐shifted absorption, enhanced π‐π stacking, and the highest electron mobility due to the optimal length of its ester‐linked alkyl chain. The PM6:BTZ‐2‐6 binary device delivers 18.53% efficiency and retains nearly 90% of its initial efficiency after 720 h of illumination. Furthermore, the efficiency can be increased to 19.41% by replacing PM6 with D18 as the donor polymer, and further boosted to 20.25% by incorporating BTZ‐2‐6 as a third component into PM6:L8‐BO binary devices. These results demonstrate that core‐to‐wing hybrid GMAs with ester‐linked alkyl chains of different lengths provide an effective strategy for constructing high‐performance GMAs, offering new opportunities for efficient and stable OSCs.</w:t>
      </w:r>
    </w:p>
    <w:p>
      <w:pPr>
        <w:spacing w:before="120" w:after="120"/>
      </w:pPr>
      <w:r>
        <w:rPr>
          <w:sz w:val="18"/>
        </w:rPr>
        <w:t>——————————————————————————————————————————————————————————————————————</w:t>
      </w:r>
    </w:p>
    <w:p>
      <w:pPr>
        <w:spacing w:before="160" w:after="40" w:line="240" w:lineRule="auto"/>
      </w:pPr>
      <w:r>
        <w:rPr>
          <w:b/>
        </w:rPr>
        <w:t xml:space="preserve">[5] </w:t>
      </w:r>
      <w:hyperlink r:id="rId15">
        <w:r>
          <w:rPr>
            <w:color w:val="1155CC"/>
            <w:u w:val="single"/>
          </w:rPr>
          <w:t>为什么理论光伏适用性不能完全预测部署：中国城市规模选址的可解释深度学习</w:t>
        </w:r>
      </w:hyperlink>
    </w:p>
    <w:p>
      <w:pPr>
        <w:spacing w:before="0" w:after="80"/>
      </w:pPr>
      <w:r>
        <w:rPr>
          <w:i/>
          <w:sz w:val="20"/>
        </w:rPr>
        <w:t>EN: Why theoretical photovoltaic suitability does not fully predict deployment: interpretable deep learning of urban-scale siting across Chinese cities</w:t>
      </w:r>
    </w:p>
    <w:p>
      <w:pPr>
        <w:spacing w:before="0" w:after="120"/>
      </w:pPr>
      <w:r>
        <w:rPr>
          <w:b/>
        </w:rPr>
        <w:t xml:space="preserve">Source: </w:t>
      </w:r>
      <w:r>
        <w:t>ScienceDirect Publication: Applied Energy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6">
        <w:r>
          <w:rPr>
            <w:color w:val="1155CC"/>
            <w:u w:val="single"/>
          </w:rPr>
          <w:t>LLM授权的PV-EV渗透配电网多智能体智能规划</w:t>
        </w:r>
      </w:hyperlink>
    </w:p>
    <w:p>
      <w:pPr>
        <w:spacing w:before="0" w:after="80"/>
      </w:pPr>
      <w:r>
        <w:rPr>
          <w:i/>
          <w:sz w:val="20"/>
        </w:rPr>
        <w:t>EN: LLM-empowered multi-agent intelligent planning for PV-EV penetrated distribution networks</w:t>
      </w:r>
    </w:p>
    <w:p>
      <w:pPr>
        <w:spacing w:before="0" w:after="120"/>
      </w:pPr>
      <w:r>
        <w:rPr>
          <w:b/>
        </w:rPr>
        <w:t xml:space="preserve">Source: </w:t>
      </w:r>
      <w:r>
        <w:t>ScienceDirect Publication: Applied Energy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7">
        <w:r>
          <w:rPr>
            <w:color w:val="1155CC"/>
            <w:u w:val="single"/>
          </w:rPr>
          <w:t>用于预测热点引起的光伏性能损失的多模态融合框架</w:t>
        </w:r>
      </w:hyperlink>
    </w:p>
    <w:p>
      <w:pPr>
        <w:spacing w:before="0" w:after="80"/>
      </w:pPr>
      <w:r>
        <w:rPr>
          <w:i/>
          <w:sz w:val="20"/>
        </w:rPr>
        <w:t>EN: A multimodal fusion framework for prediction of hotspot-induced photovoltaic performance loss</w:t>
      </w:r>
    </w:p>
    <w:p>
      <w:pPr>
        <w:spacing w:before="0" w:after="120"/>
      </w:pPr>
      <w:r>
        <w:rPr>
          <w:b/>
        </w:rPr>
        <w:t xml:space="preserve">Source: </w:t>
      </w:r>
      <w:r>
        <w:t>ScienceDirect Publication: Applied Energy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8">
        <w:r>
          <w:rPr>
            <w:color w:val="1155CC"/>
            <w:u w:val="single"/>
          </w:rPr>
          <w:t>基于吸附蒸发的太阳能光伏板出汗被动冷却：批判性评论</w:t>
        </w:r>
      </w:hyperlink>
    </w:p>
    <w:p>
      <w:pPr>
        <w:spacing w:before="0" w:after="80"/>
      </w:pPr>
      <w:r>
        <w:rPr>
          <w:i/>
          <w:sz w:val="20"/>
        </w:rPr>
        <w:t>EN: Sorption-evaporation-based sweating passive cooling of solar PV panels: A critical review</w:t>
      </w:r>
    </w:p>
    <w:p>
      <w:pPr>
        <w:spacing w:before="0" w:after="120"/>
      </w:pPr>
      <w:r>
        <w:rPr>
          <w:b/>
        </w:rPr>
        <w:t xml:space="preserve">Source: </w:t>
      </w:r>
      <w:r>
        <w:t>ScienceDirect Publication: Applied Energy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9">
        <w:r>
          <w:rPr>
            <w:color w:val="1155CC"/>
            <w:u w:val="single"/>
          </w:rPr>
          <w:t>通过定制固体添加剂取代基，协同促进电荷动力学并抑制能量紊乱，使有机太阳能电池的效率超过 21%</w:t>
        </w:r>
      </w:hyperlink>
    </w:p>
    <w:p>
      <w:pPr>
        <w:spacing w:before="0" w:after="80"/>
      </w:pPr>
      <w:r>
        <w:rPr>
          <w:i/>
          <w:sz w:val="20"/>
        </w:rPr>
        <w:t>EN: Synergistically Facilitate Charge Dynamics and Suppress Energetic Disorder via Tailoring Solid Additive Substituents for Efficient Organic Solar Cells Over 21%</w:t>
      </w:r>
    </w:p>
    <w:p>
      <w:pPr>
        <w:spacing w:before="0" w:after="120"/>
      </w:pPr>
      <w:r>
        <w:rPr>
          <w:b/>
        </w:rPr>
        <w:t xml:space="preserve">Source: </w:t>
      </w:r>
      <w:r>
        <w:t>RSC - Energy Environ. Sci. latest articles</w:t>
      </w:r>
      <w:r>
        <w:t xml:space="preserve">    </w:t>
      </w:r>
      <w:r>
        <w:rPr>
          <w:b/>
        </w:rPr>
        <w:t xml:space="preserve">Pub date: </w:t>
      </w:r>
      <w:r>
        <w:t>2026-06-21 23:00:00+00:00</w:t>
      </w:r>
    </w:p>
    <w:p>
      <w:pPr>
        <w:spacing w:before="0" w:after="120"/>
      </w:pPr>
      <w:r>
        <w:rPr>
          <w:b/>
        </w:rPr>
        <w:t xml:space="preserve">Notes: </w:t>
      </w:r>
      <w:r>
        <w:t>abstract_source=rsc_html</w:t>
      </w:r>
    </w:p>
    <w:p>
      <w:pPr>
        <w:spacing w:before="0" w:after="80" w:lineRule="auto" w:line="276"/>
      </w:pPr>
      <w:r>
        <w:rPr>
          <w:b/>
        </w:rPr>
        <w:t xml:space="preserve">摘要（ZH）: </w:t>
      </w:r>
      <w:r>
        <w:t>同时最大限度地减少能量损失和优化充电动态仍然是进一步提高有机太阳能电池（OSC）光伏性能的核心挑战。作为控制电荷产生、传输和复合动力学的关键参数，薄膜形态也与能量无序密切相关，因此在决定非辐射复合方面起着至关重要的作用。本文合理设计了一系列卤代噻唑单元（2,4-2DCl、2Br-4Cl和2,4-DBr）以实现薄膜形貌的精确调控。在这些固体添加剂中，2,4-DBr与PM6和L8-BO表现出适度的分子相互作用，不仅抑制了过度聚集，而且促进了具有良好互穿网络结构的有序堆积的形成。因此，经过 2,4-DBr 处理的基于 PM6:L8-BO 的 OSC 实现了 19.65% 的更高效率，同时降低了电压损失，受益于增强和平衡的电荷迁移率以及抑制的能量紊乱。更令人印象深刻的是，经过 2,4-DBr 处理的 D18 基三元器件的效率高达 21.10%，经 CPVT 认证效率为 20.93%，跻身迄今为止报道的最佳值之列。这项工作强调了固体添加剂的合理卤化策略在优化薄膜形态方面的关键作用，从而增强电荷动力学并抑制活性层的能量紊乱，从而实现高性能OSC。</w:t>
      </w:r>
    </w:p>
    <w:p>
      <w:pPr>
        <w:spacing w:before="0" w:after="200" w:lineRule="auto" w:line="276"/>
      </w:pPr>
      <w:r>
        <w:rPr>
          <w:b/>
        </w:rPr>
        <w:t xml:space="preserve">Abstract (EN): </w:t>
      </w:r>
      <w:r>
        <w:t>Simultaneously minimizing energy loss and optimizing charge dynamics remains a central challenge for further boosting the photovoltaic performance of organic solar cells (OSCs). As a key parameter controlling charge generation, transport, and recombination kinetics, film morphology is also closely linked to energetic disorder and therefore plays a crucial role in determining non-radiative recombination. Herein, a series of halogenated thiazole units (2,4-2DCl, 2Br-4Cl, and 2,4-DBr) are rationally designed for the precise regulation of film morphology. Among these solid additives, 2,4-DBr exhibits moderate molecular interactions with PM6 and L8-BO, which not only suppress over-aggregation but also promote the formation of ordered packing with favorable interpenetrating network structure. Consequently, the PM6:L8-BO-based OSCs treated with 2,4-DBr achieve the higher efficiency of 19.65%, accompanied by reduced voltage loss, benefiting from enhanced and balanced charge mobilities as well as suppressed energetic disorder. More impressively, the 2,4-DBr treated D18-based ternary devices deliver a remarkable efficiency of 21.10%, with a certified efficiency of 20.93% by CPVT, which ranks among the best values reported so far. This work highlights the critical role of rational halogenation strategies for solid additives in optimizing film morphology, thus enhancing charge dynamics and suppressing energetic disorder of the active layer, thereby enabling high-performance OSCs.</w:t>
      </w:r>
    </w:p>
    <w:p>
      <w:pPr>
        <w:spacing w:before="120" w:after="120"/>
      </w:pPr>
      <w:r>
        <w:rPr>
          <w:sz w:val="18"/>
        </w:rPr>
        <w:t>——————————————————————————————————————————————————————————————————————</w:t>
      </w:r>
    </w:p>
    <w:p>
      <w:pPr>
        <w:spacing w:before="160" w:after="40" w:line="240" w:lineRule="auto"/>
      </w:pPr>
      <w:r>
        <w:rPr>
          <w:b/>
        </w:rPr>
        <w:t xml:space="preserve">[10] </w:t>
      </w:r>
      <w:hyperlink r:id="rId20">
        <w:r>
          <w:rPr>
            <w:color w:val="1155CC"/>
            <w:u w:val="single"/>
          </w:rPr>
          <w:t>烷基相变介质改善了有机太阳能电池的形貌，效率为 20.75%</w:t>
        </w:r>
      </w:hyperlink>
    </w:p>
    <w:p>
      <w:pPr>
        <w:spacing w:before="0" w:after="80"/>
      </w:pPr>
      <w:r>
        <w:rPr>
          <w:i/>
          <w:sz w:val="20"/>
        </w:rPr>
        <w:t>EN: An alkyl phase-change medium refines morphology for 20.75% efficient organic solar cells</w:t>
      </w:r>
    </w:p>
    <w:p>
      <w:pPr>
        <w:spacing w:before="0" w:after="120"/>
      </w:pPr>
      <w:r>
        <w:rPr>
          <w:b/>
        </w:rPr>
        <w:t xml:space="preserve">Source: </w:t>
      </w:r>
      <w:r>
        <w:t>Joule</w:t>
      </w:r>
      <w:r>
        <w:t xml:space="preserve">    </w:t>
      </w:r>
      <w:r>
        <w:rPr>
          <w:b/>
        </w:rPr>
        <w:t xml:space="preserve">Pub date: </w:t>
      </w:r>
      <w:r>
        <w:t>2026-06-22 00:00:00+00:00</w:t>
      </w:r>
      <w:r>
        <w:t xml:space="preserve">    </w:t>
      </w:r>
      <w:r>
        <w:rPr>
          <w:b/>
        </w:rPr>
        <w:t xml:space="preserve">DOI: </w:t>
      </w:r>
      <w:hyperlink r:id="rId21">
        <w:r>
          <w:rPr>
            <w:color w:val="1155CC"/>
            <w:u w:val="single"/>
          </w:rPr>
          <w:t>10.1016/j.joule.2026.102527</w:t>
        </w:r>
      </w:hyperlink>
    </w:p>
    <w:p>
      <w:pPr>
        <w:spacing w:before="0" w:after="120"/>
      </w:pPr>
      <w:r>
        <w:rPr>
          <w:b/>
        </w:rPr>
        <w:t xml:space="preserve">Notes: </w:t>
      </w:r>
      <w:r>
        <w:t>abstract_source=rss_cell</w:t>
      </w:r>
    </w:p>
    <w:p>
      <w:pPr>
        <w:spacing w:before="0" w:after="80" w:lineRule="auto" w:line="276"/>
      </w:pPr>
      <w:r>
        <w:rPr>
          <w:b/>
        </w:rPr>
        <w:t xml:space="preserve">摘要（ZH）: </w:t>
      </w:r>
      <w:r>
        <w:t>添加剂通常用于控制有机太阳能电池薄膜的形成方式，但许多添加剂依赖于特定的化学相互作用，并且可能会留下损害稳定性的残留物。在这里，我们引入了一个不同的概念——一种简单的相变介质，在处理过程中会短暂地变得可移动，从而创建一个短的重排窗口，从而改善薄膜的内部结构。该策略提高了二元和三元系统的设备效率，并且在运行稳定性方面优于传统的高沸点添加剂。</w:t>
      </w:r>
    </w:p>
    <w:p>
      <w:pPr>
        <w:spacing w:before="0" w:after="200" w:lineRule="auto" w:line="276"/>
      </w:pPr>
      <w:r>
        <w:rPr>
          <w:b/>
        </w:rPr>
        <w:t xml:space="preserve">Abstract (EN): </w:t>
      </w:r>
      <w:r>
        <w:t>Additives are often used to control how organic solar-cell films form, but many rely on specific chemical interactions and can leave residues that hurt stability. Here, we introduce a different concept—a simple phase-change medium that briefly becomes mobile during processing, creating a short rearrangement window that improves the film’s internal structure. This strategy boosts device efficiency in both binary and ternary systems and benchmarks favorably against a conventional high-boiling-point additive in operational stability.</w:t>
      </w:r>
    </w:p>
    <w:p>
      <w:pPr>
        <w:spacing w:before="120" w:after="120"/>
      </w:pPr>
      <w:r>
        <w:rPr>
          <w:sz w:val="18"/>
        </w:rPr>
        <w:t>——————————————————————————————————————————————————————————————————————</w:t>
      </w:r>
    </w:p>
    <w:p>
      <w:pPr>
        <w:spacing w:before="160" w:after="40" w:line="240" w:lineRule="auto"/>
      </w:pPr>
      <w:r>
        <w:rPr>
          <w:b/>
        </w:rPr>
        <w:t xml:space="preserve">[11] </w:t>
      </w:r>
      <w:hyperlink r:id="rId22">
        <w:r>
          <w:rPr>
            <w:color w:val="1155CC"/>
            <w:u w:val="single"/>
          </w:rPr>
          <w:t>铁电卤化物钙钛矿的位移电流响应中玻璃系数创历史新高</w:t>
        </w:r>
      </w:hyperlink>
    </w:p>
    <w:p>
      <w:pPr>
        <w:spacing w:before="0" w:after="80"/>
      </w:pPr>
      <w:r>
        <w:rPr>
          <w:i/>
          <w:sz w:val="20"/>
        </w:rPr>
        <w:t>EN: Record-high Glass coefficient in the shift current response of a ferroelectric halide perovskite</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23">
        <w:r>
          <w:rPr>
            <w:color w:val="1155CC"/>
            <w:u w:val="single"/>
          </w:rPr>
          <w:t>10.1073/pnas.2602252123</w:t>
        </w:r>
      </w:hyperlink>
    </w:p>
    <w:p>
      <w:pPr>
        <w:spacing w:before="0" w:after="120"/>
      </w:pPr>
      <w:r>
        <w:rPr>
          <w:b/>
        </w:rPr>
        <w:t xml:space="preserve">Notes: </w:t>
      </w:r>
      <w:r>
        <w:t>abstract_source=crossref</w:t>
      </w:r>
    </w:p>
    <w:p>
      <w:pPr>
        <w:spacing w:before="0" w:after="80" w:lineRule="auto" w:line="276"/>
      </w:pPr>
      <w:r>
        <w:rPr>
          <w:b/>
        </w:rPr>
        <w:t xml:space="preserve">摘要（ZH）: </w:t>
      </w:r>
      <w:r>
        <w:t>铁电卤化物钙钛矿为基于体光伏效应的光电功能提供了一个肥沃的平台，其中破缺的反演对称性与波函数的量子几何耦合。最突出的表现是位移电流，即光学跃迁期间贝里连接变化引起的二阶非线性光电流。在这里，我们报告了无铅铁电卤化物钙钛矿 CsGeI 外延薄膜中的巨大位移电流响应</w:t>
      </w:r>
      <w:r>
        <w:rPr>
          <w:vertAlign w:val="subscript"/>
        </w:rPr>
        <w:t>3</w:t>
      </w:r>
      <w:r>
        <w:t>。通过分子束外延生长的高质量薄膜表现出明显的移位电流特征，包括光谱符号反转、光偏振依赖性以及与可切换铁电极化相关的可逆电场调制。值得注意的是，归一化的位移电流大小比其他化合物的报告高出一个数量级以上，为体光伏性能建立了基准。这些结果表明铁电卤化物钙钛矿是探索量子几何驱动光响应的强大平台，并为超越传统结型架构的下一代光伏和非线性光电技术开辟了道路。</w:t>
      </w:r>
    </w:p>
    <w:p>
      <w:pPr>
        <w:spacing w:before="0" w:after="200" w:lineRule="auto" w:line="276"/>
      </w:pPr>
      <w:r>
        <w:rPr>
          <w:b/>
        </w:rPr>
        <w:t xml:space="preserve">Abstract (EN): </w:t>
      </w:r>
      <w:r>
        <w:t>Ferroelectric halide perovskites provide a fertile platform for optoelectronic functions based on the bulk photovoltaic effect, where broken inversion symmetry couples with quantum geometry of wave functions. The most prominent manifestation is the shift current, second-order nonlinear photocurrent arising from change in the Berry connection during optical transitions. Here we report a gigantic shift current response in epitaxial thin films of a lead-free ferroelectric halide perovskite CsGeI</w:t>
      </w:r>
      <w:r>
        <w:rPr>
          <w:vertAlign w:val="subscript"/>
        </w:rPr>
        <w:t>3</w:t>
      </w:r>
      <w:r>
        <w:t>. High-quality films grown by molecular beam epitaxy exhibit clear hallmarks of shift current, including spectral sign reversals, light-polarization dependence, and reversible electric-field modulation associated with switchable ferroelectric polarization. Remarkably, the normalized shift current magnitude surpasses those ever reported for other compounds by more than an order of magnitude, establishing a benchmark for bulk photovoltaic performance. These results identify ferroelectric halide perovskites as a powerful platform for exploring quantum-geometry-driven photoresponses and open a pathway toward next-generation photovoltaic and nonlinear optoelectronic technologies beyond the conventional junction-based architectures.</w:t>
      </w:r>
    </w:p>
    <w:p>
      <w:pPr>
        <w:spacing w:before="120" w:after="120"/>
      </w:pPr>
      <w:r>
        <w:rPr>
          <w:sz w:val="18"/>
        </w:rPr>
        <w:t>——————————————————————————————————————————————————————————————————————</w:t>
      </w:r>
    </w:p>
    <w:p>
      <w:pPr>
        <w:spacing w:before="160" w:after="40" w:line="240" w:lineRule="auto"/>
      </w:pPr>
      <w:r>
        <w:rPr>
          <w:b/>
        </w:rPr>
        <w:t xml:space="preserve">[12] </w:t>
      </w:r>
      <w:hyperlink r:id="rId24">
        <w:r>
          <w:rPr>
            <w:color w:val="1155CC"/>
            <w:u w:val="single"/>
          </w:rPr>
          <w:t>单态裂变介导紫色光合细菌中类胡萝卜素到细菌叶绿素的能量转移</w:t>
        </w:r>
      </w:hyperlink>
    </w:p>
    <w:p>
      <w:pPr>
        <w:spacing w:before="0" w:after="80"/>
      </w:pPr>
      <w:r>
        <w:rPr>
          <w:i/>
          <w:sz w:val="20"/>
        </w:rPr>
        <w:t>EN: Singlet fission mediates carotenoid-to-bacteriochlorophyll energy transfer in purple photosynthetic bacteria</w:t>
      </w:r>
    </w:p>
    <w:p>
      <w:pPr>
        <w:spacing w:before="0" w:after="120"/>
      </w:pPr>
      <w:r>
        <w:rPr>
          <w:b/>
        </w:rPr>
        <w:t xml:space="preserve">Source: </w:t>
      </w:r>
      <w:r>
        <w:t>Nature Chemistry</w:t>
      </w:r>
      <w:r>
        <w:t xml:space="preserve">    </w:t>
      </w:r>
      <w:r>
        <w:rPr>
          <w:b/>
        </w:rPr>
        <w:t xml:space="preserve">Pub date: </w:t>
      </w:r>
      <w:r>
        <w:t>2026-06-23 00:00:00+00:00</w:t>
      </w:r>
      <w:r>
        <w:t xml:space="preserve">    </w:t>
      </w:r>
      <w:r>
        <w:rPr>
          <w:b/>
        </w:rPr>
        <w:t xml:space="preserve">DOI: </w:t>
      </w:r>
      <w:hyperlink r:id="rId25">
        <w:r>
          <w:rPr>
            <w:color w:val="1155CC"/>
            <w:u w:val="single"/>
          </w:rPr>
          <w:t>10.1038/s41557-026-02186-7</w:t>
        </w:r>
      </w:hyperlink>
    </w:p>
    <w:p>
      <w:pPr>
        <w:spacing w:before="0" w:after="120"/>
      </w:pPr>
      <w:r>
        <w:rPr>
          <w:b/>
        </w:rPr>
        <w:t xml:space="preserve">Notes: </w:t>
      </w:r>
      <w:r>
        <w:t>abstract_source=nature_html</w:t>
      </w:r>
    </w:p>
    <w:p>
      <w:pPr>
        <w:spacing w:before="0" w:after="80" w:lineRule="auto" w:line="276"/>
      </w:pPr>
      <w:r>
        <w:rPr>
          <w:b/>
        </w:rPr>
        <w:t xml:space="preserve">摘要（ZH）: </w:t>
      </w:r>
      <w:r>
        <w:t>光合作用是大多数生命的基础，当阳光被（细菌）叶绿素 ((B)Chl) 和类胡萝卜素 (Crt) 色素捕获时就开始了。这些分子的排列使得捕获的能量快速迁移到反应中心，并在那里以电荷分离的形式存储。 Crt 和 (B)Chl 颜料的互补吸收以及它们之间的快速能量转移支撑着太阳能收集。在这里，我们报告了一种由单线态裂变介导的 Crt 到 BChl 能量转移机制，其中一个高能单线态激子（自旋量子数 S = 0）被转换为两个低能三线态（S = 1）激子。在紫色光合细菌中，Crt S2 单线态激子在相邻位点分裂成 Crt 和 BChl 三线态激子。一旦形成，三联体就会协同转移到 BChl 并继续转移到反应中心。能量通过自旋保护的长寿命三重态对从单线态 Crt 态转移到单线态 BChl 态。因此，这种单态裂变介导的机制增强了光合作用的太阳能收集。</w:t>
      </w:r>
    </w:p>
    <w:p>
      <w:pPr>
        <w:spacing w:before="0" w:after="200" w:lineRule="auto" w:line="276"/>
      </w:pPr>
      <w:r>
        <w:rPr>
          <w:b/>
        </w:rPr>
        <w:t xml:space="preserve">Abstract (EN): </w:t>
      </w:r>
      <w:r>
        <w:t>Photosynthesis, the foundation of most life, begins when sunlight is captured by (bacterio)chlorophyll ((B)Chl) and carotenoid (Crt) pigments. These molecules are arranged so that captured energy migrates rapidly to reaction centres, where it is stored as a charge separation. The complementary absorption of Crt and (B)Chl pigments, and rapid energy transfer between them, underpins solar harvesting. Here we report a Crt-to-BChl energy transfer mechanism mediated by singlet fission, in which a high-energy singlet exciton (with spin quantum number S = 0) is converted into two low-energy triplet (S = 1) excitons. In purple photosynthetic bacteria, the Crt S2 singlet exciton splits into Crt and BChl triplet excitons on adjacent sites. Once formed, the triplets transfer cooperatively to BChl and onwards to reaction centres. Energy is transferred from a singlet Crt state, via the spin-protected long-lived triplet pair, to a singlet BChl state. Thus, this singlet fission-mediated mechanism augments solar energy harvesting for photosynthesis.</w:t>
      </w:r>
    </w:p>
    <w:p>
      <w:pPr>
        <w:spacing w:before="120" w:after="120"/>
      </w:pPr>
      <w:r>
        <w:rPr>
          <w:sz w:val="18"/>
        </w:rPr>
        <w:t>——————————————————————————————————————————————————————————————————————</w:t>
      </w:r>
    </w:p>
    <w:p>
      <w:pPr>
        <w:spacing w:before="160" w:after="40" w:line="240" w:lineRule="auto"/>
      </w:pPr>
      <w:r>
        <w:rPr>
          <w:b/>
        </w:rPr>
        <w:t xml:space="preserve">[13] </w:t>
      </w:r>
      <w:hyperlink r:id="rId26">
        <w:r>
          <w:rPr>
            <w:color w:val="1155CC"/>
            <w:u w:val="single"/>
          </w:rPr>
          <w:t>用于自供电传感和处理的异构电子器件的单片三维集成</w:t>
        </w:r>
      </w:hyperlink>
    </w:p>
    <w:p>
      <w:pPr>
        <w:spacing w:before="0" w:after="80"/>
      </w:pPr>
      <w:r>
        <w:rPr>
          <w:i/>
          <w:sz w:val="20"/>
        </w:rPr>
        <w:t>EN: Monolithic three-dimensional integration of heterogeneous electronics for self-powered sensing and processing</w:t>
      </w:r>
    </w:p>
    <w:p>
      <w:pPr>
        <w:spacing w:before="0" w:after="120"/>
      </w:pPr>
      <w:r>
        <w:rPr>
          <w:b/>
        </w:rPr>
        <w:t xml:space="preserve">Source: </w:t>
      </w:r>
      <w:r>
        <w:t>Nature Electronics</w:t>
      </w:r>
      <w:r>
        <w:t xml:space="preserve">    </w:t>
      </w:r>
      <w:r>
        <w:rPr>
          <w:b/>
        </w:rPr>
        <w:t xml:space="preserve">Pub date: </w:t>
      </w:r>
      <w:r>
        <w:t>2026-06-23 00:00:00+00:00</w:t>
      </w:r>
      <w:r>
        <w:t xml:space="preserve">    </w:t>
      </w:r>
      <w:r>
        <w:rPr>
          <w:b/>
        </w:rPr>
        <w:t xml:space="preserve">DOI: </w:t>
      </w:r>
      <w:hyperlink r:id="rId27">
        <w:r>
          <w:rPr>
            <w:color w:val="1155CC"/>
            <w:u w:val="single"/>
          </w:rPr>
          <w:t>10.1038/s41928-026-01624-1</w:t>
        </w:r>
      </w:hyperlink>
    </w:p>
    <w:p>
      <w:pPr>
        <w:spacing w:before="0" w:after="120"/>
      </w:pPr>
      <w:r>
        <w:rPr>
          <w:b/>
        </w:rPr>
        <w:t xml:space="preserve">Notes: </w:t>
      </w:r>
      <w:r>
        <w:t>abstract_source=nature_html</w:t>
      </w:r>
    </w:p>
    <w:p>
      <w:pPr>
        <w:spacing w:before="0" w:after="80" w:lineRule="auto" w:line="276"/>
      </w:pPr>
      <w:r>
        <w:rPr>
          <w:b/>
        </w:rPr>
        <w:t xml:space="preserve">摘要（ZH）: </w:t>
      </w:r>
      <w:r>
        <w:t>自供电微电子系统使用片上设备从光、热或机械振动等环境来源产生能量，整个系统的设计旨在最大限度地减少其功耗。这些系统可用于构建无需外部电源即可自主运行的系统。此类系统在边缘计算、物联网设备和遥感技术中特别受关注，因为更换电池或给电池充电是不切实际的。在这里，我们报告了一种单片三维集成电路，该电路在顶层堆叠石墨烯晶体管，用于低功耗化学传感，在中间层基于 n 型单层二硫化钼 (MoS2) 和 p 型双层二硒化钨 (WSe2) 的互补逻辑电路，用于低功耗计算，以及在底层收集环境光的片上硅光伏模块。该集成系统仅在环境光下运行，可以区分各种化学溶液并以完全可持续的方式生成相应的数字代码。我们还展示了跨层数据和电源过孔的密集集成，并表明层间间距可以减小至 50 nm。</w:t>
      </w:r>
    </w:p>
    <w:p>
      <w:pPr>
        <w:spacing w:before="0" w:after="200" w:lineRule="auto" w:line="276"/>
      </w:pPr>
      <w:r>
        <w:rPr>
          <w:b/>
        </w:rPr>
        <w:t xml:space="preserve">Abstract (EN): </w:t>
      </w:r>
      <w:r>
        <w:t>Self-powered microelectronics systems generate energy from ambient sources like light, heat or mechanical vibrations using on-chip devices, and the overall system is designed to minimize its power footprint. These systems can be used to build systems that operate autonomously without an external power source. Such systems are of particular interest in edge computing, internet of things devices and remote-sensing technologies, for which replacing or recharging batteries is impractical. Here we report on a monolithic three-dimensional integrated circuit that stacks graphene transistors in the top tier for low-power chemical sensing, complementary logic circuits based on n-type monolayer molybdenum disulfide (MoS2) and p-type bilayer tungsten diselenide (WSe2) in the middle tier for low-power computing, and an on-chip silicon photovoltaic module in the bottom tier to harvest ambient light. The integrated system, which operates solely on ambient light, can distinguish between various chemical solutions and generate corresponding digital codes in a fully sustainable manner. We also demonstrate the dense integration of data and power vias across the tiers and show that the intertier separation can be reduced to 50 nm.</w:t>
      </w:r>
    </w:p>
    <w:p>
      <w:pPr>
        <w:spacing w:before="120" w:after="120"/>
      </w:pPr>
      <w:r>
        <w:rPr>
          <w:sz w:val="18"/>
        </w:rPr>
        <w:t>——————————————————————————————————————————————————————————————————————</w:t>
      </w:r>
    </w:p>
    <w:p>
      <w:pPr>
        <w:spacing w:before="160" w:after="40" w:line="240" w:lineRule="auto"/>
      </w:pPr>
      <w:r>
        <w:rPr>
          <w:b/>
        </w:rPr>
        <w:t xml:space="preserve">[14] </w:t>
      </w:r>
      <w:hyperlink r:id="rId28">
        <w:r>
          <w:rPr>
            <w:color w:val="1155CC"/>
            <w:u w:val="single"/>
          </w:rPr>
          <w:t>相干 2D–3D 范德华钙钛矿外延异质结构</w:t>
        </w:r>
      </w:hyperlink>
    </w:p>
    <w:p>
      <w:pPr>
        <w:spacing w:before="0" w:after="80"/>
      </w:pPr>
      <w:r>
        <w:rPr>
          <w:i/>
          <w:sz w:val="20"/>
        </w:rPr>
        <w:t>EN: Coherent 2D–3D van der Waals perovskite epitaxial heterostructures</w:t>
      </w:r>
    </w:p>
    <w:p>
      <w:pPr>
        <w:spacing w:before="0" w:after="120"/>
      </w:pPr>
      <w:r>
        <w:rPr>
          <w:b/>
        </w:rPr>
        <w:t xml:space="preserve">Source: </w:t>
      </w:r>
      <w:r>
        <w:t>Nature Nanotechnology</w:t>
      </w:r>
      <w:r>
        <w:t xml:space="preserve">    </w:t>
      </w:r>
      <w:r>
        <w:rPr>
          <w:b/>
        </w:rPr>
        <w:t xml:space="preserve">Pub date: </w:t>
      </w:r>
      <w:r>
        <w:t>2026-06-23 00:00:00+00:00</w:t>
      </w:r>
      <w:r>
        <w:t xml:space="preserve">    </w:t>
      </w:r>
      <w:r>
        <w:rPr>
          <w:b/>
        </w:rPr>
        <w:t xml:space="preserve">DOI: </w:t>
      </w:r>
      <w:hyperlink r:id="rId29">
        <w:r>
          <w:rPr>
            <w:color w:val="1155CC"/>
            <w:u w:val="single"/>
          </w:rPr>
          <w:t>10.1038/s41565-026-02201-5</w:t>
        </w:r>
      </w:hyperlink>
    </w:p>
    <w:p>
      <w:pPr>
        <w:spacing w:before="0" w:after="120"/>
      </w:pPr>
      <w:r>
        <w:rPr>
          <w:b/>
        </w:rPr>
        <w:t xml:space="preserve">Notes: </w:t>
      </w:r>
      <w:r>
        <w:t>abstract_source=nature_html</w:t>
      </w:r>
    </w:p>
    <w:p>
      <w:pPr>
        <w:spacing w:before="0" w:after="80" w:lineRule="auto" w:line="276"/>
      </w:pPr>
      <w:r>
        <w:rPr>
          <w:b/>
        </w:rPr>
        <w:t xml:space="preserve">摘要（ZH）: </w:t>
      </w:r>
      <w:r>
        <w:t>对 2D 和 3D 钙钛矿之间界面的精确控制和清晰理解仍然受到结构紊乱、界面缺陷和不明确的生长途径的限制。在这里，我们报告了一种相干范德华跨维外延策略，其中 3D MASnI3（MA：甲基铵）单晶直接在 2D（3T）2SnI4（3T：三苯硫基铵）模板上生长。这种方法实现了对域方向、密度和覆盖范围的确定性控制，产生具有原子锐利和结构相干界面的平面异质结构。低剂量像差校正透射电子显微镜和叠层成像解析了真实空间中的异质界面，揭示了有序的间隔配体和均匀的界面钝化。外延生长可以容忍二维模板中的拓扑缺陷，从而产生具有明显手性光学响应的​​螺旋异质结构。该方法进一步从微观域扩展到宏观单晶异质结构薄膜，桥接基本外延和器件相关架构。这些异质结构支持高效的电荷分离和传输，表现出超过 106 的栅极可调整流比以及强大的运行稳定性。这些结果定义了相干跨维外延的一般途径，并为可扩展的钙钛矿光电器件建立了通用平台。</w:t>
      </w:r>
    </w:p>
    <w:p>
      <w:pPr>
        <w:spacing w:before="0" w:after="200" w:lineRule="auto" w:line="276"/>
      </w:pPr>
      <w:r>
        <w:rPr>
          <w:b/>
        </w:rPr>
        <w:t xml:space="preserve">Abstract (EN): </w:t>
      </w:r>
      <w:r>
        <w:t>Precise control and a clear understanding of the interfaces between 2D and 3D perovskites remain limited by structural disorder, interfacial defects and poorly defined growth pathways. Here we report a strategy for coherent van der Waals cross-dimensional epitaxy, in which 3D MASnI3 (MA: methylammonium) single crystals are grown directly on 2D (3T)2SnI4 (3T: tri-thiophenylethylammonium) templates. This approach achieves deterministic control over domain orientation, density and coverage, yielding planar heterostructures with atomically sharp and structurally coherent interfaces. Low-dose aberration-corrected transmission electron microscopy and ptychographic imaging resolve the heterointerface in real space, revealing ordered spacer ligands and uniform interfacial passivation. The epitaxial growth tolerates topological defects in the 2D templates, giving rise to spiral heterostructures with pronounced chiroptical responses. The method further extends from microscale domains to macroscopic single-crystal heterostructure thin films, bridging fundamental epitaxy and device-relevant architectures. These heterostructures support efficient charge separation and transport, exhibiting gate-tunable rectification ratios exceeding 106 with robust operational stability. These results define a general route to coherent cross-dimensional epitaxy and establish a versatile platform for scalable perovskite optoelectronics.</w:t>
      </w:r>
    </w:p>
    <w:p>
      <w:pPr>
        <w:spacing w:before="120" w:after="120"/>
      </w:pPr>
      <w:r>
        <w:rPr>
          <w:sz w:val="18"/>
        </w:rPr>
        <w:t>——————————————————————————————————————————————————————————————————————</w:t>
      </w:r>
    </w:p>
    <w:p>
      <w:pPr>
        <w:spacing w:before="160" w:after="40" w:line="240" w:lineRule="auto"/>
      </w:pPr>
      <w:r>
        <w:rPr>
          <w:b/>
        </w:rPr>
        <w:t xml:space="preserve">[15] </w:t>
      </w:r>
      <w:hyperlink r:id="rId30">
        <w:r>
          <w:rPr>
            <w:color w:val="1155CC"/>
            <w:u w:val="single"/>
          </w:rPr>
          <w:t>用于有机太阳能电池的共价有机框架的配位诱导分散，效率为 21.03%</w:t>
        </w:r>
      </w:hyperlink>
    </w:p>
    <w:p>
      <w:pPr>
        <w:spacing w:before="0" w:after="80"/>
      </w:pPr>
      <w:r>
        <w:rPr>
          <w:i/>
          <w:sz w:val="20"/>
        </w:rPr>
        <w:t>EN: Coordination‐Induced Dispersion of Covalent Organic Frameworks for Organic Solar Cells With 21.03% Efficiency</w:t>
      </w:r>
    </w:p>
    <w:p>
      <w:pPr>
        <w:spacing w:before="0" w:after="120"/>
      </w:pPr>
      <w:r>
        <w:rPr>
          <w:b/>
        </w:rPr>
        <w:t xml:space="preserve">Source: </w:t>
      </w:r>
      <w:r>
        <w:t>Wiley: Advanced Materials: Table of Contents</w:t>
      </w:r>
      <w:r>
        <w:t xml:space="preserve">    </w:t>
      </w:r>
      <w:r>
        <w:rPr>
          <w:b/>
        </w:rPr>
        <w:t xml:space="preserve">Pub date: </w:t>
      </w:r>
      <w:r>
        <w:t>2026-06-23 16:37:09+00:00</w:t>
      </w:r>
      <w:r>
        <w:t xml:space="preserve">    </w:t>
      </w:r>
      <w:r>
        <w:rPr>
          <w:b/>
        </w:rPr>
        <w:t xml:space="preserve">DOI: </w:t>
      </w:r>
      <w:hyperlink r:id="rId31">
        <w:r>
          <w:rPr>
            <w:color w:val="1155CC"/>
            <w:u w:val="single"/>
          </w:rPr>
          <w:t>10.1002/adma.73825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价有机框架（COF）提供了模块化架构和有序π通道，非常适合有机太阳能电池（OSC），但它们的集成因溶解度差和成膜流变学缺陷而受到阻碍。在此，报道了一种使用钒离子的配位诱导分散策略来释放COF作为高性能空穴传输层（HTL）的潜力。通过将钒离子嵌入新型 COF (TBpy) 中，金属中心充当“分子楔子”，增加层间距，将刚性框架转变为高度分散、可溶液加工的前体。这种协调细化了薄膜形态并微调了电子结构，建立了无缝级联的能量排列。因此，利用 TBpy-V HTL 的 OSC 实现了 21.03% 的高功率转换效率和非凡的耐用性（</w:t>
      </w:r>
      <w:r>
        <w:t xml:space="preserve"> </w:t>
      </w:r>
      <w:r>
        <w:t>时间</w:t>
      </w:r>
      <w:r>
        <w:rPr>
          <w:vertAlign w:val="subscript"/>
        </w:rPr>
        <w:t>80</w:t>
      </w:r>
      <w:r>
        <w:t>使用寿命为 20,097 小时）。值得注意的是，框架的高电导率使器件厚度不敏感，在 75 nm 下保持 17.80% PCE，这是大规模制造的关键优势。这项研究将金属离子嵌入作为一种通用工具，用于优化晶体光电材料的可加工性和电子动力学。</w:t>
      </w:r>
    </w:p>
    <w:p>
      <w:pPr>
        <w:spacing w:before="0" w:after="200" w:lineRule="auto" w:line="276"/>
      </w:pPr>
      <w:r>
        <w:rPr>
          <w:b/>
        </w:rPr>
        <w:t xml:space="preserve">Abstract (EN): </w:t>
      </w:r>
      <w:r>
        <w:t>Covalent organic frameworks (COFs) offer modular architectures and ordered π‐channels ideal for organic solar cells (OSCs), yet their integration is hindered by poor solubility and deficient film‐forming rheology. Herein, a coordination‐induced dispersion strategy is reported using vanadium ions to unlock the potential of COFs as high‐performance hole transport layers (HTLs). By intercalating vanadium ions into a novel COF (TBpy), the metal centers act as “molecular wedges,” increasing interlayer spacing to transform the rigid framework into a highly dispersible, solution‐processable precursor. This coordination refines film morphology and fine‐tunes the electronic structure, establishing a seamless cascaded energy alignment. Consequently, OSCs utilizing TBpy‐V HTLs achieve a high power conversion efficiency of 21.03% and extraordinary durability (</w:t>
      </w:r>
      <w:r>
        <w:t xml:space="preserve"> </w:t>
      </w:r>
      <w:r>
        <w:t>T</w:t>
      </w:r>
      <w:r>
        <w:rPr>
          <w:vertAlign w:val="subscript"/>
        </w:rPr>
        <w:t>80</w:t>
      </w:r>
      <w:r>
        <w:t>lifetime of 20,097 h). Notably, the high conductivity of the framework renders the device thickness‐insensitive, maintaining 17.80% PCE at 75 nm—a critical advantage for large‐scale manufacturing. This study establishes metal‐ion intercalation as a versatile tool for optimizing both the processability and electronic dynamics of crystalline optoelectronic materials.</w:t>
      </w:r>
    </w:p>
    <w:p>
      <w:pPr>
        <w:spacing w:before="120" w:after="120"/>
      </w:pPr>
      <w:r>
        <w:rPr>
          <w:sz w:val="18"/>
        </w:rPr>
        <w:t>——————————————————————————————————————————————————————————————————————</w:t>
      </w:r>
    </w:p>
    <w:p>
      <w:pPr>
        <w:spacing w:before="160" w:after="40" w:line="240" w:lineRule="auto"/>
      </w:pPr>
      <w:r>
        <w:rPr>
          <w:b/>
        </w:rPr>
        <w:t xml:space="preserve">[16] </w:t>
      </w:r>
      <w:hyperlink r:id="rId32">
        <w:r>
          <w:rPr>
            <w:color w:val="1155CC"/>
            <w:u w:val="single"/>
          </w:rPr>
          <w:t>前驱体配位工程可实现 HgTe 胶体量子点中的外延级载流子密度</w:t>
        </w:r>
      </w:hyperlink>
    </w:p>
    <w:p>
      <w:pPr>
        <w:spacing w:before="0" w:after="80"/>
      </w:pPr>
      <w:r>
        <w:rPr>
          <w:i/>
          <w:sz w:val="20"/>
        </w:rPr>
        <w:t>EN: Precursor Coordination Engineering Enables Epitaxial‐Level Carrier Densities in HgTe Colloidal Quantum Dots</w:t>
      </w:r>
    </w:p>
    <w:p>
      <w:pPr>
        <w:spacing w:before="0" w:after="120"/>
      </w:pPr>
      <w:r>
        <w:rPr>
          <w:b/>
        </w:rPr>
        <w:t xml:space="preserve">Source: </w:t>
      </w:r>
      <w:r>
        <w:t>Wiley: Advanced Materials: Table of Contents</w:t>
      </w:r>
      <w:r>
        <w:t xml:space="preserve">    </w:t>
      </w:r>
      <w:r>
        <w:rPr>
          <w:b/>
        </w:rPr>
        <w:t xml:space="preserve">Pub date: </w:t>
      </w:r>
      <w:r>
        <w:t>2026-06-23 16:44:21+00:00</w:t>
      </w:r>
      <w:r>
        <w:t xml:space="preserve">    </w:t>
      </w:r>
      <w:r>
        <w:rPr>
          <w:b/>
        </w:rPr>
        <w:t xml:space="preserve">DOI: </w:t>
      </w:r>
      <w:hyperlink r:id="rId33">
        <w:r>
          <w:rPr>
            <w:color w:val="1155CC"/>
            <w:u w:val="single"/>
          </w:rPr>
          <w:t>10.1002/adma.73741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表面陷阱诱导的载流子掺杂目前阻碍胶体量子点（CQD）接近外延半导体的电子纯度，特别是在中波红外（MWIR）区域，其中低暗噪声至关重要。在这里，我们证明金属卤化物前体的配位几何结构强烈影响钝化效率，将背景载流子密度抑制到固有水平（∼10</w:t>
      </w:r>
      <w:r>
        <w:rPr>
          <w:vertAlign w:val="subscript"/>
        </w:rPr>
        <w:t>14</w:t>
      </w:r>
      <w:r>
        <w:t>厘米</w:t>
      </w:r>
      <w:r>
        <w:t xml:space="preserve"> </w:t>
      </w:r>
      <w:r>
        <w:t>−3</w:t>
      </w:r>
      <w:r>
        <w:t xml:space="preserve"> </w:t>
      </w:r>
      <w:r>
        <w:t>）。机理研究揭示了 HgBr 的八面体几何结构</w:t>
      </w:r>
      <w:r>
        <w:rPr>
          <w:vertAlign w:val="subscript"/>
        </w:rPr>
        <w:t>2</w:t>
      </w:r>
      <w:r>
        <w:t>促进稳定的 HgBr 的形成</w:t>
      </w:r>
      <w:r>
        <w:rPr>
          <w:vertAlign w:val="subscript"/>
        </w:rPr>
        <w:t>2</w:t>
      </w:r>
      <w:r>
        <w:t>（奥兰）</w:t>
      </w:r>
      <w:r>
        <w:rPr>
          <w:vertAlign w:val="subscript"/>
        </w:rPr>
        <w:t>4</w:t>
      </w:r>
      <w:r>
        <w:t>复杂的，正如化学位移的相关演化所追踪的那样</w:t>
      </w:r>
      <w:r>
        <w:rPr>
          <w:vertAlign w:val="subscript"/>
        </w:rPr>
        <w:t>1</w:t>
      </w:r>
      <w:r>
        <w:t>H NMR 和粉末 X 射线衍射 (pXRD) 中的衍射图。这种行为与 HgCl 的线性晶格形成对比</w:t>
      </w:r>
      <w:r>
        <w:rPr>
          <w:vertAlign w:val="subscript"/>
        </w:rPr>
        <w:t>2</w:t>
      </w:r>
      <w:r>
        <w:t>，其中缺乏可比较的光谱演化表明配体配位要弱得多。因此，稳定的配合物在结构上由 HgTe CQD 继承，产生约 9 at.% 的高表面卤化物覆盖率，而 HgCl</w:t>
      </w:r>
      <w:r>
        <w:rPr>
          <w:vertAlign w:val="subscript"/>
        </w:rPr>
        <w:t>2</w:t>
      </w:r>
      <w:r>
        <w:t>导致表面缺乏卤化物（&lt;1 at.%）。这种强大的钝化有效地抑制了非辐射复合，与时间分辨光致发光（TRPL）中载流子衰减动力学的改善一致。交叉ve</w:t>
      </w:r>
    </w:p>
    <w:p>
      <w:pPr>
        <w:spacing w:before="0" w:after="200" w:lineRule="auto" w:line="276"/>
      </w:pPr>
      <w:r>
        <w:rPr>
          <w:b/>
        </w:rPr>
        <w:t xml:space="preserve">Abstract (EN): </w:t>
      </w:r>
      <w:r>
        <w:t>Surface trap‐induced carrier doping currently hinders colloidal quantum dots (CQDs) from approaching the electronic purity of epitaxial semiconductors, particularly in the mid‐wave infrared (MWIR) regime, where low dark noise is critical. Here, we demonstrate that the coordination geometry of the metal halide precursor strongly influences passivation efficacy, suppressing background carrier densities to an intrinsic level (∼10</w:t>
      </w:r>
      <w:r>
        <w:rPr>
          <w:vertAlign w:val="subscript"/>
        </w:rPr>
        <w:t>14</w:t>
      </w:r>
      <w:r>
        <w:t>cm</w:t>
      </w:r>
      <w:r>
        <w:t xml:space="preserve"> </w:t>
      </w:r>
      <w:r>
        <w:t>−3</w:t>
      </w:r>
      <w:r>
        <w:t xml:space="preserve"> </w:t>
      </w:r>
      <w:r>
        <w:t>). Mechanistic investigation reveals that the octahedral geometry of HgBr</w:t>
      </w:r>
      <w:r>
        <w:rPr>
          <w:vertAlign w:val="subscript"/>
        </w:rPr>
        <w:t>2</w:t>
      </w:r>
      <w:r>
        <w:t>facilitates the formation of a stable HgBr</w:t>
      </w:r>
      <w:r>
        <w:rPr>
          <w:vertAlign w:val="subscript"/>
        </w:rPr>
        <w:t>2</w:t>
      </w:r>
      <w:r>
        <w:t>(Olam)</w:t>
      </w:r>
      <w:r>
        <w:rPr>
          <w:vertAlign w:val="subscript"/>
        </w:rPr>
        <w:t>4</w:t>
      </w:r>
      <w:r>
        <w:t>complex, as traced by the correlated evolution of chemical shifts in</w:t>
      </w:r>
      <w:r>
        <w:rPr>
          <w:vertAlign w:val="subscript"/>
        </w:rPr>
        <w:t>1</w:t>
      </w:r>
      <w:r>
        <w:t>H NMR and diffraction patterns in powder X‐ray diffraction (pXRD). This behavior contrasts with the linear lattice of HgCl</w:t>
      </w:r>
      <w:r>
        <w:rPr>
          <w:vertAlign w:val="subscript"/>
        </w:rPr>
        <w:t>2</w:t>
      </w:r>
      <w:r>
        <w:t>, where the absence of comparable spectral evolution indicates much weaker ligand coordination. Consequently, the stable complex is structurally inherited by the HgTe CQDs, yielding a high surface halide coverage of ∼9 at.%, whereas HgCl</w:t>
      </w:r>
      <w:r>
        <w:rPr>
          <w:vertAlign w:val="subscript"/>
        </w:rPr>
        <w:t>2</w:t>
      </w:r>
      <w:r>
        <w:t>results in halide‐deficient surfaces (&amp;lt;1 at.%). This robust passivation effectively suppresses non‐radiative recombination, consistent with improved carrier decay dynamics in time‐resolved photoluminescence (TRPL). Cross‐verification via field‐effect transistor (FET), capacitance‐voltage (C‐V), and Hall measurements confirms substantially reduced background doping, highlighting coordination engineering as an effective strategy for achieving electronic purity in solution‐processed optoelectronics.</w:t>
      </w:r>
    </w:p>
    <w:p>
      <w:pPr>
        <w:spacing w:before="120" w:after="120"/>
      </w:pPr>
      <w:r>
        <w:rPr>
          <w:sz w:val="18"/>
        </w:rPr>
        <w:t>——————————————————————————————————————————————————————————————————————</w:t>
      </w:r>
    </w:p>
    <w:p>
      <w:pPr>
        <w:spacing w:before="160" w:after="40" w:line="240" w:lineRule="auto"/>
      </w:pPr>
      <w:r>
        <w:rPr>
          <w:b/>
        </w:rPr>
        <w:t xml:space="preserve">[17] </w:t>
      </w:r>
      <w:hyperlink r:id="rId34">
        <w:r>
          <w:rPr>
            <w:color w:val="1155CC"/>
            <w:u w:val="single"/>
          </w:rPr>
          <w:t>位点特异性咔唑桥同分异构客体使有机太阳能电池的效率达到 21.10%，并减少非辐射复合</w:t>
        </w:r>
      </w:hyperlink>
    </w:p>
    <w:p>
      <w:pPr>
        <w:spacing w:before="0" w:after="80"/>
      </w:pPr>
      <w:r>
        <w:rPr>
          <w:i/>
          <w:sz w:val="20"/>
        </w:rPr>
        <w:t>EN: Site‐Specific Carbazole‐Bridged Isomeric Guests Enable Organic Solar Cells with 21.10% Efficiency and Reduced Non‐Radiative Recombination</w:t>
      </w:r>
    </w:p>
    <w:p>
      <w:pPr>
        <w:spacing w:before="0" w:after="120"/>
      </w:pPr>
      <w:r>
        <w:rPr>
          <w:b/>
        </w:rPr>
        <w:t xml:space="preserve">Source: </w:t>
      </w:r>
      <w:r>
        <w:t>Wiley: Advanced Materials: Table of Contents</w:t>
      </w:r>
      <w:r>
        <w:t xml:space="preserve">    </w:t>
      </w:r>
      <w:r>
        <w:rPr>
          <w:b/>
        </w:rPr>
        <w:t xml:space="preserve">Pub date: </w:t>
      </w:r>
      <w:r>
        <w:t>2026-06-23 17:08:01+00:00</w:t>
      </w:r>
      <w:r>
        <w:t xml:space="preserve">    </w:t>
      </w:r>
      <w:r>
        <w:rPr>
          <w:b/>
        </w:rPr>
        <w:t xml:space="preserve">DOI: </w:t>
      </w:r>
      <w:hyperlink r:id="rId35">
        <w:r>
          <w:rPr>
            <w:color w:val="1155CC"/>
            <w:u w:val="single"/>
          </w:rPr>
          <w:t>10.1002/adma.73788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非富勒烯受体（NFA）中的非辐射复合损失是限制开路电压的关键瓶颈（</w:t>
      </w:r>
      <w:r>
        <w:t xml:space="preserve"> </w:t>
      </w:r>
      <w:r>
        <w:t>V</w:t>
      </w:r>
      <w:r>
        <w:t xml:space="preserve"> </w:t>
      </w:r>
      <w:r>
        <w:t>奥克</w:t>
      </w:r>
      <w:r>
        <w:t xml:space="preserve"> </w:t>
      </w:r>
      <w:r>
        <w:t>）和有机太阳能电池（OSC）的功率转换效率（PCE）。在此，我们报告了一种利用发光咔唑连接位点异构性来抑制非辐射重组的分子设计策略。设计并合成了两种咔唑功能化的 NFA：QxCz-C 和 QxCz-N。理论计算表明，QxCz-C 采用共面构象，而 QxCz-N 中的咔唑单元几乎垂直于主链取向。将 QxCz-C 作为次要客体掺入主体材料 BTP-eC9 后，会形成有利的混合相，并伴随着从客体到主体的有效能量转移。共混受体的光致发光量子产率显着增强，有效抑制电子声子耦合，从而减少非辐射复合损失，提高</w:t>
      </w:r>
      <w:r>
        <w:t xml:space="preserve"> </w:t>
      </w:r>
      <w:r>
        <w:t>V</w:t>
      </w:r>
      <w:r>
        <w:t xml:space="preserve"> </w:t>
      </w:r>
      <w:r>
        <w:t>奥克</w:t>
      </w:r>
      <w:r>
        <w:t xml:space="preserve"> </w:t>
      </w:r>
      <w:r>
        <w:t>。同时，客体的掺入优化了分子堆积顺序和活性层形态，促进激子解离和电荷传输。因此，PM6:BTP-eC9:QxCz-C 器件的 PCE 为 20.53%。该策略的通用性在 D18:L8-BO 系统中得到了进一步验证，实现了 21.10% 的优异 PCE。这项工作建立了定量的“连接拓扑-分子构象-非辐射”</w:t>
      </w:r>
    </w:p>
    <w:p>
      <w:pPr>
        <w:spacing w:before="0" w:after="200" w:lineRule="auto" w:line="276"/>
      </w:pPr>
      <w:r>
        <w:rPr>
          <w:b/>
        </w:rPr>
        <w:t xml:space="preserve">Abstract (EN): </w:t>
      </w:r>
      <w:r>
        <w:t>Non‐radiative recombination losses in non‐fullerene acceptors (NFAs) represent a critical bottleneck limiting the open‐circuit voltage (</w:t>
      </w:r>
      <w:r>
        <w:t xml:space="preserve"> </w:t>
      </w:r>
      <w:r>
        <w:t>V</w:t>
      </w:r>
      <w:r>
        <w:t xml:space="preserve"> </w:t>
      </w:r>
      <w:r>
        <w:t>oc</w:t>
      </w:r>
      <w:r>
        <w:t xml:space="preserve"> </w:t>
      </w:r>
      <w:r>
        <w:t>) and power conversion efficiency (PCE) of organic solar cells (OSCs). Herein, we report a molecular design strategy that harnesses luminescent‐carbazole linkage site isomerism to suppress non‐radiative recombination. Two carbazole‐functionalized NFAs, QxCz‑C and QxCz‑N, were designed and synthesized. Theoretical calculations reveal that QxCz‑C adopts a coplanar conformation, whereas the carbazole unit in QxCz‑N is oriented nearly perpendicular to the main chain. Upon incorporating QxCz‑C as a minor guest into the host material BTP‑eC9, a favorable mixed phase is formed, accompanied by efficient energy transfer from the guest to the host. The photoluminescence quantum yield of the blend acceptor is significantly enhanced, effectively suppressing electron‑phonon coupling, thereby reducing non‑radiative recombination loss and improving</w:t>
      </w:r>
      <w:r>
        <w:t xml:space="preserve"> </w:t>
      </w:r>
      <w:r>
        <w:t>V</w:t>
      </w:r>
      <w:r>
        <w:t xml:space="preserve"> </w:t>
      </w:r>
      <w:r>
        <w:t>oc</w:t>
      </w:r>
      <w:r>
        <w:t xml:space="preserve"> </w:t>
      </w:r>
      <w:r>
        <w:t>. Simultaneously, guest incorporation optimizes molecular packing order and active layer morphology, facilitating exciton dissociation and charge transport. Consequently, the PM6:BTP‑eC9:QxCz‑C device achieves a PCE of 20.53%. The generality of this strategy is further validated in the D18:L8‑BO system, delivering an excellent PCE of 21.10%. This work establishes a quantitative “connectivity topology–molecular conformation–non‐radiative loss” structure–property relationship and provides a generalizable approach to overcoming the voltage bottleneck in OSCs.</w:t>
      </w:r>
    </w:p>
    <w:p>
      <w:pPr>
        <w:spacing w:before="120" w:after="120"/>
      </w:pPr>
      <w:r>
        <w:rPr>
          <w:sz w:val="18"/>
        </w:rPr>
        <w:t>——————————————————————————————————————————————————————————————————————</w:t>
      </w:r>
    </w:p>
    <w:p>
      <w:pPr>
        <w:spacing w:before="160" w:after="40" w:line="240" w:lineRule="auto"/>
      </w:pPr>
      <w:r>
        <w:rPr>
          <w:b/>
        </w:rPr>
        <w:t xml:space="preserve">[18] </w:t>
      </w:r>
      <w:hyperlink r:id="rId36">
        <w:r>
          <w:rPr>
            <w:color w:val="1155CC"/>
            <w:u w:val="single"/>
          </w:rPr>
          <w:t>加速老化复制了在户外老化的钙钛矿太阳能电池中观察到的空间不均匀降解模式</w:t>
        </w:r>
      </w:hyperlink>
    </w:p>
    <w:p>
      <w:pPr>
        <w:spacing w:before="0" w:after="80"/>
      </w:pPr>
      <w:r>
        <w:rPr>
          <w:i/>
          <w:sz w:val="20"/>
        </w:rPr>
        <w:t>EN: Accelerated aging replicates spatially non-uniform degradation modes observed in outdoor-aged perovskite solar cells</w:t>
      </w:r>
    </w:p>
    <w:p>
      <w:pPr>
        <w:spacing w:before="0" w:after="120"/>
      </w:pPr>
      <w:r>
        <w:rPr>
          <w:b/>
        </w:rPr>
        <w:t xml:space="preserve">Source: </w:t>
      </w:r>
      <w:r>
        <w:t>Joule</w:t>
      </w:r>
      <w:r>
        <w:t xml:space="preserve">    </w:t>
      </w:r>
      <w:r>
        <w:rPr>
          <w:b/>
        </w:rPr>
        <w:t xml:space="preserve">Pub date: </w:t>
      </w:r>
      <w:r>
        <w:t>2026-06-24 00:00:00+00:00</w:t>
      </w:r>
      <w:r>
        <w:t xml:space="preserve">    </w:t>
      </w:r>
      <w:r>
        <w:rPr>
          <w:b/>
        </w:rPr>
        <w:t xml:space="preserve">DOI: </w:t>
      </w:r>
      <w:hyperlink r:id="rId37">
        <w:r>
          <w:rPr>
            <w:color w:val="1155CC"/>
            <w:u w:val="single"/>
          </w:rPr>
          <w:t>10.1016/j.joule.2026.102538</w:t>
        </w:r>
      </w:hyperlink>
    </w:p>
    <w:p>
      <w:pPr>
        <w:spacing w:before="0" w:after="120"/>
      </w:pPr>
      <w:r>
        <w:rPr>
          <w:b/>
        </w:rPr>
        <w:t xml:space="preserve">Notes: </w:t>
      </w:r>
      <w:r>
        <w:t>abstract_source=rss_cell</w:t>
      </w:r>
    </w:p>
    <w:p>
      <w:pPr>
        <w:spacing w:before="0" w:after="80" w:lineRule="auto" w:line="276"/>
      </w:pPr>
      <w:r>
        <w:rPr>
          <w:b/>
        </w:rPr>
        <w:t xml:space="preserve">摘要（ZH）: </w:t>
      </w:r>
      <w:r>
        <w:t>埃尔迪尔等人。研究表明，钙钛矿太阳能电池在长期户外运行后，电极腐蚀、边缘图案和相偏析同时存在。通过使用光强度和电偏压作为关键压力源来重现这些模式，该研究将场退化与加速老化测试联系起来，并指出了针对机制的老化测试。</w:t>
      </w:r>
    </w:p>
    <w:p>
      <w:pPr>
        <w:spacing w:before="0" w:after="200" w:lineRule="auto" w:line="276"/>
      </w:pPr>
      <w:r>
        <w:rPr>
          <w:b/>
        </w:rPr>
        <w:t xml:space="preserve">Abstract (EN): </w:t>
      </w:r>
      <w:r>
        <w:t>Erdil et al. show that electrode corrosion, edge patterns, and phase segregation coexist in perovskite solar cells after long-term outdoor operation. By reproducing these modes using light intensity and electrical bias as key stressors, the study links field degradation to accelerated aging tests and points toward mechanism-targeted aging tests.</w:t>
      </w:r>
    </w:p>
    <w:p>
      <w:pPr>
        <w:spacing w:before="120" w:after="120"/>
      </w:pPr>
      <w:r>
        <w:rPr>
          <w:sz w:val="18"/>
        </w:rPr>
        <w:t>——————————————————————————————————————————————————————————————————————</w:t>
      </w:r>
    </w:p>
    <w:p>
      <w:pPr>
        <w:spacing w:before="160" w:after="40" w:line="240" w:lineRule="auto"/>
      </w:pPr>
      <w:r>
        <w:rPr>
          <w:b/>
        </w:rPr>
        <w:t xml:space="preserve">[19] </w:t>
      </w:r>
      <w:hyperlink r:id="rId38">
        <w:r>
          <w:rPr>
            <w:color w:val="1155CC"/>
            <w:u w:val="single"/>
          </w:rPr>
          <w:t>露天钙钛矿制造</w:t>
        </w:r>
      </w:hyperlink>
    </w:p>
    <w:p>
      <w:pPr>
        <w:spacing w:before="0" w:after="80"/>
      </w:pPr>
      <w:r>
        <w:rPr>
          <w:i/>
          <w:sz w:val="20"/>
        </w:rPr>
        <w:t>EN: Open-air perovskite fabrication</w:t>
      </w:r>
    </w:p>
    <w:p>
      <w:pPr>
        <w:spacing w:before="0" w:after="120"/>
      </w:pPr>
      <w:r>
        <w:rPr>
          <w:b/>
        </w:rPr>
        <w:t xml:space="preserve">Source: </w:t>
      </w:r>
      <w:r>
        <w:t>Nature Energy</w:t>
      </w:r>
      <w:r>
        <w:t xml:space="preserve">    </w:t>
      </w:r>
      <w:r>
        <w:rPr>
          <w:b/>
        </w:rPr>
        <w:t xml:space="preserve">Pub date: </w:t>
      </w:r>
      <w:r>
        <w:t>2026-06-24 00:00:00+00:00</w:t>
      </w:r>
      <w:r>
        <w:t xml:space="preserve">    </w:t>
      </w:r>
      <w:r>
        <w:rPr>
          <w:b/>
        </w:rPr>
        <w:t xml:space="preserve">DOI: </w:t>
      </w:r>
      <w:hyperlink r:id="rId39">
        <w:r>
          <w:rPr>
            <w:color w:val="1155CC"/>
            <w:u w:val="single"/>
          </w:rPr>
          <w:t>10.1038/s41560-026-02099-2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40">
        <w:r>
          <w:rPr>
            <w:color w:val="1155CC"/>
            <w:u w:val="single"/>
          </w:rPr>
          <w:t>手性分子构型介导的高性能太阳能电池钙钛矿结晶</w:t>
        </w:r>
      </w:hyperlink>
    </w:p>
    <w:p>
      <w:pPr>
        <w:spacing w:before="0" w:after="80"/>
      </w:pPr>
      <w:r>
        <w:rPr>
          <w:i/>
          <w:sz w:val="20"/>
        </w:rPr>
        <w:t>EN: Chiral Molecular Configuration‐Mediated Crystallization of Perovskites for High‐Performance Solar Cells</w:t>
      </w:r>
    </w:p>
    <w:p>
      <w:pPr>
        <w:spacing w:before="0" w:after="120"/>
      </w:pPr>
      <w:r>
        <w:rPr>
          <w:b/>
        </w:rPr>
        <w:t xml:space="preserve">Source: </w:t>
      </w:r>
      <w:r>
        <w:t>Wiley: Advanced Energy Materials: Table of Contents</w:t>
      </w:r>
      <w:r>
        <w:t xml:space="preserve">    </w:t>
      </w:r>
      <w:r>
        <w:rPr>
          <w:b/>
        </w:rPr>
        <w:t xml:space="preserve">Pub date: </w:t>
      </w:r>
      <w:r>
        <w:t>2026-06-24 10:41:02+00:00</w:t>
      </w:r>
      <w:r>
        <w:t xml:space="preserve">    </w:t>
      </w:r>
      <w:r>
        <w:rPr>
          <w:b/>
        </w:rPr>
        <w:t xml:space="preserve">DOI: </w:t>
      </w:r>
      <w:hyperlink r:id="rId41">
        <w:r>
          <w:rPr>
            <w:color w:val="1155CC"/>
            <w:u w:val="single"/>
          </w:rPr>
          <w:t>10.1002/aenm.71222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最大化分子添加剂和钙钛矿之间的结合亲和力对于器件的长期稳定性至关重要，但分子构型如何影响与钙钛矿的相互作用仍有待探索。在这里，我们报告了一种调节 FAPbI 胶体结晶的手性立体锚定策略</w:t>
      </w:r>
      <w:r>
        <w:rPr>
          <w:vertAlign w:val="subscript"/>
        </w:rPr>
        <w:t>3</w:t>
      </w:r>
      <w:r>
        <w:t>通过立体化学分子设计制备钙钛矿。一对对映体添加剂，(R)-4-(吡咯烷-3-基)硫代吗啉1,1-二氧化物二盐酸盐(R)-Pye和(S)-Pye，被引入作为手性选择性结晶调节剂。由于其更有利的空间可达性，R-Pye 在钙钛矿表面上表现出比 S-Pye 更有利的吸附几何形状，从而产生更高的结合能（9.45 vs 7.33 eV）和增加的碘空位形成能（4.56 vs 2.46 eV）。这种强化的相互作用优化了成核动力学，并促进有序晶体生长，从而形成缺陷密度降低、结晶度提高的高质量钙钛矿薄膜。因此，经过 R-Pye 处理的器件在开路电压（</w:t>
      </w:r>
      <w:r>
        <w:t xml:space="preserve"> </w:t>
      </w:r>
      <w:r>
        <w:t>V</w:t>
      </w:r>
      <w:r>
        <w:t xml:space="preserve"> </w:t>
      </w:r>
      <w:r>
        <w:t>奥克</w:t>
      </w:r>
      <w:r>
        <w:t xml:space="preserve"> </w:t>
      </w:r>
      <w:r>
        <w:t>）为 1.20 V。此外，所得器件表现出出色的操作耐用性，在连续最大功率点跟踪 550 小时后仍保留了 94.8% 的初始效率。这项研究强调立体化学构型是控制分子水平相互作用的一个因素</w:t>
      </w:r>
    </w:p>
    <w:p>
      <w:pPr>
        <w:spacing w:before="0" w:after="200" w:lineRule="auto" w:line="276"/>
      </w:pPr>
      <w:r>
        <w:rPr>
          <w:b/>
        </w:rPr>
        <w:t xml:space="preserve">Abstract (EN): </w:t>
      </w:r>
      <w:r>
        <w:t>Maximizing the binding affinity between molecular additives and perovskite is critical for long term device stability, yet how molecular configuration influences the interaction with perovskites remains unexplored. Here, we report a chiral stereo‐anchoring strategy to regulate the colloidal crystallization of FAPbI</w:t>
      </w:r>
      <w:r>
        <w:rPr>
          <w:vertAlign w:val="subscript"/>
        </w:rPr>
        <w:t>3</w:t>
      </w:r>
      <w:r>
        <w:t>perovskites through stereochemical molecular design. A pair of enantiomeric additives, (R)‐4‐(pyrrolidin‐3‐yl)thiomorpholine 1,1‐dioxide dihydrochloride (R)‐Pye and (S)‐Pye, are introduced as chiral‐selective crystallization modulators. Owing to its more favorable steric accessibility, R‐Pye exhibits a more favorable adsorption geometry on the perovskite surface than S‐Pye, resulting in a higher binding energy (9.45 vs 7.33 eV) and an increased iodine vacancy formation energy (4.56 vs 2.46 eV). This strengthened interaction optimizes nucleation kinetics, and promotes ordered crystal growth, leading to high‐quality perovskite films with reduced defect density and improved crystallinity. Consequently, R‐Pye‐treated devices achieve a remarkable power conversion efficiency (PCE) of 26.13% with an open‐circuit voltage (</w:t>
      </w:r>
      <w:r>
        <w:t xml:space="preserve"> </w:t>
      </w:r>
      <w:r>
        <w:t>V</w:t>
      </w:r>
      <w:r>
        <w:t xml:space="preserve"> </w:t>
      </w:r>
      <w:r>
        <w:t>OC</w:t>
      </w:r>
      <w:r>
        <w:t xml:space="preserve"> </w:t>
      </w:r>
      <w:r>
        <w:t>) of 1.20 V. Moreover, the resulting devices show excellent operational durability, retaining 94.8% of their initial efficiency after 550 h of continuous maximum power point tracking. This study underscores that the stereochemical configuration is a factor in governing the molecular‐level interaction and crystallization pathways, opening new horizons for crystallization control in perovskite solar cells.</w:t>
      </w:r>
    </w:p>
    <w:p>
      <w:pPr>
        <w:spacing w:before="120" w:after="120"/>
      </w:pPr>
      <w:r>
        <w:rPr>
          <w:sz w:val="18"/>
        </w:rPr>
        <w:t>——————————————————————————————————————————————————————————————————————</w:t>
      </w:r>
    </w:p>
    <w:p>
      <w:pPr>
        <w:spacing w:before="160" w:after="40" w:line="240" w:lineRule="auto"/>
      </w:pPr>
      <w:r>
        <w:rPr>
          <w:b/>
        </w:rPr>
        <w:t xml:space="preserve">[21] </w:t>
      </w:r>
      <w:hyperlink r:id="rId42">
        <w:r>
          <w:rPr>
            <w:color w:val="1155CC"/>
            <w:u w:val="single"/>
          </w:rPr>
          <w:t>稳定混合钙钛矿太阳能电池的级联空穴转移策略</w:t>
        </w:r>
      </w:hyperlink>
    </w:p>
    <w:p>
      <w:pPr>
        <w:spacing w:before="0" w:after="80"/>
      </w:pPr>
      <w:r>
        <w:rPr>
          <w:i/>
          <w:sz w:val="20"/>
        </w:rPr>
        <w:t>EN: A cascade hole-transfer strategy towards stable hybrid perovskite solar cells</w:t>
      </w:r>
    </w:p>
    <w:p>
      <w:pPr>
        <w:spacing w:before="0" w:after="120"/>
      </w:pPr>
      <w:r>
        <w:rPr>
          <w:b/>
        </w:rPr>
        <w:t xml:space="preserve">Source: </w:t>
      </w:r>
      <w:r>
        <w:t>Nature Energy</w:t>
      </w:r>
      <w:r>
        <w:t xml:space="preserve">    </w:t>
      </w:r>
      <w:r>
        <w:rPr>
          <w:b/>
        </w:rPr>
        <w:t xml:space="preserve">Pub date: </w:t>
      </w:r>
      <w:r>
        <w:t>2026-06-25 00:00:00+00:00</w:t>
      </w:r>
      <w:r>
        <w:t xml:space="preserve">    </w:t>
      </w:r>
      <w:r>
        <w:rPr>
          <w:b/>
        </w:rPr>
        <w:t xml:space="preserve">DOI: </w:t>
      </w:r>
      <w:hyperlink r:id="rId43">
        <w:r>
          <w:rPr>
            <w:color w:val="1155CC"/>
            <w:u w:val="single"/>
          </w:rPr>
          <w:t>10.1038/s41560-026-02088-5</w:t>
        </w:r>
      </w:hyperlink>
    </w:p>
    <w:p>
      <w:pPr>
        <w:spacing w:before="0" w:after="120"/>
      </w:pPr>
      <w:r>
        <w:rPr>
          <w:b/>
        </w:rPr>
        <w:t xml:space="preserve">Notes: </w:t>
      </w:r>
      <w:r>
        <w:t>abstract_source=nature_html</w:t>
      </w:r>
    </w:p>
    <w:p>
      <w:pPr>
        <w:spacing w:before="0" w:after="80" w:lineRule="auto" w:line="276"/>
      </w:pPr>
      <w:r>
        <w:rPr>
          <w:b/>
        </w:rPr>
        <w:t xml:space="preserve">摘要（ZH）: </w:t>
      </w:r>
      <w:r>
        <w:t>钙钛矿太阳能电池是下一代商业光伏的主要候选者，但其对热和湿度的敏感性限制了其实际应用。现在，开发了一种级联空穴转移策略来抑制混合钙钛矿/有机太阳能电池中的电荷重组，同时提供固有的水分稳定性。</w:t>
      </w:r>
    </w:p>
    <w:p>
      <w:pPr>
        <w:spacing w:before="0" w:after="200" w:lineRule="auto" w:line="276"/>
      </w:pPr>
      <w:r>
        <w:rPr>
          <w:b/>
        </w:rPr>
        <w:t xml:space="preserve">Abstract (EN): </w:t>
      </w:r>
      <w:r>
        <w:t>Perovskite solar cells are a leading candidate for next-generation commercial photovoltaics, but their sensitivity to heat and moisture limits their practical use. Now, a cascade hole-transfer strategy is developed to suppress charge recombination in hybrid perovskite/organic solar cells while offering intrinsic moisture stability.</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44">
        <w:r>
          <w:rPr>
            <w:color w:val="1155CC"/>
            <w:u w:val="single"/>
          </w:rPr>
          <w:t>通过 NiFe 合金晶格应变调节中间吸附和界面水网络促进低浓度硝酸盐电还原</w:t>
        </w:r>
      </w:hyperlink>
    </w:p>
    <w:p>
      <w:pPr>
        <w:spacing w:before="0" w:after="80"/>
      </w:pPr>
      <w:r>
        <w:rPr>
          <w:i/>
          <w:sz w:val="20"/>
        </w:rPr>
        <w:t>EN: Tuning Intermediate Adsorption and Interfacial Water Networks via Lattice Strain of NiFe Alloys Boosts Low‐Concentration Nitrate Electroreduction</w:t>
      </w:r>
    </w:p>
    <w:p>
      <w:pPr>
        <w:spacing w:before="0" w:after="120"/>
      </w:pPr>
      <w:r>
        <w:rPr>
          <w:b/>
        </w:rPr>
        <w:t xml:space="preserve">Source: </w:t>
      </w:r>
      <w:r>
        <w:t>Wiley: Advanced Materials: Table of Contents</w:t>
      </w:r>
      <w:r>
        <w:t xml:space="preserve">    </w:t>
      </w:r>
      <w:r>
        <w:rPr>
          <w:b/>
        </w:rPr>
        <w:t xml:space="preserve">Pub date: </w:t>
      </w:r>
      <w:r>
        <w:t>2026-06-20 05:31:04+00:00</w:t>
      </w:r>
      <w:r>
        <w:t xml:space="preserve">    </w:t>
      </w:r>
      <w:r>
        <w:rPr>
          <w:b/>
        </w:rPr>
        <w:t xml:space="preserve">DOI: </w:t>
      </w:r>
      <w:hyperlink r:id="rId45">
        <w:r>
          <w:rPr>
            <w:color w:val="1155CC"/>
            <w:u w:val="single"/>
          </w:rPr>
          <w:t>10.1002/adma.73761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电化学硝酸盐还原氨（NO</w:t>
      </w:r>
      <w:r>
        <w:rPr>
          <w:vertAlign w:val="subscript"/>
        </w:rPr>
        <w:t>3</w:t>
      </w:r>
      <w:r>
        <w:t>-</w:t>
      </w:r>
      <w:r>
        <w:t>低浓度中性介质中的RR）通常受到缓慢的传质和竞争性析氢反应（HER）的阻碍。在此，我们提出了一种通过共蒸发少量铁杂原子将晶格应变引入镍催化剂的策略。根据原位光谱和理论计算，应变效应可以优化</w:t>
      </w:r>
      <w:r>
        <w:t xml:space="preserve"> </w:t>
      </w:r>
      <w:r>
        <w:t>d</w:t>
      </w:r>
      <w:r>
        <w:t xml:space="preserve"> </w:t>
      </w:r>
      <w:r>
        <w:t>‐Ni活性位点的能带中心，从而调节关键中间体的吸附强度（</w:t>
      </w:r>
      <w:r>
        <w:t xml:space="preserve"> </w:t>
      </w:r>
      <w:r>
        <w:t>*</w:t>
      </w:r>
      <w:r>
        <w:t xml:space="preserve"> </w:t>
      </w:r>
      <w:r>
        <w:t>否</w:t>
      </w:r>
      <w:r>
        <w:rPr>
          <w:vertAlign w:val="subscript"/>
        </w:rPr>
        <w:t>3</w:t>
      </w:r>
      <w:r>
        <w:t>-</w:t>
      </w:r>
      <w:r>
        <w:t>,</w:t>
      </w:r>
      <w:r>
        <w:t xml:space="preserve"> </w:t>
      </w:r>
      <w:r>
        <w:t>*</w:t>
      </w:r>
      <w:r>
        <w:t xml:space="preserve"> </w:t>
      </w:r>
      <w:r>
        <w:t>否</w:t>
      </w:r>
      <w:r>
        <w:rPr>
          <w:vertAlign w:val="subscript"/>
        </w:rPr>
        <w:t>2</w:t>
      </w:r>
      <w:r>
        <w:t>,</w:t>
      </w:r>
      <w:r>
        <w:t xml:space="preserve"> </w:t>
      </w:r>
      <w:r>
        <w:t>*</w:t>
      </w:r>
      <w:r>
        <w:t xml:space="preserve"> </w:t>
      </w:r>
      <w:r>
        <w:t>NO) 并增强 NO 的内在活性</w:t>
      </w:r>
      <w:r>
        <w:rPr>
          <w:vertAlign w:val="subscript"/>
        </w:rPr>
        <w:t>3</w:t>
      </w:r>
      <w:r>
        <w:t>-</w:t>
      </w:r>
      <w:r>
        <w:t>RR。此外，应变表面可以重组界面氢键网络并调节自由水的比例，从而平衡活性氢的供应（</w:t>
      </w:r>
      <w:r>
        <w:t xml:space="preserve"> </w:t>
      </w:r>
      <w:r>
        <w:t>*</w:t>
      </w:r>
      <w:r>
        <w:t xml:space="preserve"> </w:t>
      </w:r>
      <w:r>
        <w:t>H) 抑制 HER。因此，NiFe-T1.4 实现了显着的 NH</w:t>
      </w:r>
      <w:r>
        <w:rPr>
          <w:vertAlign w:val="subscript"/>
        </w:rPr>
        <w:t>3</w:t>
      </w:r>
      <w:r>
        <w:t>法拉第效率 (FE) 高达 95.5%，产率高达 8.57 mg h</w:t>
      </w:r>
      <w:r>
        <w:t xml:space="preserve"> </w:t>
      </w:r>
      <w:r>
        <w:t>−1</w:t>
      </w:r>
      <w:r>
        <w:t xml:space="preserve"> </w:t>
      </w:r>
      <w:r>
        <w:t>厘米</w:t>
      </w:r>
      <w:r>
        <w:t xml:space="preserve"> </w:t>
      </w:r>
      <w:r>
        <w:t>−2</w:t>
      </w:r>
      <w:r>
        <w:t xml:space="preserve"> </w:t>
      </w:r>
      <w:r>
        <w:t>中性低浓度（5-50 m</w:t>
      </w:r>
    </w:p>
    <w:p>
      <w:pPr>
        <w:spacing w:before="0" w:after="200" w:lineRule="auto" w:line="276"/>
      </w:pPr>
      <w:r>
        <w:rPr>
          <w:b/>
        </w:rPr>
        <w:t xml:space="preserve">Abstract (EN): </w:t>
      </w:r>
      <w:r>
        <w:t>The electrochemical nitrate‐to‐ammonia reduction (NO</w:t>
      </w:r>
      <w:r>
        <w:rPr>
          <w:vertAlign w:val="subscript"/>
        </w:rPr>
        <w:t>3</w:t>
      </w:r>
      <w:r>
        <w:t>−</w:t>
      </w:r>
      <w:r>
        <w:t>RR) in low‐concentration neutral media is often hindered by sluggish mass transfer and competitive hydrogen evolution reaction (HER). Herein, we propose a strategy to introduce lattice strain into a Ni catalyst through the co‐evaporation of a small proportion of Fe heteroatoms. According to in situ spectroscopy and theoretical calculations, the strain effect can optimize the</w:t>
      </w:r>
      <w:r>
        <w:t xml:space="preserve"> </w:t>
      </w:r>
      <w:r>
        <w:t>d</w:t>
      </w:r>
      <w:r>
        <w:t xml:space="preserve"> </w:t>
      </w:r>
      <w:r>
        <w:t>‐band center of the Ni active sites, thereby modulating the adsorption strength of key intermediates (</w:t>
      </w:r>
      <w:r>
        <w:t xml:space="preserve"> </w:t>
      </w:r>
      <w:r>
        <w:t>*</w:t>
      </w:r>
      <w:r>
        <w:t xml:space="preserve"> </w:t>
      </w:r>
      <w:r>
        <w:t>NO</w:t>
      </w:r>
      <w:r>
        <w:rPr>
          <w:vertAlign w:val="subscript"/>
        </w:rPr>
        <w:t>3</w:t>
      </w:r>
      <w:r>
        <w:t>−</w:t>
      </w:r>
      <w:r>
        <w:t>,</w:t>
      </w:r>
      <w:r>
        <w:t xml:space="preserve"> </w:t>
      </w:r>
      <w:r>
        <w:t>*</w:t>
      </w:r>
      <w:r>
        <w:t xml:space="preserve"> </w:t>
      </w:r>
      <w:r>
        <w:t>NO</w:t>
      </w:r>
      <w:r>
        <w:rPr>
          <w:vertAlign w:val="subscript"/>
        </w:rPr>
        <w:t>2</w:t>
      </w:r>
      <w:r>
        <w:t>,</w:t>
      </w:r>
      <w:r>
        <w:t xml:space="preserve"> </w:t>
      </w:r>
      <w:r>
        <w:t>*</w:t>
      </w:r>
      <w:r>
        <w:t xml:space="preserve"> </w:t>
      </w:r>
      <w:r>
        <w:t>NO) and enhancing the intrinsic activity for NO</w:t>
      </w:r>
      <w:r>
        <w:rPr>
          <w:vertAlign w:val="subscript"/>
        </w:rPr>
        <w:t>3</w:t>
      </w:r>
      <w:r>
        <w:t>−</w:t>
      </w:r>
      <w:r>
        <w:t>RR. Furthermore, the strained surface can reorganize the interfacial hydrogen‐bond network and modulate the proportion of free water, thereby balancing the supply of active hydrogen (</w:t>
      </w:r>
      <w:r>
        <w:t xml:space="preserve"> </w:t>
      </w:r>
      <w:r>
        <w:t>*</w:t>
      </w:r>
      <w:r>
        <w:t xml:space="preserve"> </w:t>
      </w:r>
      <w:r>
        <w:t>H) with the suppression of HER. Consequently, NiFe‐T1.4 achieves remarkable NH</w:t>
      </w:r>
      <w:r>
        <w:rPr>
          <w:vertAlign w:val="subscript"/>
        </w:rPr>
        <w:t>3</w:t>
      </w:r>
      <w:r>
        <w:t>Faradaic efficiencies (FE) up to 95.5% and yield rates up to 8.57 mg h</w:t>
      </w:r>
      <w:r>
        <w:t xml:space="preserve"> </w:t>
      </w:r>
      <w:r>
        <w:t>−1</w:t>
      </w:r>
      <w:r>
        <w:t xml:space="preserve"> </w:t>
      </w:r>
      <w:r>
        <w:t>cm</w:t>
      </w:r>
      <w:r>
        <w:t xml:space="preserve"> </w:t>
      </w:r>
      <w:r>
        <w:t>−2</w:t>
      </w:r>
      <w:r>
        <w:t xml:space="preserve"> </w:t>
      </w:r>
      <w:r>
        <w:t>in neutral low‐concentration (5–50 m</w:t>
      </w:r>
      <w:r>
        <w:t xml:space="preserve"> </w:t>
      </w:r>
      <w:r>
        <w:t>m</w:t>
      </w:r>
      <w:r>
        <w:t xml:space="preserve"> </w:t>
      </w:r>
      <w:r>
        <w:t>) nitrate solutions. Furthermore, NiFe‐T1.4 can also be employed as a cathode in a Zn‐NO</w:t>
      </w:r>
      <w:r>
        <w:rPr>
          <w:vertAlign w:val="subscript"/>
        </w:rPr>
        <w:t>3</w:t>
      </w:r>
      <w:r>
        <w:t>−</w:t>
      </w:r>
      <w:r>
        <w:t>battery, delivering a high open‐circuit voltage of 1.53 V and a peak power density of 8.10 mW cm</w:t>
      </w:r>
      <w:r>
        <w:t xml:space="preserve"> </w:t>
      </w:r>
      <w:r>
        <w:t>−2</w:t>
      </w:r>
      <w:r>
        <w:t xml:space="preserve"> </w:t>
      </w:r>
      <w:r>
        <w:t>. This work presents a feasible approach to engineering high‐performance catalysts for nitrate‐to‐ammonia conversion by combining lattice strain and interfacial water management.</w:t>
      </w:r>
    </w:p>
    <w:p>
      <w:pPr>
        <w:spacing w:before="120" w:after="120"/>
      </w:pPr>
      <w:r>
        <w:rPr>
          <w:sz w:val="18"/>
        </w:rPr>
        <w:t>——————————————————————————————————————————————————————————————————————</w:t>
      </w:r>
    </w:p>
    <w:p>
      <w:pPr>
        <w:spacing w:before="160" w:after="40" w:line="240" w:lineRule="auto"/>
      </w:pPr>
      <w:r>
        <w:rPr>
          <w:b/>
        </w:rPr>
        <w:t xml:space="preserve">[2] </w:t>
      </w:r>
      <w:hyperlink r:id="rId46">
        <w:r>
          <w:rPr>
            <w:color w:val="1155CC"/>
            <w:u w:val="single"/>
          </w:rPr>
          <w:t>从废旧钠离子电池中回收普鲁士白的闭环直接回收工艺</w:t>
        </w:r>
      </w:hyperlink>
    </w:p>
    <w:p>
      <w:pPr>
        <w:spacing w:before="0" w:after="80"/>
      </w:pPr>
      <w:r>
        <w:rPr>
          <w:i/>
          <w:sz w:val="20"/>
        </w:rPr>
        <w:t>EN: A Closed‐Loop Direct Recycling Process for Prussian White From Scrap and End‐of‐Life Sodium‐Ion Batteries</w:t>
      </w:r>
    </w:p>
    <w:p>
      <w:pPr>
        <w:spacing w:before="0" w:after="120"/>
      </w:pPr>
      <w:r>
        <w:rPr>
          <w:b/>
        </w:rPr>
        <w:t xml:space="preserve">Source: </w:t>
      </w:r>
      <w:r>
        <w:t>Wiley: Advanced Energy Materials: Table of Contents</w:t>
      </w:r>
      <w:r>
        <w:t xml:space="preserve">    </w:t>
      </w:r>
      <w:r>
        <w:rPr>
          <w:b/>
        </w:rPr>
        <w:t xml:space="preserve">Pub date: </w:t>
      </w:r>
      <w:r>
        <w:t>2026-06-22 10:57:25+00:00</w:t>
      </w:r>
      <w:r>
        <w:t xml:space="preserve">    </w:t>
      </w:r>
      <w:r>
        <w:rPr>
          <w:b/>
        </w:rPr>
        <w:t xml:space="preserve">DOI: </w:t>
      </w:r>
      <w:hyperlink r:id="rId47">
        <w:r>
          <w:rPr>
            <w:color w:val="1155CC"/>
            <w:u w:val="single"/>
          </w:rPr>
          <w:t>10.1002/aenm.71225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普鲁士白（PW、Na</w:t>
      </w:r>
      <w:r>
        <w:rPr>
          <w:vertAlign w:val="subscript"/>
        </w:rPr>
        <w:t>2</w:t>
      </w:r>
      <w:r>
        <w:t>铁[铁(CN)</w:t>
      </w:r>
      <w:r>
        <w:rPr>
          <w:vertAlign w:val="subscript"/>
        </w:rPr>
        <w:t>6</w:t>
      </w:r>
      <w:r>
        <w:t>】·</w:t>
      </w:r>
      <w:r>
        <w:t xml:space="preserve"> </w:t>
      </w:r>
      <w:r>
        <w:t>x</w:t>
      </w:r>
      <w:r>
        <w:t xml:space="preserve"> </w:t>
      </w:r>
      <w:r>
        <w:t>H</w:t>
      </w:r>
      <w:r>
        <w:rPr>
          <w:vertAlign w:val="subscript"/>
        </w:rPr>
        <w:t>2</w:t>
      </w:r>
      <w:r>
        <w:t>O) 是一种领先的低成本钠离子电池正极材料。然而，由于传统的火法冶金和湿法冶金路线与其氰基金属酸盐骨架不相容，回收利用在很大程度上仍未得到解决。本文报道了一种用于制造废料和报废 (EOL) 钠离子电池的 PW 阴极的闭环直接回收工艺。使用低能冰剥离技术对电极进行分层，回收的粉末通过温和的 80°C 水溶液再生，无需煅烧或腐蚀性溶剂。再辐射过程同时重新插入 Na</w:t>
      </w:r>
      <w:r>
        <w:t xml:space="preserve"> </w:t>
      </w:r>
      <w:r>
        <w:t>+</w:t>
      </w:r>
      <w:r>
        <w:t xml:space="preserve"> </w:t>
      </w:r>
      <w:r>
        <w:t>离子，还原Fe</w:t>
      </w:r>
      <w:r>
        <w:t xml:space="preserve"> </w:t>
      </w:r>
      <w:r>
        <w:t>3+</w:t>
      </w:r>
      <w:r>
        <w:t xml:space="preserve"> </w:t>
      </w:r>
      <w:r>
        <w:t>至铁</w:t>
      </w:r>
      <w:r>
        <w:t xml:space="preserve"> </w:t>
      </w:r>
      <w:r>
        <w:t>2+</w:t>
      </w:r>
      <w:r>
        <w:t xml:space="preserve"> </w:t>
      </w:r>
      <w:r>
        <w:t>，并通过温度和阴离子激活的“表面愈合”促进表面再生，这一机制得到了控制实验的支持，并得到了 XRD、Fe K-edge XAS、XPS、拉曼光谱和电子显微镜的证实。经过修复的 PW 可恢复 96%–97% 的原始半电池容量，并且在与硬碳配对的全电池配置中，在 300 次循环后保留约 80% 的初始容量，优于约 60% 的原始基准。 80°C 下再反应的总能量输入为 ∼0.50 kWh，低于新鲜 PW 合成的估计值（∼3.98 kWh）。这</w:t>
      </w:r>
    </w:p>
    <w:p>
      <w:pPr>
        <w:spacing w:before="0" w:after="200" w:lineRule="auto" w:line="276"/>
      </w:pPr>
      <w:r>
        <w:rPr>
          <w:b/>
        </w:rPr>
        <w:t xml:space="preserve">Abstract (EN): </w:t>
      </w:r>
      <w:r>
        <w:t>Prussian White (PW, Na</w:t>
      </w:r>
      <w:r>
        <w:rPr>
          <w:vertAlign w:val="subscript"/>
        </w:rPr>
        <w:t>2</w:t>
      </w:r>
      <w:r>
        <w:t>Fe[Fe(CN)</w:t>
      </w:r>
      <w:r>
        <w:rPr>
          <w:vertAlign w:val="subscript"/>
        </w:rPr>
        <w:t>6</w:t>
      </w:r>
      <w:r>
        <w:t>]·</w:t>
      </w:r>
      <w:r>
        <w:t xml:space="preserve"> </w:t>
      </w:r>
      <w:r>
        <w:t>x</w:t>
      </w:r>
      <w:r>
        <w:t xml:space="preserve"> </w:t>
      </w:r>
      <w:r>
        <w:t>H</w:t>
      </w:r>
      <w:r>
        <w:rPr>
          <w:vertAlign w:val="subscript"/>
        </w:rPr>
        <w:t>2</w:t>
      </w:r>
      <w:r>
        <w:t>O) is a leading low‐cost cathode material for sodium‐ion batteries. Yet, recycling remains largely unaddressed due to the incompatibility of conventional pyrometallurgical and hydrometallurgical routes with its cyanometallate framework. Here, a closed‐loop direct recycling process for PW cathodes is reported, for both manufacturing scrap and end‐of‐life (EOL) sodium‐ion cells. Electrodes were delaminated using a low‐energy ice‐stripping technique, and the recovered powder was regenerated via mild, 80°C aqueous resodiation without calcination or corrosive solvents. The resodiation process simultaneously reinserts Na</w:t>
      </w:r>
      <w:r>
        <w:t xml:space="preserve"> </w:t>
      </w:r>
      <w:r>
        <w:t>+</w:t>
      </w:r>
      <w:r>
        <w:t xml:space="preserve"> </w:t>
      </w:r>
      <w:r>
        <w:t>ions, reduces Fe</w:t>
      </w:r>
      <w:r>
        <w:t xml:space="preserve"> </w:t>
      </w:r>
      <w:r>
        <w:t>3+</w:t>
      </w:r>
      <w:r>
        <w:t xml:space="preserve"> </w:t>
      </w:r>
      <w:r>
        <w:t>to Fe</w:t>
      </w:r>
      <w:r>
        <w:t xml:space="preserve"> </w:t>
      </w:r>
      <w:r>
        <w:t>2+</w:t>
      </w:r>
      <w:r>
        <w:t xml:space="preserve"> </w:t>
      </w:r>
      <w:r>
        <w:t>, and promotes surface regeneration through temperature and anion‐activated ‘surface healing’, a mechanism supported by control experiments and confirmed by XRD, Fe K‐edge XAS, XPS, Raman spectroscopy, and electron microscopy. Resodiated PW recovers 96%–97% of pristine half‐cell capacity and, in full‐cell configurations paired with hard carbon, retains ∼80% of initial capacity after 300 cycles, outperforming the pristine benchmark of ∼60%. The total energy input for resodiation at 80°C is ∼0.50 kWh, lower than that estimated for fresh PW synthesis (∼3.98 kWh). This work provides an experimentally validated pathway for closed‐loop recovery of Prussian White cathodes, with direct relevance to sustainable scale‐up of sodium‐ion battery technology.</w:t>
      </w:r>
    </w:p>
    <w:p>
      <w:pPr>
        <w:spacing w:before="120" w:after="120"/>
      </w:pPr>
      <w:r>
        <w:rPr>
          <w:sz w:val="18"/>
        </w:rPr>
        <w:t>——————————————————————————————————————————————————————————————————————</w:t>
      </w:r>
    </w:p>
    <w:p>
      <w:pPr>
        <w:spacing w:before="160" w:after="40" w:line="240" w:lineRule="auto"/>
      </w:pPr>
      <w:r>
        <w:rPr>
          <w:b/>
        </w:rPr>
        <w:t xml:space="preserve">[3] </w:t>
      </w:r>
      <w:hyperlink r:id="rId48">
        <w:r>
          <w:rPr>
            <w:color w:val="1155CC"/>
            <w:u w:val="single"/>
          </w:rPr>
          <w:t>定制局部上部结构单元以减轻钠离子电池的电压衰减</w:t>
        </w:r>
      </w:hyperlink>
    </w:p>
    <w:p>
      <w:pPr>
        <w:spacing w:before="0" w:after="80"/>
      </w:pPr>
      <w:r>
        <w:rPr>
          <w:i/>
          <w:sz w:val="20"/>
        </w:rPr>
        <w:t>EN: Tailoring Local Superstructure Units to Mitigate Voltage Decay in Na‐Ion Batteries</w:t>
      </w:r>
    </w:p>
    <w:p>
      <w:pPr>
        <w:spacing w:before="0" w:after="120"/>
      </w:pPr>
      <w:r>
        <w:rPr>
          <w:b/>
        </w:rPr>
        <w:t xml:space="preserve">Source: </w:t>
      </w:r>
      <w:r>
        <w:t>Wiley: Angewandte Chemie International Edition: Table of Contents</w:t>
      </w:r>
      <w:r>
        <w:t xml:space="preserve">    </w:t>
      </w:r>
      <w:r>
        <w:rPr>
          <w:b/>
        </w:rPr>
        <w:t xml:space="preserve">Pub date: </w:t>
      </w:r>
      <w:r>
        <w:t>2026-06-22 13:42:58+00:00</w:t>
      </w:r>
      <w:r>
        <w:t xml:space="preserve">    </w:t>
      </w:r>
      <w:r>
        <w:rPr>
          <w:b/>
        </w:rPr>
        <w:t xml:space="preserve">DOI: </w:t>
      </w:r>
      <w:hyperlink r:id="rId49">
        <w:r>
          <w:rPr>
            <w:color w:val="1155CC"/>
            <w:u w:val="single"/>
          </w:rPr>
          <w:t>10.1002/anie.5004922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能量密度P2型阴极的实际应用受到高电位循环时严重电压衰减的阻碍。这种电压衰减主要源于不可逆的层间阳离子迁移和有害的结构退化，可以通过调节上层结构单元的排列来显着抑制。在这里，我们加入了LiTiMn</w:t>
      </w:r>
      <w:r>
        <w:rPr>
          <w:vertAlign w:val="subscript"/>
        </w:rPr>
        <w:t>5</w:t>
      </w:r>
      <w:r>
        <w:t>P2-Na 中的上层建筑单元</w:t>
      </w:r>
      <w:r>
        <w:t xml:space="preserve"> </w:t>
      </w:r>
      <w:r>
        <w:t>0.7</w:t>
      </w:r>
      <w:r>
        <w:t xml:space="preserve"> </w:t>
      </w:r>
      <w:r>
        <w:t>K</w:t>
      </w:r>
      <w:r>
        <w:t xml:space="preserve"> </w:t>
      </w:r>
      <w:r>
        <w:t>0.04</w:t>
      </w:r>
      <w:r>
        <w:t xml:space="preserve"> </w:t>
      </w:r>
      <w:r>
        <w:t>李</w:t>
      </w:r>
      <w:r>
        <w:t xml:space="preserve"> </w:t>
      </w:r>
      <w:r>
        <w:t>0.1</w:t>
      </w:r>
      <w:r>
        <w:t xml:space="preserve"> </w:t>
      </w:r>
      <w:r>
        <w:t>镍</w:t>
      </w:r>
      <w:r>
        <w:t xml:space="preserve"> </w:t>
      </w:r>
      <w:r>
        <w:t>0.22</w:t>
      </w:r>
      <w:r>
        <w:t xml:space="preserve"> </w:t>
      </w:r>
      <w:r>
        <w:t>锰</w:t>
      </w:r>
      <w:r>
        <w:t xml:space="preserve"> </w:t>
      </w:r>
      <w:r>
        <w:t>0.6</w:t>
      </w:r>
      <w:r>
        <w:t xml:space="preserve"> </w:t>
      </w:r>
      <w:r>
        <w:t>钛</w:t>
      </w:r>
      <w:r>
        <w:t xml:space="preserve"> </w:t>
      </w:r>
      <w:r>
        <w:t>0.08</w:t>
      </w:r>
      <w:r>
        <w:t xml:space="preserve"> </w:t>
      </w:r>
      <w:r>
        <w:t>氧</w:t>
      </w:r>
      <w:r>
        <w:rPr>
          <w:vertAlign w:val="subscript"/>
        </w:rPr>
        <w:t>2</w:t>
      </w:r>
      <w:r>
        <w:t>（NaKLNMT）在过渡金属板内构建长程面内有序排列，在迁移路径上创建稳定的氧配位环境和高能垒。此外，限制性的P型到O型的堆垛演化和受限的Li/TM迁移抑制了空位簇的形成，从而防止了高电压下晶格氧的过度氧化和不均匀的晶格应变积累。因此，目标 NaKLNMT 化合物在 1 C 下表现出 0.15 mV/循环的可忽略不计的电压衰减和 100 次循环后的 96.3% 容量保留。我们的研究结果表明，通过局部超结构控制来调节阳离子迁移有助于指导解决钠层电压衰减问题的策略</w:t>
      </w:r>
    </w:p>
    <w:p>
      <w:pPr>
        <w:spacing w:before="0" w:after="200" w:lineRule="auto" w:line="276"/>
      </w:pPr>
      <w:r>
        <w:rPr>
          <w:b/>
        </w:rPr>
        <w:t xml:space="preserve">Abstract (EN): </w:t>
      </w:r>
      <w:r>
        <w:t>The practical application of high‐energy‐density P2‐type cathodes is hindered by severe voltage decay upon high‐potential cycling. This voltage decay primarily originates from irreversible interlayer cation migration and detrimental structural degradation, which can be notably suppressed by regulating the arrangement of superstructure units. Herein, we incorporate LiTiMn</w:t>
      </w:r>
      <w:r>
        <w:rPr>
          <w:vertAlign w:val="subscript"/>
        </w:rPr>
        <w:t>5</w:t>
      </w:r>
      <w:r>
        <w:t>superstructure units in P2‐Na</w:t>
      </w:r>
      <w:r>
        <w:t xml:space="preserve"> </w:t>
      </w:r>
      <w:r>
        <w:t>0.7</w:t>
      </w:r>
      <w:r>
        <w:t xml:space="preserve"> </w:t>
      </w:r>
      <w:r>
        <w:t>K</w:t>
      </w:r>
      <w:r>
        <w:t xml:space="preserve"> </w:t>
      </w:r>
      <w:r>
        <w:t>0.04</w:t>
      </w:r>
      <w:r>
        <w:t xml:space="preserve"> </w:t>
      </w:r>
      <w:r>
        <w:t>Li</w:t>
      </w:r>
      <w:r>
        <w:t xml:space="preserve"> </w:t>
      </w:r>
      <w:r>
        <w:t>0.1</w:t>
      </w:r>
      <w:r>
        <w:t xml:space="preserve"> </w:t>
      </w:r>
      <w:r>
        <w:t>Ni</w:t>
      </w:r>
      <w:r>
        <w:t xml:space="preserve"> </w:t>
      </w:r>
      <w:r>
        <w:t>0.22</w:t>
      </w:r>
      <w:r>
        <w:t xml:space="preserve"> </w:t>
      </w:r>
      <w:r>
        <w:t>Mn</w:t>
      </w:r>
      <w:r>
        <w:t xml:space="preserve"> </w:t>
      </w:r>
      <w:r>
        <w:t>0.6</w:t>
      </w:r>
      <w:r>
        <w:t xml:space="preserve"> </w:t>
      </w:r>
      <w:r>
        <w:t>Ti</w:t>
      </w:r>
      <w:r>
        <w:t xml:space="preserve"> </w:t>
      </w:r>
      <w:r>
        <w:t>0.08</w:t>
      </w:r>
      <w:r>
        <w:t xml:space="preserve"> </w:t>
      </w:r>
      <w:r>
        <w:t>O</w:t>
      </w:r>
      <w:r>
        <w:rPr>
          <w:vertAlign w:val="subscript"/>
        </w:rPr>
        <w:t>2</w:t>
      </w:r>
      <w:r>
        <w:t>(NaKLNMT) to construct the long‐range in‐plane ordered arrangement within transition metal slabs, creating a stable oxygen coordination environment and high energy barriers along the migration path. Furthermore, the circumscribed P‐type to O‐type stacking evolution and restricted Li/TM migration restrain the formation of vacancy clusters, prohibiting consequential overoxidation of lattice oxygen and inhomogeneous lattice strain accumulation under high‐voltage. Therefore, the target NaKLNMT compound exhibits a negligible voltage decay of 0.15 mV/cycle and 96.3% capacity retention over 100 cycles at 1 C. Our findings demonstrate that regulating cation migration through local superstructure control helps steer strategies to address the issues of voltage decay in sodium‐layered oxide cathodes.</w:t>
      </w:r>
    </w:p>
    <w:p>
      <w:pPr>
        <w:spacing w:before="120" w:after="120"/>
      </w:pPr>
      <w:r>
        <w:rPr>
          <w:sz w:val="18"/>
        </w:rPr>
        <w:t>——————————————————————————————————————————————————————————————————————</w:t>
      </w:r>
    </w:p>
    <w:p>
      <w:pPr>
        <w:spacing w:before="160" w:after="40" w:line="240" w:lineRule="auto"/>
      </w:pPr>
      <w:r>
        <w:rPr>
          <w:b/>
        </w:rPr>
        <w:t xml:space="preserve">[4] </w:t>
      </w:r>
      <w:hyperlink r:id="rId50">
        <w:r>
          <w:rPr>
            <w:color w:val="1155CC"/>
            <w:u w:val="single"/>
          </w:rPr>
          <w:t>通过拓扑化学电子缓冲实现对称水系电池的水分解抑制高容量双极电极</w:t>
        </w:r>
      </w:hyperlink>
    </w:p>
    <w:p>
      <w:pPr>
        <w:spacing w:before="0" w:after="80"/>
      </w:pPr>
      <w:r>
        <w:rPr>
          <w:i/>
          <w:sz w:val="20"/>
        </w:rPr>
        <w:t>EN: Water‐Splitting‐Suppressed High‐Capacity Bipolar Electrodes Enabled by Topochemical Electron Buffering for Symmetric Aqueous Batteries</w:t>
      </w:r>
    </w:p>
    <w:p>
      <w:pPr>
        <w:spacing w:before="0" w:after="120"/>
      </w:pPr>
      <w:r>
        <w:rPr>
          <w:b/>
        </w:rPr>
        <w:t xml:space="preserve">Source: </w:t>
      </w:r>
      <w:r>
        <w:t>Wiley: Angewandte Chemie International Edition: Table of Contents</w:t>
      </w:r>
      <w:r>
        <w:t xml:space="preserve">    </w:t>
      </w:r>
      <w:r>
        <w:rPr>
          <w:b/>
        </w:rPr>
        <w:t xml:space="preserve">Pub date: </w:t>
      </w:r>
      <w:r>
        <w:t>2026-06-22 13:55:11+00:00</w:t>
      </w:r>
      <w:r>
        <w:t xml:space="preserve">    </w:t>
      </w:r>
      <w:r>
        <w:rPr>
          <w:b/>
        </w:rPr>
        <w:t xml:space="preserve">DOI: </w:t>
      </w:r>
      <w:hyperlink r:id="rId51">
        <w:r>
          <w:rPr>
            <w:color w:val="1155CC"/>
            <w:u w:val="single"/>
          </w:rPr>
          <w:t>10.1002/anie.3350796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采用双极性材料作为电极的对称水电池（SAB）由于其本质安全性和令人满意的容量而引起了极大的关注，但它们仍然存在水分解问题，因此电压窗口很窄。在这项工作中，我们提出了一种新颖的拓扑化学设计，引入电子缓冲器（EB）来控制工作时的电子流，从而有效地减弱电压端流向水分解反应的电子流。仔细的测量证实，由于 EB 效应，用于水分解的电流密度急剧降低。电压端的理论计算验证了涉及 EB 的电极的表面电子密度低于不包含 EB 的电极，证明了该 EB 设计在抑制水分解电荷冲击方面的优越性。因此，基于 EB 组装的 SAB 的充电/放电平台增加了约 0.16 V，以及 80.7 mA h g-1 的高容量</w:t>
      </w:r>
      <w:r>
        <w:t xml:space="preserve"> </w:t>
      </w:r>
      <w:r>
        <w:t>−1</w:t>
      </w:r>
      <w:r>
        <w:t xml:space="preserve"> </w:t>
      </w:r>
      <w:r>
        <w:t>实现了这一目标，优于报道的最先进的水性双极性材料。此外，涉及 EB 的 SAB 的电解质损失减少至不含 EB 的 SAB 的 24%，这验证了通过限制电子路径来抑制水分解。这项工作提供了一种新的思路，通过引入合理的缓冲层来引导电子流，旨在阻止水分解，同时保持储能性能。</w:t>
      </w:r>
    </w:p>
    <w:p>
      <w:pPr>
        <w:spacing w:before="0" w:after="200" w:lineRule="auto" w:line="276"/>
      </w:pPr>
      <w:r>
        <w:rPr>
          <w:b/>
        </w:rPr>
        <w:t xml:space="preserve">Abstract (EN): </w:t>
      </w:r>
      <w:r>
        <w:t>Symmetric aqueous batteries (SABs) that employ bipolar materials as electrodes have attracted tremendous attention due to their intrinsic safety and satisfactory capacity, while they still suffer from water‐splitting and thus a narrow voltage window. In this work, we propose a novel topochemical design of introducing an electron buffer (EB) to control the electron stream when working, which efficiently attenuates the electron flow toward the water‐splitting reactions at the voltage ends. Careful measurements confirm the sharp reduction of current density applied for water‐splitting due to the EB effect. Theoretical calculations for voltage end verify the lower surface electron density of EB‐involved electrode than that of EB‐excluded electrode, demonstrating the superiority of this EB design in suppressing charge shock for water splitting. Consequently, the charging/discharging plateau of the assembled SABs based on EB increases ∼0.16 V, as well as a high capacity of 80.7 mA h g</w:t>
      </w:r>
      <w:r>
        <w:t xml:space="preserve"> </w:t>
      </w:r>
      <w:r>
        <w:t>−1</w:t>
      </w:r>
      <w:r>
        <w:t xml:space="preserve"> </w:t>
      </w:r>
      <w:r>
        <w:t>achieved, which is superior to reported state‐of‐the‐art aqueous bipolar materials. Moreover, the electrolyte loss of EB‐involved SABs reduces to only 24% of that of EB‐excluded SABs, validating suppressed water splitting by confining the electron pathway. This work provides a new thought to guide electron stream through introducing a rational buffer layer, aiming at hindering water splitting while maintaining energy storage performance.</w:t>
      </w:r>
    </w:p>
    <w:p>
      <w:pPr>
        <w:spacing w:before="120" w:after="120"/>
      </w:pPr>
      <w:r>
        <w:rPr>
          <w:sz w:val="18"/>
        </w:rPr>
        <w:t>——————————————————————————————————————————————————————————————————————</w:t>
      </w:r>
    </w:p>
    <w:p>
      <w:pPr>
        <w:spacing w:before="160" w:after="40" w:line="240" w:lineRule="auto"/>
      </w:pPr>
      <w:r>
        <w:rPr>
          <w:b/>
        </w:rPr>
        <w:t xml:space="preserve">[5] </w:t>
      </w:r>
      <w:hyperlink r:id="rId52">
        <w:r>
          <w:rPr>
            <w:color w:val="1155CC"/>
            <w:u w:val="single"/>
          </w:rPr>
          <w:t>呼吸双金属 MOF 限域多金属氧酸盐用于水合层松动和电子重新分布以实现高效硝酸盐电还原和硝酸锌电池</w:t>
        </w:r>
      </w:hyperlink>
    </w:p>
    <w:p>
      <w:pPr>
        <w:spacing w:before="0" w:after="80"/>
      </w:pPr>
      <w:r>
        <w:rPr>
          <w:i/>
          <w:sz w:val="20"/>
        </w:rPr>
        <w:t>EN: Breathing Bimetallic MOF Confined Polyoxometalates for Hydration Layer Loosening and Electronic Redistribution Toward Efficient Nitrate Electroreduction and Zn−Nitrate Batteries</w:t>
      </w:r>
    </w:p>
    <w:p>
      <w:pPr>
        <w:spacing w:before="0" w:after="120"/>
      </w:pPr>
      <w:r>
        <w:rPr>
          <w:b/>
        </w:rPr>
        <w:t xml:space="preserve">Source: </w:t>
      </w:r>
      <w:r>
        <w:t>Wiley: Angewandte Chemie International Edition: Table of Contents</w:t>
      </w:r>
      <w:r>
        <w:t xml:space="preserve">    </w:t>
      </w:r>
      <w:r>
        <w:rPr>
          <w:b/>
        </w:rPr>
        <w:t xml:space="preserve">Pub date: </w:t>
      </w:r>
      <w:r>
        <w:t>2026-06-22 14:02:59+00:00</w:t>
      </w:r>
      <w:r>
        <w:t xml:space="preserve">    </w:t>
      </w:r>
      <w:r>
        <w:rPr>
          <w:b/>
        </w:rPr>
        <w:t xml:space="preserve">DOI: </w:t>
      </w:r>
      <w:hyperlink r:id="rId53">
        <w:r>
          <w:rPr>
            <w:color w:val="1155CC"/>
            <w:u w:val="single"/>
          </w:rPr>
          <w:t>10.1002/anie.6487495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哈伯-博世法条件恶劣、能耗高，而电催化硝酸盐还原氨（ENRA）是氨合成的绿色路线，可以作为硝酸锌电池的阴极反应。其发展受到缓慢的中间加氢反应和严重的析氢反应（HER）的限制。在此，我们开发了拓扑工程异构多金属氧酸盐（POM）限制的双金属金属有机骨架（MOF）电催化剂（NH</w:t>
      </w:r>
      <w:r>
        <w:rPr>
          <w:vertAlign w:val="subscript"/>
        </w:rPr>
        <w:t>2</w:t>
      </w:r>
      <w:r>
        <w:t>‐MIL‐53、‐88、‐101)。灵活的NH</w:t>
      </w:r>
      <w:r>
        <w:rPr>
          <w:vertAlign w:val="subscript"/>
        </w:rPr>
        <w:t>2</w:t>
      </w:r>
      <w:r>
        <w:t>‐MIL‐88(FeNi) 能够紧密封装 [PW</w:t>
      </w:r>
      <w:r>
        <w:rPr>
          <w:vertAlign w:val="subscript"/>
        </w:rPr>
        <w:t>12</w:t>
      </w:r>
      <w:r>
        <w:t>氧</w:t>
      </w:r>
      <w:r>
        <w:rPr>
          <w:vertAlign w:val="subscript"/>
        </w:rPr>
        <w:t>40</w:t>
      </w:r>
      <w:r>
        <w:t>]</w:t>
      </w:r>
      <w:r>
        <w:t xml:space="preserve"> </w:t>
      </w:r>
      <w:r>
        <w:t>3−</w:t>
      </w:r>
      <w:r>
        <w:t>（密码</w:t>
      </w:r>
      <w:r>
        <w:rPr>
          <w:vertAlign w:val="subscript"/>
        </w:rPr>
        <w:t>12</w:t>
      </w:r>
      <w:r>
        <w:t>）通过“呼吸效应”聚集，产生PW</w:t>
      </w:r>
      <w:r>
        <w:rPr>
          <w:vertAlign w:val="subscript"/>
        </w:rPr>
        <w:t>12</w:t>
      </w:r>
      <w:r>
        <w:t>@NH</w:t>
      </w:r>
      <w:r>
        <w:rPr>
          <w:vertAlign w:val="subscript"/>
        </w:rPr>
        <w:t>2</w:t>
      </w:r>
      <w:r>
        <w:t>‐MIL‐88(FeNi) 具有协同调制的电子分布和质子转移。结合实验和理论研究表明，受限 PW</w:t>
      </w:r>
      <w:r>
        <w:rPr>
          <w:vertAlign w:val="subscript"/>
        </w:rPr>
        <w:t>12</w:t>
      </w:r>
      <w:r>
        <w:t>诱导 Fe/Ni 中心上的电子重新分布，同时强化 NO</w:t>
      </w:r>
      <w:r>
        <w:rPr>
          <w:vertAlign w:val="subscript"/>
        </w:rPr>
        <w:t>3</w:t>
      </w:r>
      <w:r>
        <w:t>-</w:t>
      </w:r>
      <w:r>
        <w:t>吸附 Fe 并加速 *NO</w:t>
      </w:r>
      <w:r>
        <w:rPr>
          <w:vertAlign w:val="subscript"/>
        </w:rPr>
        <w:t>2</w:t>
      </w:r>
      <w:r>
        <w:t>Ni 上的氢化。除了电子效应之外，PW</w:t>
      </w:r>
      <w:r>
        <w:rPr>
          <w:vertAlign w:val="subscript"/>
        </w:rPr>
        <w:t>12</w:t>
      </w:r>
      <w:r>
        <w:t>放松坚硬的水化层</w:t>
      </w:r>
    </w:p>
    <w:p>
      <w:pPr>
        <w:spacing w:before="0" w:after="200" w:lineRule="auto" w:line="276"/>
      </w:pPr>
      <w:r>
        <w:rPr>
          <w:b/>
        </w:rPr>
        <w:t xml:space="preserve">Abstract (EN): </w:t>
      </w:r>
      <w:r>
        <w:t>The traditional Haber‐Bosch method suffers from harsh conditions and high energy consumption, while electrocatalytic nitrate reduction to ammonia (ENRA) is a green route for ammonia synthesis and can serve as a cathode reaction for Zn−nitrate batteries. Its development is limited by sluggish intermediate hydrogenation and severe hydrogen evolution reaction (HER). Herein, we develop topology‐engineered isomeric polyoxometalate (POM)‐confined bimetallic metal‐organic framework (MOF) electrocatalysts (NH</w:t>
      </w:r>
      <w:r>
        <w:rPr>
          <w:vertAlign w:val="subscript"/>
        </w:rPr>
        <w:t>2</w:t>
      </w:r>
      <w:r>
        <w:t>‐MIL‐53, ‐88, ‐101). Flexible NH</w:t>
      </w:r>
      <w:r>
        <w:rPr>
          <w:vertAlign w:val="subscript"/>
        </w:rPr>
        <w:t>2</w:t>
      </w:r>
      <w:r>
        <w:t>‐MIL‐88(FeNi) enables tight encapsulation of [PW</w:t>
      </w:r>
      <w:r>
        <w:rPr>
          <w:vertAlign w:val="subscript"/>
        </w:rPr>
        <w:t>12</w:t>
      </w:r>
      <w:r>
        <w:t>O</w:t>
      </w:r>
      <w:r>
        <w:rPr>
          <w:vertAlign w:val="subscript"/>
        </w:rPr>
        <w:t>40</w:t>
      </w:r>
      <w:r>
        <w:t>]</w:t>
      </w:r>
      <w:r>
        <w:t xml:space="preserve"> </w:t>
      </w:r>
      <w:r>
        <w:t>3−</w:t>
      </w:r>
      <w:r>
        <w:t>(PW</w:t>
      </w:r>
      <w:r>
        <w:rPr>
          <w:vertAlign w:val="subscript"/>
        </w:rPr>
        <w:t>12</w:t>
      </w:r>
      <w:r>
        <w:t>) clusters via the “breathing effect”, yielding PW</w:t>
      </w:r>
      <w:r>
        <w:rPr>
          <w:vertAlign w:val="subscript"/>
        </w:rPr>
        <w:t>12</w:t>
      </w:r>
      <w:r>
        <w:t>@NH</w:t>
      </w:r>
      <w:r>
        <w:rPr>
          <w:vertAlign w:val="subscript"/>
        </w:rPr>
        <w:t>2</w:t>
      </w:r>
      <w:r>
        <w:t>‐MIL‐88(FeNi) with synergistically modulated electronic distribution and proton transfer. Combined experimental and theoretical studies reveal that confined PW</w:t>
      </w:r>
      <w:r>
        <w:rPr>
          <w:vertAlign w:val="subscript"/>
        </w:rPr>
        <w:t>12</w:t>
      </w:r>
      <w:r>
        <w:t>induces electronic redistribution over Fe/Ni centers, concurrently strengthening NO</w:t>
      </w:r>
      <w:r>
        <w:rPr>
          <w:vertAlign w:val="subscript"/>
        </w:rPr>
        <w:t>3</w:t>
      </w:r>
      <w:r>
        <w:t>−</w:t>
      </w:r>
      <w:r>
        <w:t>adsorption on Fe and accelerating *NO</w:t>
      </w:r>
      <w:r>
        <w:rPr>
          <w:vertAlign w:val="subscript"/>
        </w:rPr>
        <w:t>2</w:t>
      </w:r>
      <w:r>
        <w:t>hydrogenation on Ni. Beyond electronic effects, PW</w:t>
      </w:r>
      <w:r>
        <w:rPr>
          <w:vertAlign w:val="subscript"/>
        </w:rPr>
        <w:t>12</w:t>
      </w:r>
      <w:r>
        <w:t>loosens the rigid hydration layer and forms conjugated acid‐base pairs with MOF amino groups, promoting proton diffusion, boosting *NO</w:t>
      </w:r>
      <w:r>
        <w:rPr>
          <w:vertAlign w:val="subscript"/>
        </w:rPr>
        <w:t>2</w:t>
      </w:r>
      <w:r>
        <w:t>hydrogenation, and suppressing HER. Thus, PW</w:t>
      </w:r>
      <w:r>
        <w:rPr>
          <w:vertAlign w:val="subscript"/>
        </w:rPr>
        <w:t>12</w:t>
      </w:r>
      <w:r>
        <w:t>@NH</w:t>
      </w:r>
      <w:r>
        <w:rPr>
          <w:vertAlign w:val="subscript"/>
        </w:rPr>
        <w:t>2</w:t>
      </w:r>
      <w:r>
        <w:t>‐MIL‐88(FeNi) achieves an NH</w:t>
      </w:r>
      <w:r>
        <w:rPr>
          <w:vertAlign w:val="subscript"/>
        </w:rPr>
        <w:t>3</w:t>
      </w:r>
      <w:r>
        <w:t>yield rate of 20.1 mg h</w:t>
      </w:r>
      <w:r>
        <w:t xml:space="preserve"> </w:t>
      </w:r>
      <w:r>
        <w:t>−1</w:t>
      </w:r>
      <w:r>
        <w:t xml:space="preserve"> </w:t>
      </w:r>
      <w:r>
        <w:t>mg</w:t>
      </w:r>
      <w:r>
        <w:t xml:space="preserve"> </w:t>
      </w:r>
      <w:r>
        <w:t>cat.</w:t>
      </w:r>
      <w:r>
        <w:t xml:space="preserve"> </w:t>
      </w:r>
      <w:r>
        <w:t>−1</w:t>
      </w:r>
      <w:r>
        <w:t xml:space="preserve"> </w:t>
      </w:r>
      <w:r>
        <w:t>with a Faradaic efficiency of 98.6% under neutral electrolytes. When used as a cathode in rechargeable Zn−nitrate batteries, it delivers a peak power density of 13.2 mW cm</w:t>
      </w:r>
      <w:r>
        <w:t xml:space="preserve"> </w:t>
      </w:r>
      <w:r>
        <w:t>−2</w:t>
      </w:r>
      <w:r>
        <w:t xml:space="preserve"> </w:t>
      </w:r>
      <w:r>
        <w:t>. This study establishes a generalizable paradigm for engineering interfacial proton transport and electronic properties</w:t>
      </w:r>
      <w:r>
        <w:t xml:space="preserve"> </w:t>
      </w:r>
      <w:r>
        <w:t>via</w:t>
      </w:r>
      <w:r>
        <w:t xml:space="preserve"> </w:t>
      </w:r>
      <w:r>
        <w:t>POM confinement in MOFs.</w:t>
      </w:r>
    </w:p>
    <w:p>
      <w:pPr>
        <w:spacing w:before="120" w:after="120"/>
      </w:pPr>
      <w:r>
        <w:rPr>
          <w:sz w:val="18"/>
        </w:rPr>
        <w:t>——————————————————————————————————————————————————————————————————————</w:t>
      </w:r>
    </w:p>
    <w:p>
      <w:pPr>
        <w:spacing w:before="160" w:after="40" w:line="240" w:lineRule="auto"/>
      </w:pPr>
      <w:r>
        <w:rPr>
          <w:b/>
        </w:rPr>
        <w:t xml:space="preserve">[6] </w:t>
      </w:r>
      <w:hyperlink r:id="rId54">
        <w:r>
          <w:rPr>
            <w:color w:val="1155CC"/>
            <w:u w:val="single"/>
          </w:rPr>
          <w:t>通过原位形成的无序相中氟诱导电子结构调制实现持久阴离子氧化还原的设计策略（Adv. Mater. 35/2026）</w:t>
        </w:r>
      </w:hyperlink>
    </w:p>
    <w:p>
      <w:pPr>
        <w:spacing w:before="0" w:after="80"/>
      </w:pPr>
      <w:r>
        <w:rPr>
          <w:i/>
          <w:sz w:val="20"/>
        </w:rPr>
        <w:t>EN: A Design Strategy for Durable Anionic Redox via Fluorine‐Induced Electronic Structure Modulation in In Situ Formed Disordered Phases (Adv. Mater. 35/2026)</w:t>
      </w:r>
    </w:p>
    <w:p>
      <w:pPr>
        <w:spacing w:before="0" w:after="120"/>
      </w:pPr>
      <w:r>
        <w:rPr>
          <w:b/>
        </w:rPr>
        <w:t xml:space="preserve">Source: </w:t>
      </w:r>
      <w:r>
        <w:t>Wiley: Advanced Materials: Table of Contents</w:t>
      </w:r>
      <w:r>
        <w:t xml:space="preserve">    </w:t>
      </w:r>
      <w:r>
        <w:rPr>
          <w:b/>
        </w:rPr>
        <w:t xml:space="preserve">Pub date: </w:t>
      </w:r>
      <w:r>
        <w:t>2026-06-23 07:28:09+00:00</w:t>
      </w:r>
      <w:r>
        <w:t xml:space="preserve">    </w:t>
      </w:r>
      <w:r>
        <w:rPr>
          <w:b/>
        </w:rPr>
        <w:t xml:space="preserve">DOI: </w:t>
      </w:r>
      <w:hyperlink r:id="rId55">
        <w:r>
          <w:rPr>
            <w:color w:val="1155CC"/>
            <w:u w:val="single"/>
          </w:rPr>
          <w:t>10.1002/adma.73706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56">
        <w:r>
          <w:rPr>
            <w:color w:val="1155CC"/>
            <w:u w:val="single"/>
          </w:rPr>
          <w:t>由离子液体电解质添加剂实现的高性能、免活化镁离子电池</w:t>
        </w:r>
      </w:hyperlink>
    </w:p>
    <w:p>
      <w:pPr>
        <w:spacing w:before="0" w:after="80"/>
      </w:pPr>
      <w:r>
        <w:rPr>
          <w:i/>
          <w:sz w:val="20"/>
        </w:rPr>
        <w:t>EN: High‐Performance, Activation‐Free Magnesium‐Ion Batteries Enabled by Ionic Liquid Electrolyte Additive</w:t>
      </w:r>
    </w:p>
    <w:p>
      <w:pPr>
        <w:spacing w:before="0" w:after="120"/>
      </w:pPr>
      <w:r>
        <w:rPr>
          <w:b/>
        </w:rPr>
        <w:t xml:space="preserve">Source: </w:t>
      </w:r>
      <w:r>
        <w:t>Wiley: Angewandte Chemie International Edition: Table of Contents</w:t>
      </w:r>
      <w:r>
        <w:t xml:space="preserve">    </w:t>
      </w:r>
      <w:r>
        <w:rPr>
          <w:b/>
        </w:rPr>
        <w:t xml:space="preserve">Pub date: </w:t>
      </w:r>
      <w:r>
        <w:t>2026-06-23 07:40:16+00:00</w:t>
      </w:r>
      <w:r>
        <w:t xml:space="preserve">    </w:t>
      </w:r>
      <w:r>
        <w:rPr>
          <w:b/>
        </w:rPr>
        <w:t xml:space="preserve">DOI: </w:t>
      </w:r>
      <w:hyperlink r:id="rId57">
        <w:r>
          <w:rPr>
            <w:color w:val="1155CC"/>
            <w:u w:val="single"/>
          </w:rPr>
          <w:t>10.1002/anie.7580996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镁离子电池（MIB）作为一种极具前景的下一代储能技术，受益于高理论体积容量（3833 mAh L</w:t>
      </w:r>
      <w:r>
        <w:t xml:space="preserve"> </w:t>
      </w:r>
      <w:r>
        <w:t>−1</w:t>
      </w:r>
      <w:r>
        <w:t xml:space="preserve"> </w:t>
      </w:r>
      <w:r>
        <w:t>）的金属镁及其本质安全性。然而，其商业化仍然受到循环过程中缓慢的去溶剂化动力学的阻碍，这延长了达到最大容量的激活时间并损害了倍率性能。为了克服这个瓶颈，我们添加了 4-乙基-4-甲基吗啉鎓阳离子（EMM</w:t>
      </w:r>
      <w:r>
        <w:t xml:space="preserve"> </w:t>
      </w:r>
      <w:r>
        <w:t>+</w:t>
      </w:r>
      <w:r>
        <w:t xml:space="preserve"> </w:t>
      </w:r>
      <w:r>
        <w:t>）作为传统全苯基络合物（APC）电解质中的添加剂。密度泛函理论计算证实 EMM</w:t>
      </w:r>
      <w:r>
        <w:t xml:space="preserve"> </w:t>
      </w:r>
      <w:r>
        <w:t>+</w:t>
      </w:r>
      <w:r>
        <w:t xml:space="preserve"> </w:t>
      </w:r>
      <w:r>
        <w:t>对氯离子 (−0.513 eV) 有很强的亲和力，这会削弱 Mg-Cl 配位，从而促进 Mg</w:t>
      </w:r>
      <w:r>
        <w:t xml:space="preserve"> </w:t>
      </w:r>
      <w:r>
        <w:t>2+</w:t>
      </w:r>
      <w:r>
        <w:t xml:space="preserve"> </w:t>
      </w:r>
      <w:r>
        <w:t>去溶剂化。在 CuS 基 MIB 中，改进的 APC-EMM 电解质消除了纯 APC 所需的活化循环，并实现了 405.1 mAh g 的高比容量</w:t>
      </w:r>
      <w:r>
        <w:t xml:space="preserve"> </w:t>
      </w:r>
      <w:r>
        <w:t>−1</w:t>
      </w:r>
      <w:r>
        <w:t xml:space="preserve"> </w:t>
      </w:r>
      <w:r>
        <w:t>100 mA g时</w:t>
      </w:r>
      <w:r>
        <w:t xml:space="preserve"> </w:t>
      </w:r>
      <w:r>
        <w:t>−1</w:t>
      </w:r>
      <w:r>
        <w:t xml:space="preserve"> </w:t>
      </w:r>
      <w:r>
        <w:t>，同时保持优异的倍率性能（220.1 mAh g</w:t>
      </w:r>
      <w:r>
        <w:t xml:space="preserve"> </w:t>
      </w:r>
      <w:r>
        <w:t>−1</w:t>
      </w:r>
      <w:r>
        <w:t xml:space="preserve"> </w:t>
      </w:r>
      <w:r>
        <w:t>1 A g时</w:t>
      </w:r>
      <w:r>
        <w:t xml:space="preserve"> </w:t>
      </w:r>
      <w:r>
        <w:t>−1</w:t>
      </w:r>
      <w:r>
        <w:t xml:space="preserve"> </w:t>
      </w:r>
      <w:r>
        <w:t>）。值得注意的是，当应用于其他正极材料（包括 CuSe、Cu）时，该电解质还显示出容量、活化动力学和循环稳定性的显着改善。</w:t>
      </w:r>
      <w:r>
        <w:rPr>
          <w:vertAlign w:val="subscript"/>
        </w:rPr>
        <w:t>7</w:t>
      </w:r>
    </w:p>
    <w:p>
      <w:pPr>
        <w:spacing w:before="0" w:after="200" w:lineRule="auto" w:line="276"/>
      </w:pPr>
      <w:r>
        <w:rPr>
          <w:b/>
        </w:rPr>
        <w:t xml:space="preserve">Abstract (EN): </w:t>
      </w:r>
      <w:r>
        <w:t>Magnesium‐ion batteries (MIBs), as a highly promising next‐generation energy storage technology, benefit from the high theoretical volumetric capacity (3833 mAh L</w:t>
      </w:r>
      <w:r>
        <w:t xml:space="preserve"> </w:t>
      </w:r>
      <w:r>
        <w:t>−1</w:t>
      </w:r>
      <w:r>
        <w:t xml:space="preserve"> </w:t>
      </w:r>
      <w:r>
        <w:t>) of magnesium metal and its intrinsic safety. However, its commercialization is still hindered by sluggish de‐solvation kinetics during cycling, which prolongs the activation periods to reach maximum capacity and impairs rate performance. To overcome this bottleneck, we add 4‐ethyl‐4‐methylmorpholinium cation (EMM</w:t>
      </w:r>
      <w:r>
        <w:t xml:space="preserve"> </w:t>
      </w:r>
      <w:r>
        <w:t>+</w:t>
      </w:r>
      <w:r>
        <w:t xml:space="preserve"> </w:t>
      </w:r>
      <w:r>
        <w:t>) as an additive into the conventional all‐phenyl‐complex (APC) electrolyte. Density functional theory computations confirm that EMM</w:t>
      </w:r>
      <w:r>
        <w:t xml:space="preserve"> </w:t>
      </w:r>
      <w:r>
        <w:t>+</w:t>
      </w:r>
      <w:r>
        <w:t xml:space="preserve"> </w:t>
      </w:r>
      <w:r>
        <w:t>shows a strong affinity for chloride ions (−0.513 eV), which weakens the Mg–Cl coordination and, thus promotes Mg</w:t>
      </w:r>
      <w:r>
        <w:t xml:space="preserve"> </w:t>
      </w:r>
      <w:r>
        <w:t>2+</w:t>
      </w:r>
      <w:r>
        <w:t xml:space="preserve"> </w:t>
      </w:r>
      <w:r>
        <w:t>de‐solvation. In CuS‐based MIBs, the modified APC‐EMM electrolyte eliminates the activation cycles that are required with pure APC, and achieves a high specific capacity of 405.1 mAh g</w:t>
      </w:r>
      <w:r>
        <w:t xml:space="preserve"> </w:t>
      </w:r>
      <w:r>
        <w:t>−1</w:t>
      </w:r>
      <w:r>
        <w:t xml:space="preserve"> </w:t>
      </w:r>
      <w:r>
        <w:t>at 100 mA g</w:t>
      </w:r>
      <w:r>
        <w:t xml:space="preserve"> </w:t>
      </w:r>
      <w:r>
        <w:t>−1</w:t>
      </w:r>
      <w:r>
        <w:t xml:space="preserve"> </w:t>
      </w:r>
      <w:r>
        <w:t>, while maintaining excellent rate performance (220.1 mAh g</w:t>
      </w:r>
      <w:r>
        <w:t xml:space="preserve"> </w:t>
      </w:r>
      <w:r>
        <w:t>−1</w:t>
      </w:r>
      <w:r>
        <w:t xml:space="preserve"> </w:t>
      </w:r>
      <w:r>
        <w:t>at 1 A g</w:t>
      </w:r>
      <w:r>
        <w:t xml:space="preserve"> </w:t>
      </w:r>
      <w:r>
        <w:t>−1</w:t>
      </w:r>
      <w:r>
        <w:t xml:space="preserve"> </w:t>
      </w:r>
      <w:r>
        <w:t>). Notably, this electrolyte also shows significant improvements in capacity, activation kinetics, and cycling stability when applied to other cathode materials, including CuSe, Cu</w:t>
      </w:r>
      <w:r>
        <w:rPr>
          <w:vertAlign w:val="subscript"/>
        </w:rPr>
        <w:t>7</w:t>
      </w:r>
      <w:r>
        <w:t>Te</w:t>
      </w:r>
      <w:r>
        <w:rPr>
          <w:vertAlign w:val="subscript"/>
        </w:rPr>
        <w:t>4</w:t>
      </w:r>
      <w:r>
        <w:t>, Mo</w:t>
      </w:r>
      <w:r>
        <w:rPr>
          <w:vertAlign w:val="subscript"/>
        </w:rPr>
        <w:t>6</w:t>
      </w:r>
      <w:r>
        <w:t>S</w:t>
      </w:r>
      <w:r>
        <w:rPr>
          <w:vertAlign w:val="subscript"/>
        </w:rPr>
        <w:t>8</w:t>
      </w:r>
      <w:r>
        <w:t>, and perylene‐3,4,9,10‐tetracarboxylic dianhydride. This study establishes a de‐solvation‐accelerated electrolyte design concept as a universal paradigm for the development of high‐performance MIBs.</w:t>
      </w:r>
    </w:p>
    <w:p>
      <w:pPr>
        <w:spacing w:before="120" w:after="120"/>
      </w:pPr>
      <w:r>
        <w:rPr>
          <w:sz w:val="18"/>
        </w:rPr>
        <w:t>——————————————————————————————————————————————————————————————————————</w:t>
      </w:r>
    </w:p>
    <w:p>
      <w:pPr>
        <w:spacing w:before="160" w:after="40" w:line="240" w:lineRule="auto"/>
      </w:pPr>
      <w:r>
        <w:rPr>
          <w:b/>
        </w:rPr>
        <w:t xml:space="preserve">[8] </w:t>
      </w:r>
      <w:hyperlink r:id="rId58">
        <w:r>
          <w:rPr>
            <w:color w:val="1155CC"/>
            <w:u w:val="single"/>
          </w:rPr>
          <w:t>用于长循环固态锂金属电池的机械集成梯度电解质</w:t>
        </w:r>
      </w:hyperlink>
    </w:p>
    <w:p>
      <w:pPr>
        <w:spacing w:before="0" w:after="80"/>
      </w:pPr>
      <w:r>
        <w:rPr>
          <w:i/>
          <w:sz w:val="20"/>
        </w:rPr>
        <w:t>EN: A mechano-integrated gradient electrolyte for long-cycling solid-state lithium metal batteries</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克服界面机械电化学故障仍然是固态锂金属电池的一个基本挑战，其中聚合物提供共形界面接触，但离子电导率较低，而氧化物/硫化物提供高离子电导率，但面临严重的界面问题。在这里，我们展示了一种基于具有双扩链剂的氢键聚氨酯基质的机械集成梯度电解质。聚氨酯基体表现出高粘弹性（&gt;5000%断裂应变）和自修复性，允许高填料负载和连续三相锂离子渗滤网络。空间梯度 Li1.3Al0.3Ti1.7(PO4)3 结构 (10–100 wt%) 解耦了界面要求：与锂金属负极的保形接触、高离子电导率 (~10−4 S cm−1) 和高达 4.9 V 的电化学稳定性窗口。同源聚合物框架消除了化学机械降解，同时提供机械强度 (&gt;80 MPa) 和溶液加工性。这种集成设计可抑制界面分层和枝晶生长（&gt;7500 小时的稳定锂沉积/剥离），并减轻正极退化（Li | |LiFePO4 电池在 0.5 C 下循环 1000 次后容量保持率为 74%，并且在无堆压 NCM811 软包电池中稳定运行）。这项工作为高能量密度、长寿命的固态锂金属电池提供了一个可扩展的平台。</w:t>
      </w:r>
    </w:p>
    <w:p>
      <w:pPr>
        <w:spacing w:before="0" w:after="200" w:lineRule="auto" w:line="276"/>
      </w:pPr>
      <w:r>
        <w:rPr>
          <w:b/>
        </w:rPr>
        <w:t xml:space="preserve">Abstract (EN): </w:t>
      </w:r>
      <w:r>
        <w:t>Overcoming interfacial mechano-electrochemical failure remains a fundamental challenge in solid-state lithium metal batteries, where polymers offer conformal interfacial contact but suffer from low ionic conductivity, while oxides/sulfides provide high ionic conductivity but face severe interfacial issues. Here we show a mechano-integrated gradient electrolyte based on a hydrogen-bonded polyurethane matrix with dual chain extenders. The polyurethane matrix exhibits high viscoelasticity (&gt;5000% fracture strain) and self-healing, allowing high filler loading and continuous triphasic lithium-ion percolation networks. A spatially graded Li1.3Al0.3Ti1.7(PO4)3 architecture (10–100 wt%) decouples interfacial requirements: conformal contact with lithium metal negative electrode, high ionic conductivity (~10−4 S cm−1), and an electrochemical stability window up to 4.9 V. The homologous polymer framework eliminates chemo-mechanical degradation while providing mechanical strength (&gt;80 MPa) and solution processability. This integrated design suppresses interfacial delamination and dendrite growth (&gt;7500 h of stable lithium plating/stripping), and mitigates positive electrode degradation (74% capacity retention after 1000 cycles in Li | |LiFePO4 cells at 0.5 C and stable operation in stack-pressure-free NCM811 pouch cells). This work provides a scalable platform for high-energy-density, long-lifespan solid-state lithium metal batteries.</w:t>
      </w:r>
    </w:p>
    <w:p>
      <w:pPr>
        <w:spacing w:before="120" w:after="120"/>
      </w:pPr>
      <w:r>
        <w:rPr>
          <w:sz w:val="18"/>
        </w:rPr>
        <w:t>——————————————————————————————————————————————————————————————————————</w:t>
      </w:r>
    </w:p>
    <w:p>
      <w:pPr>
        <w:spacing w:before="160" w:after="40" w:line="240" w:lineRule="auto"/>
      </w:pPr>
      <w:r>
        <w:rPr>
          <w:b/>
        </w:rPr>
        <w:t xml:space="preserve">[9] </w:t>
      </w:r>
      <w:hyperlink r:id="rId59">
        <w:r>
          <w:rPr>
            <w:color w:val="1155CC"/>
            <w:u w:val="single"/>
          </w:rPr>
          <w:t>钠离子电池用铁基钠盐复合正极</w:t>
        </w:r>
      </w:hyperlink>
    </w:p>
    <w:p>
      <w:pPr>
        <w:spacing w:before="0" w:after="80"/>
      </w:pPr>
      <w:r>
        <w:rPr>
          <w:i/>
          <w:sz w:val="20"/>
        </w:rPr>
        <w:t>EN: Iron‐Based Sodium‐Salt Composite Cathode for Sodium‐Ion Batteries</w:t>
      </w:r>
    </w:p>
    <w:p>
      <w:pPr>
        <w:spacing w:before="0" w:after="120"/>
      </w:pPr>
      <w:r>
        <w:rPr>
          <w:b/>
        </w:rPr>
        <w:t xml:space="preserve">Source: </w:t>
      </w:r>
      <w:r>
        <w:t>Wiley: Advanced Energy Materials: Table of Contents</w:t>
      </w:r>
      <w:r>
        <w:t xml:space="preserve">    </w:t>
      </w:r>
      <w:r>
        <w:rPr>
          <w:b/>
        </w:rPr>
        <w:t xml:space="preserve">Pub date: </w:t>
      </w:r>
      <w:r>
        <w:t>2026-06-24 10:33:58+00:00</w:t>
      </w:r>
      <w:r>
        <w:t xml:space="preserve">    </w:t>
      </w:r>
      <w:r>
        <w:rPr>
          <w:b/>
        </w:rPr>
        <w:t xml:space="preserve">DOI: </w:t>
      </w:r>
      <w:hyperlink r:id="rId60">
        <w:r>
          <w:rPr>
            <w:color w:val="1155CC"/>
            <w:u w:val="single"/>
          </w:rPr>
          <w:t>10.1002/aenm.71154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直接使用铁金属粉末作为阴极活性物质是提高可充电电池能量密度和降低成本的变革性机会。然而，要实现这一潜力，需要创造一个可以激活铁氧化还原化学的多电子转移的化学环境。在这里，我们报道了通过球磨 Na 合成的复合材料</w:t>
      </w:r>
      <w:r>
        <w:rPr>
          <w:vertAlign w:val="subscript"/>
        </w:rPr>
        <w:t>2</w:t>
      </w:r>
      <w:r>
        <w:t>SO</w:t>
      </w:r>
      <w:r>
        <w:rPr>
          <w:vertAlign w:val="subscript"/>
        </w:rPr>
        <w:t>4</w:t>
      </w:r>
      <w:r>
        <w:t>、Fe金属和CuS可以直接脱钠作为钠离子电池正极，可提供149 mAh g的可逆放电容量</w:t>
      </w:r>
      <w:r>
        <w:t xml:space="preserve"> </w:t>
      </w:r>
      <w:r>
        <w:t>−1</w:t>
      </w:r>
      <w:r>
        <w:t xml:space="preserve"> </w:t>
      </w:r>
      <w:r>
        <w:t>在~2.6 V 时具有稳定的循环性能。综合光谱表征表明，Fe 作为主要氧化还原中心，而 CuS 作为氧化还原介体。结果表明，球磨形成的异质界面对于电荷转移和高铁利用率至关重要。这项工作通过在复合结构中解锁多电子铁氧化还原，将铁金属钠盐复合材料建立为可行的钠离子电池阴极。</w:t>
      </w:r>
    </w:p>
    <w:p>
      <w:pPr>
        <w:spacing w:before="0" w:after="200" w:lineRule="auto" w:line="276"/>
      </w:pPr>
      <w:r>
        <w:rPr>
          <w:b/>
        </w:rPr>
        <w:t xml:space="preserve">Abstract (EN): </w:t>
      </w:r>
      <w:r>
        <w:t>The use of iron metal powder directly as the cathode active mass is a transformative opportunity to increase energy density and reduce costs for rechargeable batteries. Realizing this potential, however, requires creating a chemical environment that can activate multiple‐electron transfer of iron redox chemistry. Here, we report that the composite synthesized by ball milling Na</w:t>
      </w:r>
      <w:r>
        <w:rPr>
          <w:vertAlign w:val="subscript"/>
        </w:rPr>
        <w:t>2</w:t>
      </w:r>
      <w:r>
        <w:t>SO</w:t>
      </w:r>
      <w:r>
        <w:rPr>
          <w:vertAlign w:val="subscript"/>
        </w:rPr>
        <w:t>4</w:t>
      </w:r>
      <w:r>
        <w:t>, Fe metal, and CuS can be directly desodiated as a sodium‐ion battery cathode, which delivers a reversible discharge capacity of 149 mAh g</w:t>
      </w:r>
      <w:r>
        <w:t xml:space="preserve"> </w:t>
      </w:r>
      <w:r>
        <w:t>−1</w:t>
      </w:r>
      <w:r>
        <w:t xml:space="preserve"> </w:t>
      </w:r>
      <w:r>
        <w:t>at ~2.6 V with stable cycling performance. Comprehensive spectroscopic characterization reveals that Fe serves as the primary redox center, while CuS functions as a redox mediator. The results demonstrate that the heterointerfaces formed by ball milling are critical for charge transfer and high iron utilization. This work establishes iron metal sodium‐salt composites as viable sodium‐ion battery cathodes by unlocking multi‐electron Fe redox within a composite architecture.</w:t>
      </w:r>
    </w:p>
    <w:p>
      <w:pPr>
        <w:spacing w:before="120" w:after="120"/>
      </w:pPr>
      <w:r>
        <w:rPr>
          <w:sz w:val="18"/>
        </w:rPr>
        <w:t>——————————————————————————————————————————————————————————————————————</w:t>
      </w:r>
    </w:p>
    <w:p>
      <w:pPr>
        <w:spacing w:before="160" w:after="40" w:line="240" w:lineRule="auto"/>
      </w:pPr>
      <w:r>
        <w:rPr>
          <w:b/>
        </w:rPr>
        <w:t xml:space="preserve">[10] </w:t>
      </w:r>
      <w:hyperlink r:id="rId61">
        <w:r>
          <w:rPr>
            <w:color w:val="1155CC"/>
            <w:u w:val="single"/>
          </w:rPr>
          <w:t>富锂正极材料中的表面 BO3 构型可实现高度稳定的阴离子氧化还原反应</w:t>
        </w:r>
      </w:hyperlink>
    </w:p>
    <w:p>
      <w:pPr>
        <w:spacing w:before="0" w:after="80"/>
      </w:pPr>
      <w:r>
        <w:rPr>
          <w:i/>
          <w:sz w:val="20"/>
        </w:rPr>
        <w:t>EN: Surface BO3 Configuration in Li‐Rich Cathode Materials Enabling Highly‐Stable Anionic Redox Reactions</w:t>
      </w:r>
    </w:p>
    <w:p>
      <w:pPr>
        <w:spacing w:before="0" w:after="120"/>
      </w:pPr>
      <w:r>
        <w:rPr>
          <w:b/>
        </w:rPr>
        <w:t xml:space="preserve">Source: </w:t>
      </w:r>
      <w:r>
        <w:t>Wiley: Angewandte Chemie International Edition: Table of Contents</w:t>
      </w:r>
      <w:r>
        <w:t xml:space="preserve">    </w:t>
      </w:r>
      <w:r>
        <w:rPr>
          <w:b/>
        </w:rPr>
        <w:t xml:space="preserve">Pub date: </w:t>
      </w:r>
      <w:r>
        <w:t>2026-06-24 13:16:56+00:00</w:t>
      </w:r>
      <w:r>
        <w:t xml:space="preserve">    </w:t>
      </w:r>
      <w:r>
        <w:rPr>
          <w:b/>
        </w:rPr>
        <w:t xml:space="preserve">DOI: </w:t>
      </w:r>
      <w:hyperlink r:id="rId62">
        <w:r>
          <w:rPr>
            <w:color w:val="1155CC"/>
            <w:u w:val="single"/>
          </w:rPr>
          <w:t>10.1002/anie.5674026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富锂锰基层状氧化物（LRMO）由于其高容量和低成本而被认为是下一代高能量密度锂电池的有前途的正极候选材料。然而，它们受到晶格氧释放和表面驱动的结构降解的困扰，导致初始库仑效率低和循环稳定性差。在这里，B异质配位结构被纳入富锂材料中，形成富含BO的约4 nm表面层</w:t>
      </w:r>
      <w:r>
        <w:rPr>
          <w:vertAlign w:val="subscript"/>
        </w:rPr>
        <w:t>3</w:t>
      </w:r>
      <w:r>
        <w:t>单位同时保留 BO</w:t>
      </w:r>
      <w:r>
        <w:rPr>
          <w:vertAlign w:val="subscript"/>
        </w:rPr>
        <w:t>4</w:t>
      </w:r>
      <w:r>
        <w:t>散装内的单位。均为四面体 BO</w:t>
      </w:r>
      <w:r>
        <w:rPr>
          <w:vertAlign w:val="subscript"/>
        </w:rPr>
        <w:t>4</w:t>
      </w:r>
      <w:r>
        <w:t>和三角BO</w:t>
      </w:r>
      <w:r>
        <w:rPr>
          <w:vertAlign w:val="subscript"/>
        </w:rPr>
        <w:t>3</w:t>
      </w:r>
      <w:r>
        <w:t>表现出比过渡金属（TM）─O键（即Mn─O、Ni─O和Co─O）更强的键合相互作用，而表面BO</w:t>
      </w:r>
      <w:r>
        <w:rPr>
          <w:vertAlign w:val="subscript"/>
        </w:rPr>
        <w:t>3</w:t>
      </w:r>
      <w:r>
        <w:t>与散装 BO 相比，B─O 结合进一步增强</w:t>
      </w:r>
      <w:r>
        <w:rPr>
          <w:vertAlign w:val="subscript"/>
        </w:rPr>
        <w:t>4</w:t>
      </w:r>
      <w:r>
        <w:t>，从而牢固地锚定晶格氧以抑制不可逆的氧损失。受益于这种协同异质协调，改进的 LRMO 具有~300 mAh g的高可逆容量</w:t>
      </w:r>
      <w:r>
        <w:t xml:space="preserve"> </w:t>
      </w:r>
      <w:r>
        <w:t>−1</w:t>
      </w:r>
      <w:r>
        <w:t xml:space="preserve"> </w:t>
      </w:r>
      <w:r>
        <w:t>在 0.1C 下，初始库仑效率提高至 93.5%，在 1C 下循环 300 次后容量保持率高达 85.8%。这项工作展示了表面 BO</w:t>
      </w:r>
      <w:r>
        <w:rPr>
          <w:vertAlign w:val="subscript"/>
        </w:rPr>
        <w:t>3</w:t>
      </w:r>
      <w:r>
        <w:t>结构作为协调氧氧化还原活性与长t的有效范例</w:t>
      </w:r>
    </w:p>
    <w:p>
      <w:pPr>
        <w:spacing w:before="0" w:after="200" w:lineRule="auto" w:line="276"/>
      </w:pPr>
      <w:r>
        <w:rPr>
          <w:b/>
        </w:rPr>
        <w:t xml:space="preserve">Abstract (EN): </w:t>
      </w:r>
      <w:r>
        <w:t>Li‐rich Mn‐based layered oxides (LRMOs) are considered promising cathode candidates for next‐generation high‐energy‐density lithium batteries, owing to their high capacity and low cost. However, they are plagued by lattice‐oxygen release and surface‐driven structural degradation, which lead to low initial coulombic efficiency and poor cycling stability. Here, a B‐heterogeneous coordination structure is incorporated into the Li‐rich materials, forming a ≈4 nm surface layer enriched in BO</w:t>
      </w:r>
      <w:r>
        <w:rPr>
          <w:vertAlign w:val="subscript"/>
        </w:rPr>
        <w:t>3</w:t>
      </w:r>
      <w:r>
        <w:t>units while retaining BO</w:t>
      </w:r>
      <w:r>
        <w:rPr>
          <w:vertAlign w:val="subscript"/>
        </w:rPr>
        <w:t>4</w:t>
      </w:r>
      <w:r>
        <w:t>units within the bulk. Both of tetrahedral BO</w:t>
      </w:r>
      <w:r>
        <w:rPr>
          <w:vertAlign w:val="subscript"/>
        </w:rPr>
        <w:t>4</w:t>
      </w:r>
      <w:r>
        <w:t>and trigonal BO</w:t>
      </w:r>
      <w:r>
        <w:rPr>
          <w:vertAlign w:val="subscript"/>
        </w:rPr>
        <w:t>3</w:t>
      </w:r>
      <w:r>
        <w:t>display stronger bonding interaction than those of transition metal (TM)─O bonds (i.e., Mn─O, Ni─O, and Co─O), while surface BO</w:t>
      </w:r>
      <w:r>
        <w:rPr>
          <w:vertAlign w:val="subscript"/>
        </w:rPr>
        <w:t>3</w:t>
      </w:r>
      <w:r>
        <w:t>further strengthens the B─O bonds compared with bulk BO</w:t>
      </w:r>
      <w:r>
        <w:rPr>
          <w:vertAlign w:val="subscript"/>
        </w:rPr>
        <w:t>4</w:t>
      </w:r>
      <w:r>
        <w:t>, thus robustly anchoring lattice oxygen to suppress irreversible oxygen loss. Benefiting from this synergistic heterogeneous coordination, the modified LRMOs deliver a high reversible capacity of ∼300 mAh g</w:t>
      </w:r>
      <w:r>
        <w:t xml:space="preserve"> </w:t>
      </w:r>
      <w:r>
        <w:t>−1</w:t>
      </w:r>
      <w:r>
        <w:t xml:space="preserve"> </w:t>
      </w:r>
      <w:r>
        <w:t>at 0.1C, an enhanced initial Coulombic efficiency of 93.5% and excellent capacity retention of 85.8% after 300 cycles at 1C. This work demonstrates the surface BO</w:t>
      </w:r>
      <w:r>
        <w:rPr>
          <w:vertAlign w:val="subscript"/>
        </w:rPr>
        <w:t>3</w:t>
      </w:r>
      <w:r>
        <w:t>structure as an effective paradigm to reconcile oxygen‐redox activity with long‐term stability in high‐energy‐density lithium batteries.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63">
        <w:r>
          <w:rPr>
            <w:color w:val="1155CC"/>
            <w:u w:val="single"/>
          </w:rPr>
          <w:t>集成聚对亚苯基亚乙烯基和环对亚苯基的径向线性 π 共轭聚合物可增强光电和电化学性能</w:t>
        </w:r>
      </w:hyperlink>
    </w:p>
    <w:p>
      <w:pPr>
        <w:spacing w:before="0" w:after="80"/>
      </w:pPr>
      <w:r>
        <w:rPr>
          <w:i/>
          <w:sz w:val="20"/>
        </w:rPr>
        <w:t>EN: A Radial‐Linear π‐Conjugated Polymer by Integrating Poly(Para‐phenylene Vinylene) and Cycloparaphenylene for Enhanced Optoelectronic and Electrochemical Performance</w:t>
      </w:r>
    </w:p>
    <w:p>
      <w:pPr>
        <w:spacing w:before="0" w:after="120"/>
      </w:pPr>
      <w:r>
        <w:rPr>
          <w:b/>
        </w:rPr>
        <w:t xml:space="preserve">Source: </w:t>
      </w:r>
      <w:r>
        <w:t>Wiley: Angewandte Chemie International Edition: Table of Contents</w:t>
      </w:r>
      <w:r>
        <w:t xml:space="preserve">    </w:t>
      </w:r>
      <w:r>
        <w:rPr>
          <w:b/>
        </w:rPr>
        <w:t xml:space="preserve">Pub date: </w:t>
      </w:r>
      <w:r>
        <w:t>2026-06-21 15:47:46+00:00</w:t>
      </w:r>
      <w:r>
        <w:t xml:space="preserve">    </w:t>
      </w:r>
      <w:r>
        <w:rPr>
          <w:b/>
        </w:rPr>
        <w:t xml:space="preserve">DOI: </w:t>
      </w:r>
      <w:hyperlink r:id="rId64">
        <w:r>
          <w:rPr>
            <w:color w:val="1155CC"/>
            <w:u w:val="single"/>
          </w:rPr>
          <w:t>10.1002/anie.6921317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在此，我们提出了一类新型杂化共轭聚合物，它将[8]环对亚苯基（[8]CPP）直接整合到聚（对亚苯基亚乙烯基）（PPV）框架中，形成π延伸的聚（环（对亚苯基亚乙烯基））（</w:t>
      </w:r>
      <w:r>
        <w:t xml:space="preserve"> </w:t>
      </w:r>
      <w:r>
        <w:t>[8]CPPV</w:t>
      </w:r>
      <w:r>
        <w:t xml:space="preserve"> </w:t>
      </w:r>
      <w:r>
        <w:t>）。综合表征证实了其明确的交替结构。光物理分析揭示了径向 CPP 和线性 PPV π 系统之间曲率驱动的电子耦合，导致吸收范围扩大、发射红移和高荧光量子产率。此外，</w:t>
      </w:r>
      <w:r>
        <w:t xml:space="preserve"> </w:t>
      </w:r>
      <w:r>
        <w:t>[8]CPPV</w:t>
      </w:r>
      <w:r>
        <w:t xml:space="preserve"> </w:t>
      </w:r>
      <w:r>
        <w:t>表现出作为锂离子电池阳极的优异性能，将高初始容量与混合赝电容和扩散控制锂实现的稳定循环相结合</w:t>
      </w:r>
      <w:r>
        <w:t xml:space="preserve"> </w:t>
      </w:r>
      <w:r>
        <w:t>+</w:t>
      </w:r>
      <w:r>
        <w:t xml:space="preserve"> </w:t>
      </w:r>
      <w:r>
        <w:t>存储机制。这些结果确立了</w:t>
      </w:r>
      <w:r>
        <w:t xml:space="preserve"> </w:t>
      </w:r>
      <w:r>
        <w:t>[8]CPPV</w:t>
      </w:r>
      <w:r>
        <w:t xml:space="preserve"> </w:t>
      </w:r>
      <w:r>
        <w:t>作为一种多功能的全碳聚合物框架，可桥接分子纳米环和扩展的π网络，为光电和储能应用提供可调平台。</w:t>
      </w:r>
    </w:p>
    <w:p>
      <w:pPr>
        <w:spacing w:before="0" w:after="200" w:lineRule="auto" w:line="276"/>
      </w:pPr>
      <w:r>
        <w:rPr>
          <w:b/>
        </w:rPr>
        <w:t xml:space="preserve">Abstract (EN): </w:t>
      </w:r>
      <w:r>
        <w:t>Herein, we present a new class of hybrid conjugated polymer that integrates [8]cycloparaphenylene ([8]CPP) directly into poly(para‐phenylene vinylene) (PPV) frameworks, creating a π‐extended poly(cyclo(para‐phenylene vinylene)) (</w:t>
      </w:r>
      <w:r>
        <w:t xml:space="preserve"> </w:t>
      </w:r>
      <w:r>
        <w:t>[8]CPPV</w:t>
      </w:r>
      <w:r>
        <w:t xml:space="preserve"> </w:t>
      </w:r>
      <w:r>
        <w:t>). Comprehensive characterization confirmed its well‐defined alternating structure. Photophysical analyses revealed curvature‐driven electronic coupling between the radial CPP and linear PPV π‐systems, resulting in broadened absorption, red‐shifted emission, and high fluorescence quantum yield. Furthermore,</w:t>
      </w:r>
      <w:r>
        <w:t xml:space="preserve"> </w:t>
      </w:r>
      <w:r>
        <w:t>[8]CPPV</w:t>
      </w:r>
      <w:r>
        <w:t xml:space="preserve"> </w:t>
      </w:r>
      <w:r>
        <w:t>demonstrates excellent performance as a lithium‐ion battery anode, combining high initial capacity with stable cycling enabled by mixed pseudocapacitive and diffusion‐controlled Li</w:t>
      </w:r>
      <w:r>
        <w:t xml:space="preserve"> </w:t>
      </w:r>
      <w:r>
        <w:t>+</w:t>
      </w:r>
      <w:r>
        <w:t xml:space="preserve"> </w:t>
      </w:r>
      <w:r>
        <w:t>storage mechanisms. These results establish</w:t>
      </w:r>
      <w:r>
        <w:t xml:space="preserve"> </w:t>
      </w:r>
      <w:r>
        <w:t>[8]CPPV</w:t>
      </w:r>
      <w:r>
        <w:t xml:space="preserve"> </w:t>
      </w:r>
      <w:r>
        <w:t>as a versatile all‐carbon polymeric framework that bridges molecular nanohoops and extended π‐networks, offering a tunable platform for optoelectronic and energy storage applications.</w:t>
      </w:r>
    </w:p>
    <w:p>
      <w:pPr>
        <w:spacing w:before="120" w:after="120"/>
      </w:pPr>
      <w:r>
        <w:rPr>
          <w:sz w:val="18"/>
        </w:rPr>
        <w:t>——————————————————————————————————————————————————————————————————————</w:t>
      </w:r>
    </w:p>
    <w:p>
      <w:pPr>
        <w:spacing w:before="160" w:after="40" w:line="240" w:lineRule="auto"/>
      </w:pPr>
      <w:r>
        <w:rPr>
          <w:b/>
        </w:rPr>
        <w:t xml:space="preserve">[2] </w:t>
      </w:r>
      <w:hyperlink r:id="rId65">
        <w:r>
          <w:rPr>
            <w:color w:val="1155CC"/>
            <w:u w:val="single"/>
          </w:rPr>
          <w:t>碳材料作为混合锂离子/金属电池的无锂阳极：机理、设计策略、原位表征和前景</w:t>
        </w:r>
      </w:hyperlink>
    </w:p>
    <w:p>
      <w:pPr>
        <w:spacing w:before="0" w:after="80"/>
      </w:pPr>
      <w:r>
        <w:rPr>
          <w:i/>
          <w:sz w:val="20"/>
        </w:rPr>
        <w:t>EN: Carbon Materials as Lithium‐Free Anode for Hybrid Lithium‐Ion/Metal Batteries: Mechanism, Design Strategy, In Situ Characterization, and Prospects</w:t>
      </w:r>
    </w:p>
    <w:p>
      <w:pPr>
        <w:spacing w:before="0" w:after="120"/>
      </w:pPr>
      <w:r>
        <w:rPr>
          <w:b/>
        </w:rPr>
        <w:t xml:space="preserve">Source: </w:t>
      </w:r>
      <w:r>
        <w:t>Wiley: Advanced Materials: Table of Contents</w:t>
      </w:r>
      <w:r>
        <w:t xml:space="preserve">    </w:t>
      </w:r>
      <w:r>
        <w:rPr>
          <w:b/>
        </w:rPr>
        <w:t xml:space="preserve">Pub date: </w:t>
      </w:r>
      <w:r>
        <w:t>2026-06-21 17:21:33+00:00</w:t>
      </w:r>
      <w:r>
        <w:t xml:space="preserve">    </w:t>
      </w:r>
      <w:r>
        <w:rPr>
          <w:b/>
        </w:rPr>
        <w:t xml:space="preserve">DOI: </w:t>
      </w:r>
      <w:hyperlink r:id="rId66">
        <w:r>
          <w:rPr>
            <w:color w:val="1155CC"/>
            <w:u w:val="single"/>
          </w:rPr>
          <w:t>10.1002/adma.202522657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仅依赖锂离子存储的碳基阳极本质上在能量密度方面受到限制，而以锂金属存储为主的系统则存在可逆性差和循环寿命短的问题。混合锂离子/锂金属电池（LIB/LMB）由碳基无锂阳极实现，通过将锂离子嵌入和锂金属电镀/剥离集成在单一框架内，提供了一条有前途的途径。尽管取得了快速进展，但混合LIB/LMB的实际应用仍然受到低库仑效率、不稳定的固体电解质界面、枝晶生长和大体积波动的阻碍。这些挑战从根本上与不可逆的锂损失和界面不稳定性有关，这限制了长期循环和能源效率。在这篇综述中，我们系统地总结了混合LIB/LMB的碳基无锂阳极的最新进展，重点关注（i）混合存储机制，（ii）碳材料的合理设计，（iii）界面工程策略，（iv）原位表征的机理见解，以及（v）对实际部署的关键观点。特别强调库仑效率、锂库存保留和系统级性能之间的关系。该综述为理解混合存储化学提供了统一的框架，并为下一代高能量密度电池的开发提供了战略指导。</w:t>
      </w:r>
    </w:p>
    <w:p>
      <w:pPr>
        <w:spacing w:before="0" w:after="200" w:lineRule="auto" w:line="276"/>
      </w:pPr>
      <w:r>
        <w:rPr>
          <w:b/>
        </w:rPr>
        <w:t xml:space="preserve">Abstract (EN): </w:t>
      </w:r>
      <w:r>
        <w:t>Carbon based anodes that rely solely on Li‐ion storage are inherently limited in energy density, whereas systems dominated by Li‐metal storage suffer from poor reversibility and short cycle life. Hybrid Li‐ion/Li‐metal batteries (LIB/LMBs), enabled by carbon‐based Li‐free anodes, offer a promising pathway by integrating Li‐ion intercalation and Li‐metal plating/stripping within a single framework. Despite rapid progress, the practical implementation of hybrid LIB/LMBs remains hindered by low Coulombic efficiency, unstable solid electrolyte interphase, dendrite growth, and large volume fluctuations. These challenges are fundamentally associated with irreversible Li loss and interfacial instability, which limit long‐term cycling and energy efficiency. In this review, we systematically summarize recent advances in carbon‐based Li‐free anodes for hybrid LIB/LMBs, with a focus on (i) the hybrid storage mechanism, (ii) rational design of carbon materials, (iii) interface engineering strategies, (iv) mechanistic insights from in situ characterization, and (v) critical perspectives toward practical deployment. Particular emphasis is placed on the relationship between Coulombic efficiency, Li inventory retention, and system‐level performance. This review provides a unified framework for understanding hybrid storage chemistry and offers strategic guidance for the development of next‐generation high‐energy‐density batteries.</w:t>
      </w:r>
    </w:p>
    <w:p>
      <w:pPr>
        <w:spacing w:before="120" w:after="120"/>
      </w:pPr>
      <w:r>
        <w:rPr>
          <w:sz w:val="18"/>
        </w:rPr>
        <w:t>——————————————————————————————————————————————————————————————————————</w:t>
      </w:r>
    </w:p>
    <w:p>
      <w:pPr>
        <w:spacing w:before="160" w:after="40" w:line="240" w:lineRule="auto"/>
      </w:pPr>
      <w:r>
        <w:rPr>
          <w:b/>
        </w:rPr>
        <w:t xml:space="preserve">[3] </w:t>
      </w:r>
      <w:hyperlink r:id="rId50">
        <w:r>
          <w:rPr>
            <w:color w:val="1155CC"/>
            <w:u w:val="single"/>
          </w:rPr>
          <w:t>通过拓扑化学电子缓冲实现对称水系电池的水分解抑制高容量双极电极</w:t>
        </w:r>
      </w:hyperlink>
    </w:p>
    <w:p>
      <w:pPr>
        <w:spacing w:before="0" w:after="80"/>
      </w:pPr>
      <w:r>
        <w:rPr>
          <w:i/>
          <w:sz w:val="20"/>
        </w:rPr>
        <w:t>EN: Water‐Splitting‐Suppressed High‐Capacity Bipolar Electrodes Enabled by Topochemical Electron Buffering for Symmetric Aqueous Batteries</w:t>
      </w:r>
    </w:p>
    <w:p>
      <w:pPr>
        <w:spacing w:before="0" w:after="120"/>
      </w:pPr>
      <w:r>
        <w:rPr>
          <w:b/>
        </w:rPr>
        <w:t xml:space="preserve">Source: </w:t>
      </w:r>
      <w:r>
        <w:t>Wiley: Angewandte Chemie International Edition: Table of Contents</w:t>
      </w:r>
      <w:r>
        <w:t xml:space="preserve">    </w:t>
      </w:r>
      <w:r>
        <w:rPr>
          <w:b/>
        </w:rPr>
        <w:t xml:space="preserve">Pub date: </w:t>
      </w:r>
      <w:r>
        <w:t>2026-06-22 13:55:11+00:00</w:t>
      </w:r>
      <w:r>
        <w:t xml:space="preserve">    </w:t>
      </w:r>
      <w:r>
        <w:rPr>
          <w:b/>
        </w:rPr>
        <w:t xml:space="preserve">DOI: </w:t>
      </w:r>
      <w:hyperlink r:id="rId51">
        <w:r>
          <w:rPr>
            <w:color w:val="1155CC"/>
            <w:u w:val="single"/>
          </w:rPr>
          <w:t>10.1002/anie.3350796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采用双极性材料作为电极的对称水电池（SAB）由于其本质安全性和令人满意的容量而引起了极大的关注，但它们仍然存在水分解问题，因此电压窗口很窄。在这项工作中，我们提出了一种新颖的拓扑化学设计，引入电子缓冲器（EB）来控制工作时的电子流，从而有效地减弱电压端流向水分解反应的电子流。仔细的测量证实，由于 EB 效应，用于水分解的电流密度急剧降低。电压端的理论计算验证了涉及 EB 的电极的表面电子密度低于不包含 EB 的电极，证明了该 EB 设计在抑制水分解电荷冲击方面的优越性。因此，基于 EB 组装的 SAB 的充电/放电平台增加了约 0.16 V，以及 80.7 mA h g-1 的高容量</w:t>
      </w:r>
      <w:r>
        <w:t xml:space="preserve"> </w:t>
      </w:r>
      <w:r>
        <w:t>−1</w:t>
      </w:r>
      <w:r>
        <w:t xml:space="preserve"> </w:t>
      </w:r>
      <w:r>
        <w:t>实现了这一目标，优于报道的最先进的水性双极性材料。此外，涉及 EB 的 SAB 的电解质损失减少至不含 EB 的 SAB 的 24%，这验证了通过限制电子路径来抑制水分解。这项工作提供了一种新的思路，通过引入合理的缓冲层来引导电子流，旨在阻止水分解，同时保持储能性能。</w:t>
      </w:r>
    </w:p>
    <w:p>
      <w:pPr>
        <w:spacing w:before="0" w:after="200" w:lineRule="auto" w:line="276"/>
      </w:pPr>
      <w:r>
        <w:rPr>
          <w:b/>
        </w:rPr>
        <w:t xml:space="preserve">Abstract (EN): </w:t>
      </w:r>
      <w:r>
        <w:t>Symmetric aqueous batteries (SABs) that employ bipolar materials as electrodes have attracted tremendous attention due to their intrinsic safety and satisfactory capacity, while they still suffer from water‐splitting and thus a narrow voltage window. In this work, we propose a novel topochemical design of introducing an electron buffer (EB) to control the electron stream when working, which efficiently attenuates the electron flow toward the water‐splitting reactions at the voltage ends. Careful measurements confirm the sharp reduction of current density applied for water‐splitting due to the EB effect. Theoretical calculations for voltage end verify the lower surface electron density of EB‐involved electrode than that of EB‐excluded electrode, demonstrating the superiority of this EB design in suppressing charge shock for water splitting. Consequently, the charging/discharging plateau of the assembled SABs based on EB increases ∼0.16 V, as well as a high capacity of 80.7 mA h g</w:t>
      </w:r>
      <w:r>
        <w:t xml:space="preserve"> </w:t>
      </w:r>
      <w:r>
        <w:t>−1</w:t>
      </w:r>
      <w:r>
        <w:t xml:space="preserve"> </w:t>
      </w:r>
      <w:r>
        <w:t>achieved, which is superior to reported state‐of‐the‐art aqueous bipolar materials. Moreover, the electrolyte loss of EB‐involved SABs reduces to only 24% of that of EB‐excluded SABs, validating suppressed water splitting by confining the electron pathway. This work provides a new thought to guide electron stream through introducing a rational buffer layer, aiming at hindering water splitting while maintaining energy storage performance.</w:t>
      </w:r>
    </w:p>
    <w:p>
      <w:pPr>
        <w:spacing w:before="120" w:after="120"/>
      </w:pPr>
      <w:r>
        <w:rPr>
          <w:sz w:val="18"/>
        </w:rPr>
        <w:t>——————————————————————————————————————————————————————————————————————</w:t>
      </w:r>
    </w:p>
    <w:p>
      <w:pPr>
        <w:spacing w:before="160" w:after="40" w:line="240" w:lineRule="auto"/>
      </w:pPr>
      <w:r>
        <w:rPr>
          <w:b/>
        </w:rPr>
        <w:t xml:space="preserve">[4] </w:t>
      </w:r>
      <w:hyperlink r:id="rId67">
        <w:r>
          <w:rPr>
            <w:color w:val="1155CC"/>
            <w:u w:val="single"/>
          </w:rPr>
          <w:t>极端条件下锌金属电池水凝胶电解质的设计原理、界面调节和人工智能引导机会</w:t>
        </w:r>
      </w:hyperlink>
    </w:p>
    <w:p>
      <w:pPr>
        <w:spacing w:before="0" w:after="80"/>
      </w:pPr>
      <w:r>
        <w:rPr>
          <w:i/>
          <w:sz w:val="20"/>
        </w:rPr>
        <w:t>EN: Design Principles, Interfacial Regulation, and AI-Guided Opportunities of Hydrogel Electrolytes for Zinc Metal Batteries in Extreme Conditions</w:t>
      </w:r>
    </w:p>
    <w:p>
      <w:pPr>
        <w:spacing w:before="0" w:after="120"/>
      </w:pPr>
      <w:r>
        <w:rPr>
          <w:b/>
        </w:rPr>
        <w:t xml:space="preserve">Source: </w:t>
      </w:r>
      <w:r>
        <w:t>RSC - Energy Environ. Sci. latest articles</w:t>
      </w:r>
      <w:r>
        <w:t xml:space="preserve">    </w:t>
      </w:r>
      <w:r>
        <w:rPr>
          <w:b/>
        </w:rPr>
        <w:t xml:space="preserve">Pub date: </w:t>
      </w:r>
      <w:r>
        <w:t>2026-06-22 23:00:00+00:00</w:t>
      </w:r>
    </w:p>
    <w:p>
      <w:pPr>
        <w:spacing w:before="0" w:after="120"/>
      </w:pPr>
      <w:r>
        <w:rPr>
          <w:b/>
        </w:rPr>
        <w:t xml:space="preserve">Notes: </w:t>
      </w:r>
      <w:r>
        <w:t>abstract_source=rsc_html</w:t>
      </w:r>
    </w:p>
    <w:p>
      <w:pPr>
        <w:spacing w:before="0" w:after="80" w:lineRule="auto" w:line="276"/>
      </w:pPr>
      <w:r>
        <w:rPr>
          <w:b/>
        </w:rPr>
        <w:t xml:space="preserve">摘要（ZH）: </w:t>
      </w:r>
      <w:r>
        <w:t>基于水凝胶的锌金属电池（ZMB）代表了一个非常有前途的安全、灵活和可穿戴能源存储系统平台。然而，它们在恶劣环境条件下稳定性不足，极大地阻碍了它们的实际应用。为了克服这些瓶颈，最近的研究开发了一系列有效的策略：引入功能部分来调整氢键网络以提高耐低温性；热稳定和保水结构一体化，增强耐高温能力；动态聚合物网络旨在实现优异的机械强度、自主自愈和均匀的锌沉积。聚合物-水相互作用和离子-溶剂化结构的精细调控可以有效抑制副反应，降低离子传输能垒，扩大电化学稳定性窗口，并支持高电压下的稳定运行。除了分子级设计之外，最近的研究还揭示了热机械-电化学耦合应力对界面化学演化和长期循环可逆性的关键影响。该综述系统地概述了极端环境适应性水凝胶电解质的基本机制、性能改进方法和合理设计原则，重点关注防冻性能、高温稳定性、机械鲁棒性、自修复行为和高电压兼容性。此外，这项工作强调了尚未探索的新兴方向，例如人工智能驱动的</w:t>
      </w:r>
    </w:p>
    <w:p>
      <w:pPr>
        <w:spacing w:before="0" w:after="200" w:lineRule="auto" w:line="276"/>
      </w:pPr>
      <w:r>
        <w:rPr>
          <w:b/>
        </w:rPr>
        <w:t xml:space="preserve">Abstract (EN): </w:t>
      </w:r>
      <w:r>
        <w:t>Hydrogel-based zinc metal batteries (ZMBs) represent a highly promising platform for safe, flexible, and wearable energy storage systems. Nevertheless, their real-world application is greatly hindered by insufficient stability under harsh environmental conditions. To overcome these bottlenecks, recent studies have developed a series of effective strategies: functional moieties are introduced to adjust hydrogen-bonding networks for improved low-temperature resistance; thermally stable and water-retaining structures are integrated to enhance high-temperature endurance; and dynamic polymer networks are designed to achieve excellent mechanical strength, autonomous self-healing, and homogeneous zinc deposition. Fine modulation of polymer-water interactions and ion-solvation structures can effectively inhibit side reactions, reduce ion transport energy barriers, expand electrochemical stability windows, and support stable operation at high voltages. In addition to molecular-level design, recent research has unveiled the critical effects of coupled thermalmechanical-electrochemical stresses on interfacial chemical evolution and long-term cycling reversibility. This review provides a systematic overview of the underlying mechanisms, performance improvement approaches, and rational design principles of extreme-environment-adaptable hydrogel electrolytes, with emphasis on antifreeze properties, high-temperature stability, mechanical robustness, self-healing behavior, and high-voltage compatibility. Furthermore, this work highlights underexplored emerging directions, such as AI-driven optimization of polymer frameworks and electrolyte solvation structures, together with practical industrial concerns including scalable preparation and operational stability under realistic fluctuating conditions. Finally, integrated perspectives are put forward to guide the rational development of multifunctional hydrogel electrolytes, paving the way for durable and reliable next-generation zinc metal batteries capable of operating under extreme conditions.</w:t>
      </w:r>
    </w:p>
    <w:p>
      <w:pPr>
        <w:spacing w:before="120" w:after="120"/>
      </w:pPr>
      <w:r>
        <w:rPr>
          <w:sz w:val="18"/>
        </w:rPr>
        <w:t>——————————————————————————————————————————————————————————————————————</w:t>
      </w:r>
    </w:p>
    <w:p>
      <w:pPr>
        <w:spacing w:before="160" w:after="40" w:line="240" w:lineRule="auto"/>
      </w:pPr>
      <w:r>
        <w:rPr>
          <w:b/>
        </w:rPr>
        <w:t xml:space="preserve">[5] </w:t>
      </w:r>
      <w:hyperlink r:id="rId68">
        <w:r>
          <w:rPr>
            <w:color w:val="1155CC"/>
            <w:u w:val="single"/>
          </w:rPr>
          <w:t>Li成核到导电SEI残基上的空间转移</w:t>
        </w:r>
      </w:hyperlink>
    </w:p>
    <w:p>
      <w:pPr>
        <w:spacing w:before="0" w:after="80"/>
      </w:pPr>
      <w:r>
        <w:rPr>
          <w:i/>
          <w:sz w:val="20"/>
        </w:rPr>
        <w:t>EN: Spatial shift of Li nucleation onto electrically conductive SEI residues</w:t>
      </w:r>
    </w:p>
    <w:p>
      <w:pPr>
        <w:spacing w:before="0" w:after="120"/>
      </w:pPr>
      <w:r>
        <w:rPr>
          <w:b/>
        </w:rPr>
        <w:t xml:space="preserve">Source: </w:t>
      </w:r>
      <w:r>
        <w:t>Joule</w:t>
      </w:r>
      <w:r>
        <w:t xml:space="preserve">    </w:t>
      </w:r>
      <w:r>
        <w:rPr>
          <w:b/>
        </w:rPr>
        <w:t xml:space="preserve">Pub date: </w:t>
      </w:r>
      <w:r>
        <w:t>2026-06-23 00:00:00+00:00</w:t>
      </w:r>
      <w:r>
        <w:t xml:space="preserve">    </w:t>
      </w:r>
      <w:r>
        <w:rPr>
          <w:b/>
        </w:rPr>
        <w:t xml:space="preserve">DOI: </w:t>
      </w:r>
      <w:hyperlink r:id="rId69">
        <w:r>
          <w:rPr>
            <w:color w:val="1155CC"/>
            <w:u w:val="single"/>
          </w:rPr>
          <w:t>10.1016/j.joule.2026.102532</w:t>
        </w:r>
      </w:hyperlink>
    </w:p>
    <w:p>
      <w:pPr>
        <w:spacing w:before="0" w:after="120"/>
      </w:pPr>
      <w:r>
        <w:rPr>
          <w:b/>
        </w:rPr>
        <w:t xml:space="preserve">Notes: </w:t>
      </w:r>
      <w:r>
        <w:t>abstract_source=rss_cell</w:t>
      </w:r>
    </w:p>
    <w:p>
      <w:pPr>
        <w:spacing w:before="0" w:after="80" w:lineRule="auto" w:line="276"/>
      </w:pPr>
      <w:r>
        <w:rPr>
          <w:b/>
        </w:rPr>
        <w:t xml:space="preserve">摘要（ZH）: </w:t>
      </w:r>
      <w:r>
        <w:t>这项工作表明，电池循环过程中留下的 rSEI 层并不是被动副产品。相反，这些层逐渐变得具有电子导电性，并将锂沉积从集电器重新定向到 rSEI 表面，而锂更容易发生电气断开，从而加速电池故障。这项工作强调了 rSEI 作为电池退化的主动驱动因素。</w:t>
      </w:r>
    </w:p>
    <w:p>
      <w:pPr>
        <w:spacing w:before="0" w:after="200" w:lineRule="auto" w:line="276"/>
      </w:pPr>
      <w:r>
        <w:rPr>
          <w:b/>
        </w:rPr>
        <w:t xml:space="preserve">Abstract (EN): </w:t>
      </w:r>
      <w:r>
        <w:t>This work shows that rSEI layers left behind during battery cycling are not passive byproducts. Instead, these layers gradually become electronically conductive and redirect lithium deposition from the current collector to the rSEI surface, where lithium is more susceptible to electrical disconnection, thereby accelerating battery failure. This work highlights rSEI as an active driver of battery degradation.</w:t>
      </w:r>
    </w:p>
    <w:p>
      <w:pPr>
        <w:spacing w:before="120" w:after="120"/>
      </w:pPr>
      <w:r>
        <w:rPr>
          <w:sz w:val="18"/>
        </w:rPr>
        <w:t>——————————————————————————————————————————————————————————————————————</w:t>
      </w:r>
    </w:p>
    <w:p>
      <w:pPr>
        <w:spacing w:before="160" w:after="40" w:line="240" w:lineRule="auto"/>
      </w:pPr>
      <w:r>
        <w:rPr>
          <w:b/>
        </w:rPr>
        <w:t xml:space="preserve">[6] </w:t>
      </w:r>
      <w:hyperlink r:id="rId70">
        <w:r>
          <w:rPr>
            <w:color w:val="1155CC"/>
            <w:u w:val="single"/>
          </w:rPr>
          <w:t>通过耐用高能量密度电池的板载材料诊断来管理硅烧毁</w:t>
        </w:r>
      </w:hyperlink>
    </w:p>
    <w:p>
      <w:pPr>
        <w:spacing w:before="0" w:after="80"/>
      </w:pPr>
      <w:r>
        <w:rPr>
          <w:i/>
          <w:sz w:val="20"/>
        </w:rPr>
        <w:t>EN: Managing silicon burn-out via onboard material diagnostics for durable high-energy density batteries</w:t>
      </w:r>
    </w:p>
    <w:p>
      <w:pPr>
        <w:spacing w:before="0" w:after="120"/>
      </w:pPr>
      <w:r>
        <w:rPr>
          <w:b/>
        </w:rPr>
        <w:t xml:space="preserve">Source: </w:t>
      </w:r>
      <w:r>
        <w:t>Joule</w:t>
      </w:r>
      <w:r>
        <w:t xml:space="preserve">    </w:t>
      </w:r>
      <w:r>
        <w:rPr>
          <w:b/>
        </w:rPr>
        <w:t xml:space="preserve">Pub date: </w:t>
      </w:r>
      <w:r>
        <w:t>2026-06-23 00:00:00+00:00</w:t>
      </w:r>
      <w:r>
        <w:t xml:space="preserve">    </w:t>
      </w:r>
      <w:r>
        <w:rPr>
          <w:b/>
        </w:rPr>
        <w:t xml:space="preserve">DOI: </w:t>
      </w:r>
      <w:hyperlink r:id="rId71">
        <w:r>
          <w:rPr>
            <w:color w:val="1155CC"/>
            <w:u w:val="single"/>
          </w:rPr>
          <w:t>10.1016/j.joule.2026.102531</w:t>
        </w:r>
      </w:hyperlink>
    </w:p>
    <w:p>
      <w:pPr>
        <w:spacing w:before="0" w:after="120"/>
      </w:pPr>
      <w:r>
        <w:rPr>
          <w:b/>
        </w:rPr>
        <w:t xml:space="preserve">Notes: </w:t>
      </w:r>
      <w:r>
        <w:t>abstract_source=rss_cell</w:t>
      </w:r>
    </w:p>
    <w:p>
      <w:pPr>
        <w:spacing w:before="0" w:after="80" w:lineRule="auto" w:line="276"/>
      </w:pPr>
      <w:r>
        <w:rPr>
          <w:b/>
        </w:rPr>
        <w:t xml:space="preserve">摘要（ZH）: </w:t>
      </w:r>
      <w:r>
        <w:t>在石墨阳极中添加硅可以帮助电池存储更多能量，但硅的快速老化往往会迫使保守的操作限制，导致容量无法使用。万等人。研究表明，常规充电数据可以识别硅主导的充电状态窗口并跟踪它如何随着电池老化而变化。这种诊断使电池管理系统能够在硅处于活动状态时应用基于老化的热控制，从而在不牺牲可用容量的情况下保护高能材料。</w:t>
      </w:r>
    </w:p>
    <w:p>
      <w:pPr>
        <w:spacing w:before="0" w:after="200" w:lineRule="auto" w:line="276"/>
      </w:pPr>
      <w:r>
        <w:rPr>
          <w:b/>
        </w:rPr>
        <w:t xml:space="preserve">Abstract (EN): </w:t>
      </w:r>
      <w:r>
        <w:t>Adding silicon to graphite anodes can help batteries store more energy, but silicon’s rapid aging often forces conservative operating limits that leave capacity unused. Wan et al. show that routine charging data can identify the silicon-dominant state-of-charge window and track how it shifts as batteries age. This diagnosis enables battery management systems to apply aging-informed thermal control when silicon is active, protecting high-energy materials without sacrificing usable capacity.</w:t>
      </w:r>
    </w:p>
    <w:p>
      <w:pPr>
        <w:spacing w:before="120" w:after="120"/>
      </w:pPr>
      <w:r>
        <w:rPr>
          <w:sz w:val="18"/>
        </w:rPr>
        <w:t>——————————————————————————————————————————————————————————————————————</w:t>
      </w:r>
    </w:p>
    <w:p>
      <w:pPr>
        <w:spacing w:before="160" w:after="40" w:line="240" w:lineRule="auto"/>
      </w:pPr>
      <w:r>
        <w:rPr>
          <w:b/>
        </w:rPr>
        <w:t xml:space="preserve">[7] </w:t>
      </w:r>
      <w:hyperlink r:id="rId72">
        <w:r>
          <w:rPr>
            <w:color w:val="1155CC"/>
            <w:u w:val="single"/>
          </w:rPr>
          <w:t>通过 Li2ZrF6 添加剂对耐用锂金属电池进行 SEI 的原位构建和修复</w:t>
        </w:r>
      </w:hyperlink>
    </w:p>
    <w:p>
      <w:pPr>
        <w:spacing w:before="0" w:after="80"/>
      </w:pPr>
      <w:r>
        <w:rPr>
          <w:i/>
          <w:sz w:val="20"/>
        </w:rPr>
        <w:t>EN: In-situ construction and repair of SEI via a Li2ZrF6 additive for durable lithium metal batteries</w:t>
      </w:r>
    </w:p>
    <w:p>
      <w:pPr>
        <w:spacing w:before="0" w:after="120"/>
      </w:pPr>
      <w:r>
        <w:rPr>
          <w:b/>
        </w:rPr>
        <w:t xml:space="preserve">Source: </w:t>
      </w:r>
      <w:r>
        <w:t>National Science Review Advance Access</w:t>
      </w:r>
      <w:r>
        <w:t xml:space="preserve">    </w:t>
      </w:r>
      <w:r>
        <w:rPr>
          <w:b/>
        </w:rPr>
        <w:t xml:space="preserve">Pub date: </w:t>
      </w:r>
      <w:r>
        <w:t>2026-06-23 00:00:00+00:00</w:t>
      </w:r>
      <w:r>
        <w:t xml:space="preserve">    </w:t>
      </w:r>
      <w:r>
        <w:rPr>
          <w:b/>
        </w:rPr>
        <w:t xml:space="preserve">DOI: </w:t>
      </w:r>
      <w:hyperlink r:id="rId73">
        <w:r>
          <w:rPr>
            <w:color w:val="1155CC"/>
            <w:u w:val="single"/>
          </w:rPr>
          <w:t>10.1093/nsr/nwag385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74">
        <w:r>
          <w:rPr>
            <w:color w:val="1155CC"/>
            <w:u w:val="single"/>
          </w:rPr>
          <w:t>通过快速微波合成实现超稳定 NH4+ 存储的多电子有机阳极的合理分子设计</w:t>
        </w:r>
      </w:hyperlink>
    </w:p>
    <w:p>
      <w:pPr>
        <w:spacing w:before="0" w:after="80"/>
      </w:pPr>
      <w:r>
        <w:rPr>
          <w:i/>
          <w:sz w:val="20"/>
        </w:rPr>
        <w:t>EN: Rational Molecular Design of a Multi‐Electron Organic Anode via Rapid Microwave Synthesis for Ultrastable NH4+ Storage</w:t>
      </w:r>
    </w:p>
    <w:p>
      <w:pPr>
        <w:spacing w:before="0" w:after="120"/>
      </w:pPr>
      <w:r>
        <w:rPr>
          <w:b/>
        </w:rPr>
        <w:t xml:space="preserve">Source: </w:t>
      </w:r>
      <w:r>
        <w:t>Wiley: Angewandte Chemie International Edition: Table of Contents</w:t>
      </w:r>
      <w:r>
        <w:t xml:space="preserve">    </w:t>
      </w:r>
      <w:r>
        <w:rPr>
          <w:b/>
        </w:rPr>
        <w:t xml:space="preserve">Pub date: </w:t>
      </w:r>
      <w:r>
        <w:t>2026-06-23 08:07:25+00:00</w:t>
      </w:r>
      <w:r>
        <w:t xml:space="preserve">    </w:t>
      </w:r>
      <w:r>
        <w:rPr>
          <w:b/>
        </w:rPr>
        <w:t xml:space="preserve">DOI: </w:t>
      </w:r>
      <w:hyperlink r:id="rId75">
        <w:r>
          <w:rPr>
            <w:color w:val="1155CC"/>
            <w:u w:val="single"/>
          </w:rPr>
          <w:t>10.1002/anie.1957487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铵离子电池（AAIB）是一种很有前景的储能装置，但由于缺乏高性能电极材料而阻碍了其发展。虽然有机小分子具有结构可调性和多样化的氧化还原活性，但它们的应用往往受到繁琐的合成、活性位点不足和在电解质中溶解的限制。在这里，我们通过快速微波途径合成了一种小有机分子 DNQP，其具有多个 C=O/C=N 氧化还原活性中心。该方法完成-NH之间的缩合</w:t>
      </w:r>
      <w:r>
        <w:rPr>
          <w:vertAlign w:val="subscript"/>
        </w:rPr>
        <w:t>2</w:t>
      </w:r>
      <w:r>
        <w:t>和 C=O 在 40 分钟内（相对于溶剂热法为 72 小时），同时引入额外的氧化还原活性 C=N 键并扩展 π 共轭框架。电子结构分析表明，DNQP 具有超窄带隙（1.053 eV）、高度离域的 π 共轭框架以及有利于电荷传输的 π-π 堆叠通道。这些特征与螯合配位存储机制相结合，增强了电子转移、结构稳定性和多电子反应性。结果，DNQP 实现了 79% 的氧化还原位点利用率，提供了 155.9 mAh g-1 的四电子容量</w:t>
      </w:r>
      <w:r>
        <w:t xml:space="preserve"> </w:t>
      </w:r>
      <w:r>
        <w:t>−1</w:t>
      </w:r>
      <w:r>
        <w:t xml:space="preserve"> </w:t>
      </w:r>
      <w:r>
        <w:t>0.1 A g 时</w:t>
      </w:r>
      <w:r>
        <w:t xml:space="preserve"> </w:t>
      </w:r>
      <w:r>
        <w:t>−1</w:t>
      </w:r>
      <w:r>
        <w:t xml:space="preserve"> </w:t>
      </w:r>
      <w:r>
        <w:t>，并在 5 A g 下表现出超过 12,000 次循环的卓越循环性能</w:t>
      </w:r>
      <w:r>
        <w:t xml:space="preserve"> </w:t>
      </w:r>
      <w:r>
        <w:t>−1</w:t>
      </w:r>
      <w:r>
        <w:t xml:space="preserve"> </w:t>
      </w:r>
      <w:r>
        <w:t>。 DNQP//α-MnO</w:t>
      </w:r>
      <w:r>
        <w:rPr>
          <w:vertAlign w:val="subscript"/>
        </w:rPr>
        <w:t>2</w:t>
      </w:r>
      <w:r>
        <w:t>全电池在 2000 次循环后仍保留 99% 的容量。机制研究阐明了</w:t>
      </w:r>
    </w:p>
    <w:p>
      <w:pPr>
        <w:spacing w:before="0" w:after="200" w:lineRule="auto" w:line="276"/>
      </w:pPr>
      <w:r>
        <w:rPr>
          <w:b/>
        </w:rPr>
        <w:t xml:space="preserve">Abstract (EN): </w:t>
      </w:r>
      <w:r>
        <w:t>Aqueous ammonium‐ion batteries (AAIBs) are promising energy storage devices, yet their development is hindered by the lack of high‐performance electrode materials. While small‐organic molecules possess structural tunability and diverse redox activity, their application is often limited by tedious synthesis, insufficient active‐sites, and dissolution in electrolytes. Herein, we synthesize a small‐organic molecule, DNQP, featuring multiple C═O/C═N redox‐active centers, via a rapid microwave route. This method completes the condensation between –NH</w:t>
      </w:r>
      <w:r>
        <w:rPr>
          <w:vertAlign w:val="subscript"/>
        </w:rPr>
        <w:t>2</w:t>
      </w:r>
      <w:r>
        <w:t>and C═O in 40 min (vs. 72 h for solvothermal), simultaneously introducing additional redox‐active C═N bonds and extending the π‐conjugated framework. Electronic structure analyses reveal that DNQP possesses an ultranarrow bandgap (1.053 eV), a highly delocalized π‐conjugated framework, and favorable π–π stacking channels for charge transport. These features, combined with a chelation‐coordination storage mechanism, enhance electron transfer, structural stability, and multi‐electron reactivity. As a result, DNQP achieves 79% redox‐site utilization, delivering a four‐electron capacity of 155.9 mAh g</w:t>
      </w:r>
      <w:r>
        <w:t xml:space="preserve"> </w:t>
      </w:r>
      <w:r>
        <w:t>−1</w:t>
      </w:r>
      <w:r>
        <w:t xml:space="preserve"> </w:t>
      </w:r>
      <w:r>
        <w:t>at 0.1 A g</w:t>
      </w:r>
      <w:r>
        <w:t xml:space="preserve"> </w:t>
      </w:r>
      <w:r>
        <w:t>−1</w:t>
      </w:r>
      <w:r>
        <w:t xml:space="preserve"> </w:t>
      </w:r>
      <w:r>
        <w:t>, and exhibits remarkable cycling performance over 12 000 cycles at 5 A g</w:t>
      </w:r>
      <w:r>
        <w:t xml:space="preserve"> </w:t>
      </w:r>
      <w:r>
        <w:t>−1</w:t>
      </w:r>
      <w:r>
        <w:t xml:space="preserve"> </w:t>
      </w:r>
      <w:r>
        <w:t>. A DNQP//α‐MnO</w:t>
      </w:r>
      <w:r>
        <w:rPr>
          <w:vertAlign w:val="subscript"/>
        </w:rPr>
        <w:t>2</w:t>
      </w:r>
      <w:r>
        <w:t>full‐cell retains 99% capacity after 2000 cycles. Mechanism studies elucidate a reversible two‐step, four‐electron NH</w:t>
      </w:r>
      <w:r>
        <w:rPr>
          <w:vertAlign w:val="subscript"/>
        </w:rPr>
        <w:t>4</w:t>
      </w:r>
      <w:r>
        <w:t>+</w:t>
      </w:r>
      <w:r>
        <w:t xml:space="preserve"> </w:t>
      </w:r>
      <w:r>
        <w:t>storage process governed by N─H⋯O/N─H⋯N H─bonding. This work offers a rational molecular design and rapid synthesis for high‐performance AAIBs organic materials.</w:t>
      </w:r>
    </w:p>
    <w:p>
      <w:pPr>
        <w:spacing w:before="120" w:after="120"/>
      </w:pPr>
      <w:r>
        <w:rPr>
          <w:sz w:val="18"/>
        </w:rPr>
        <w:t>——————————————————————————————————————————————————————————————————————</w:t>
      </w:r>
    </w:p>
    <w:p>
      <w:pPr>
        <w:spacing w:before="160" w:after="40" w:line="240" w:lineRule="auto"/>
      </w:pPr>
      <w:r>
        <w:rPr>
          <w:b/>
        </w:rPr>
        <w:t xml:space="preserve">[9] </w:t>
      </w:r>
      <w:hyperlink r:id="rId76">
        <w:r>
          <w:rPr>
            <w:color w:val="1155CC"/>
            <w:u w:val="single"/>
          </w:rPr>
          <w:t>揭示固体电解质界面的形成和演化机制，实现稳定快速的钠储存</w:t>
        </w:r>
      </w:hyperlink>
    </w:p>
    <w:p>
      <w:pPr>
        <w:spacing w:before="0" w:after="80"/>
      </w:pPr>
      <w:r>
        <w:rPr>
          <w:i/>
          <w:sz w:val="20"/>
        </w:rPr>
        <w:t>EN: Unravelling the Formation and Evolution Mechanism of Solid Electrolyte Interphase Toward Stable and Rapid Sodium Storage</w:t>
      </w:r>
    </w:p>
    <w:p>
      <w:pPr>
        <w:spacing w:before="0" w:after="120"/>
      </w:pPr>
      <w:r>
        <w:rPr>
          <w:b/>
        </w:rPr>
        <w:t xml:space="preserve">Source: </w:t>
      </w:r>
      <w:r>
        <w:t>Wiley: Advanced Materials: Table of Contents</w:t>
      </w:r>
      <w:r>
        <w:t xml:space="preserve">    </w:t>
      </w:r>
      <w:r>
        <w:rPr>
          <w:b/>
        </w:rPr>
        <w:t xml:space="preserve">Pub date: </w:t>
      </w:r>
      <w:r>
        <w:t>2026-06-23 16:32:46+00:00</w:t>
      </w:r>
      <w:r>
        <w:t xml:space="preserve">    </w:t>
      </w:r>
      <w:r>
        <w:rPr>
          <w:b/>
        </w:rPr>
        <w:t xml:space="preserve">DOI: </w:t>
      </w:r>
      <w:hyperlink r:id="rId77">
        <w:r>
          <w:rPr>
            <w:color w:val="1155CC"/>
            <w:u w:val="single"/>
          </w:rPr>
          <w:t>10.1002/adma.73726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钠离子电池（SIB）负极材料的发展受到固体电解质界面（SEI）的不稳定性和不清楚的降解机制的限制，严重限制了其倍率性能和循环寿命。为了应对这些挑战，我们合成了 Co</w:t>
      </w:r>
      <w:r>
        <w:t xml:space="preserve"> </w:t>
      </w:r>
      <w:r>
        <w:t>1.29</w:t>
      </w:r>
      <w:r>
        <w:t xml:space="preserve"> </w:t>
      </w:r>
      <w:r>
        <w:t>镍</w:t>
      </w:r>
      <w:r>
        <w:t xml:space="preserve"> </w:t>
      </w:r>
      <w:r>
        <w:t>1.71</w:t>
      </w:r>
      <w:r>
        <w:t xml:space="preserve"> </w:t>
      </w:r>
      <w:r>
        <w:t>氧</w:t>
      </w:r>
      <w:r>
        <w:rPr>
          <w:vertAlign w:val="subscript"/>
        </w:rPr>
        <w:t>4</w:t>
      </w:r>
      <w:r>
        <w:t>/镍铁</w:t>
      </w:r>
      <w:r>
        <w:rPr>
          <w:vertAlign w:val="subscript"/>
        </w:rPr>
        <w:t>2</w:t>
      </w:r>
      <w:r>
        <w:t>氧</w:t>
      </w:r>
      <w:r>
        <w:rPr>
          <w:vertAlign w:val="subscript"/>
        </w:rPr>
        <w:t>4</w:t>
      </w:r>
      <w:r>
        <w:t>通过高温煅烧三金属层状双氢氧化物制备异质结构作为SIB阳极。密度泛函理论和分子动力学（MD）模拟表明，这种设计可以合理调节阳极的电子结构以及离子的吸收和扩散特性，促进有效的去溶剂化过程并诱导丰富的无机SEI层的定向形成，从而实现快速稳定的钠储存。值得注意的是，通过研究循环过程中SEI成分的变化，我们首次建立了SEI层中关键成分NaF的演变与SIB中特征四阶段（增加-下降-恢复-衰减）容量波动之间的直接相关性。因此，提出了涉及电极/电解质界面时空异质性的电池退化机制的新视角。这些开创性的见解为深入研究提供了重要的理论基础和新视角。</w:t>
      </w:r>
    </w:p>
    <w:p>
      <w:pPr>
        <w:spacing w:before="0" w:after="200" w:lineRule="auto" w:line="276"/>
      </w:pPr>
      <w:r>
        <w:rPr>
          <w:b/>
        </w:rPr>
        <w:t xml:space="preserve">Abstract (EN): </w:t>
      </w:r>
      <w:r>
        <w:t>The development of sodium‐ion battery (SIB) anode materials is limited by the instability of the solid electrolyte interphase (SEI) and unclear degradation mechanisms, which severely restrict their rate performance and cycle life. To address these challenges, we synthesize Co</w:t>
      </w:r>
      <w:r>
        <w:t xml:space="preserve"> </w:t>
      </w:r>
      <w:r>
        <w:t>1.29</w:t>
      </w:r>
      <w:r>
        <w:t xml:space="preserve"> </w:t>
      </w:r>
      <w:r>
        <w:t>Ni</w:t>
      </w:r>
      <w:r>
        <w:t xml:space="preserve"> </w:t>
      </w:r>
      <w:r>
        <w:t>1.71</w:t>
      </w:r>
      <w:r>
        <w:t xml:space="preserve"> </w:t>
      </w:r>
      <w:r>
        <w:t>O</w:t>
      </w:r>
      <w:r>
        <w:rPr>
          <w:vertAlign w:val="subscript"/>
        </w:rPr>
        <w:t>4</w:t>
      </w:r>
      <w:r>
        <w:t>/NiFe</w:t>
      </w:r>
      <w:r>
        <w:rPr>
          <w:vertAlign w:val="subscript"/>
        </w:rPr>
        <w:t>2</w:t>
      </w:r>
      <w:r>
        <w:t>O</w:t>
      </w:r>
      <w:r>
        <w:rPr>
          <w:vertAlign w:val="subscript"/>
        </w:rPr>
        <w:t>4</w:t>
      </w:r>
      <w:r>
        <w:t>heterostructures as SIB anodes through high‐temperature calcination of a tri‐metallic layered double hydroxide. Density functional theory and molecular dynamics (MD) simulations reveal that this design can rationally modulate the electronic structure of anodes, as well as the absorption and diffusion properties of ions, which promote an efficient desolvation process and induce the directional formation of a rich inorganic SEI layer, thereby enabling rapid and stable sodium storage. Notably, by investigating the variation in SEI components during cycling, we have, for the first time, established a direct correlation between the evolution of the key component NaF in the SEI layer and the characteristic four‑stage (increase‑drop‑recovery‑decay) capacity fluctuations in SIBs. Consequently, a new perspective on battery degradation mechanisms involving temporal and spatial heterogeneity at the electrode/electrolyte interface is proposed. These groundbreaking insights offer crucial theoretical foundations and new perspectives for a deeper understanding of interface formation and evolution mechanisms. They also provide valuable guidance for designing high‐performance SIBs through electrode interface engineering strategies.</w:t>
      </w:r>
    </w:p>
    <w:p>
      <w:pPr>
        <w:spacing w:before="120" w:after="120"/>
      </w:pPr>
      <w:r>
        <w:rPr>
          <w:sz w:val="18"/>
        </w:rPr>
        <w:t>——————————————————————————————————————————————————————————————————————</w:t>
      </w:r>
    </w:p>
    <w:p>
      <w:pPr>
        <w:spacing w:before="160" w:after="40" w:line="240" w:lineRule="auto"/>
      </w:pPr>
      <w:r>
        <w:rPr>
          <w:b/>
        </w:rPr>
        <w:t xml:space="preserve">[10] </w:t>
      </w:r>
      <w:hyperlink r:id="rId78">
        <w:r>
          <w:rPr>
            <w:color w:val="1155CC"/>
            <w:u w:val="single"/>
          </w:rPr>
          <w:t>可扩展的 Cr(III) 钝化工程可有效抑制锌向实用 Ah 级水系锌离子电池的逃逸</w:t>
        </w:r>
      </w:hyperlink>
    </w:p>
    <w:p>
      <w:pPr>
        <w:spacing w:before="0" w:after="80"/>
      </w:pPr>
      <w:r>
        <w:rPr>
          <w:i/>
          <w:sz w:val="20"/>
        </w:rPr>
        <w:t>EN: Scalable Cr(III) Passivation Engineering for Effectively Suppressing Zinc Escape Toward Practical Ah‐Level Aqueous Zinc‐Ion Batteries</w:t>
      </w:r>
    </w:p>
    <w:p>
      <w:pPr>
        <w:spacing w:before="0" w:after="120"/>
      </w:pPr>
      <w:r>
        <w:rPr>
          <w:b/>
        </w:rPr>
        <w:t xml:space="preserve">Source: </w:t>
      </w:r>
      <w:r>
        <w:t>Wiley: Advanced Materials: Table of Contents</w:t>
      </w:r>
      <w:r>
        <w:t xml:space="preserve">    </w:t>
      </w:r>
      <w:r>
        <w:rPr>
          <w:b/>
        </w:rPr>
        <w:t xml:space="preserve">Pub date: </w:t>
      </w:r>
      <w:r>
        <w:t>2026-06-23 17:01:25+00:00</w:t>
      </w:r>
      <w:r>
        <w:t xml:space="preserve">    </w:t>
      </w:r>
      <w:r>
        <w:rPr>
          <w:b/>
        </w:rPr>
        <w:t xml:space="preserve">DOI: </w:t>
      </w:r>
      <w:hyperlink r:id="rId79">
        <w:r>
          <w:rPr>
            <w:color w:val="1155CC"/>
            <w:u w:val="single"/>
          </w:rPr>
          <w:t>10.1002/adma.73814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由锌原子逃逸和析氢引起的锌阳极的自腐蚀仍然是水性锌离子电池（AZIB）在可持续能源存储系统中部署的根本障碍。在此，我们开发了一种可扩展的 Cr(III) 钝化策略，该策略构建了超薄（∼100 nm）、致密的 Cr</w:t>
      </w:r>
      <w:r>
        <w:rPr>
          <w:vertAlign w:val="subscript"/>
        </w:rPr>
        <w:t>2</w:t>
      </w:r>
      <w:r>
        <w:t>氧</w:t>
      </w:r>
      <w:r>
        <w:rPr>
          <w:vertAlign w:val="subscript"/>
        </w:rPr>
        <w:t>3</w:t>
      </w:r>
      <w:r>
        <w:t>锌表面上的一层，在各种商业钝化材料中提供最高的锌化学势（6.96 eV）。这种设计建立了陡峭的化学势梯度，显着提高了锌逃逸的能垒，从而减轻了静止条件下的自腐蚀。此外，Cr之间的强静电相互作用</w:t>
      </w:r>
      <w:r>
        <w:rPr>
          <w:vertAlign w:val="subscript"/>
        </w:rPr>
        <w:t>2</w:t>
      </w:r>
      <w:r>
        <w:t>氧</w:t>
      </w:r>
      <w:r>
        <w:rPr>
          <w:vertAlign w:val="subscript"/>
        </w:rPr>
        <w:t>3</w:t>
      </w:r>
      <w:r>
        <w:t>和 [Zn(H</w:t>
      </w:r>
      <w:r>
        <w:rPr>
          <w:vertAlign w:val="subscript"/>
        </w:rPr>
        <w:t>2</w:t>
      </w:r>
      <w:r>
        <w:t>哦）</w:t>
      </w:r>
      <w:r>
        <w:rPr>
          <w:vertAlign w:val="subscript"/>
        </w:rPr>
        <w:t>6</w:t>
      </w:r>
      <w:r>
        <w:t>]</w:t>
      </w:r>
      <w:r>
        <w:t xml:space="preserve"> </w:t>
      </w:r>
      <w:r>
        <w:t>2+</w:t>
      </w:r>
      <w:r>
        <w:t xml:space="preserve"> </w:t>
      </w:r>
      <w:r>
        <w:t>加速锌</w:t>
      </w:r>
      <w:r>
        <w:t xml:space="preserve"> </w:t>
      </w:r>
      <w:r>
        <w:t>2+</w:t>
      </w:r>
      <w:r>
        <w:t xml:space="preserve"> </w:t>
      </w:r>
      <w:r>
        <w:t>去溶剂化和迁移，引导锌沉积在钝化层下方，同时消除溶剂化水分子的干扰。得益于其在循环过程中抑制静态腐蚀和稳定电极界面的能力，该电极实现了超过 7300 小时的显着稳定运行。此外，与商业 MnO 的全电池集成</w:t>
      </w:r>
      <w:r>
        <w:rPr>
          <w:vertAlign w:val="subscript"/>
        </w:rPr>
        <w:t>2</w:t>
      </w:r>
      <w:r>
        <w:t>在 1 Ah 硬壳电池中经过 200 次循环后，容量衰减可以忽略不计</w:t>
      </w:r>
    </w:p>
    <w:p>
      <w:pPr>
        <w:spacing w:before="0" w:after="200" w:lineRule="auto" w:line="276"/>
      </w:pPr>
      <w:r>
        <w:rPr>
          <w:b/>
        </w:rPr>
        <w:t xml:space="preserve">Abstract (EN): </w:t>
      </w:r>
      <w:r>
        <w:t>The self‐corrosion of zinc anodes, caused by zinc atom escape and hydrogen evolution, remains a fundamental obstacle to the deployment of aqueous zinc‐ion batteries (AZIBs) in sustainable energy storage systems. Herein, we develop a scalable Cr(III) passivation strategy that constructs an ultrathin (∼100 nm), dense Cr</w:t>
      </w:r>
      <w:r>
        <w:rPr>
          <w:vertAlign w:val="subscript"/>
        </w:rPr>
        <w:t>2</w:t>
      </w:r>
      <w:r>
        <w:t>O</w:t>
      </w:r>
      <w:r>
        <w:rPr>
          <w:vertAlign w:val="subscript"/>
        </w:rPr>
        <w:t>3</w:t>
      </w:r>
      <w:r>
        <w:t>layer on the zinc surface, delivering the highest zinc chemical potential (6.96 eV) among various commercial passivation materials. This design establishes a steep chemical potential gradient, significantly elevating the energy barrier for zinc escape and thereby mitigating self‐corrosion under resting conditions. Moreover, strong electrostatic interactions between Cr</w:t>
      </w:r>
      <w:r>
        <w:rPr>
          <w:vertAlign w:val="subscript"/>
        </w:rPr>
        <w:t>2</w:t>
      </w:r>
      <w:r>
        <w:t>O</w:t>
      </w:r>
      <w:r>
        <w:rPr>
          <w:vertAlign w:val="subscript"/>
        </w:rPr>
        <w:t>3</w:t>
      </w:r>
      <w:r>
        <w:t>and [Zn(H</w:t>
      </w:r>
      <w:r>
        <w:rPr>
          <w:vertAlign w:val="subscript"/>
        </w:rPr>
        <w:t>2</w:t>
      </w:r>
      <w:r>
        <w:t>O)</w:t>
      </w:r>
      <w:r>
        <w:rPr>
          <w:vertAlign w:val="subscript"/>
        </w:rPr>
        <w:t>6</w:t>
      </w:r>
      <w:r>
        <w:t>]</w:t>
      </w:r>
      <w:r>
        <w:t xml:space="preserve"> </w:t>
      </w:r>
      <w:r>
        <w:t>2+</w:t>
      </w:r>
      <w:r>
        <w:t xml:space="preserve"> </w:t>
      </w:r>
      <w:r>
        <w:t>accelerate Zn</w:t>
      </w:r>
      <w:r>
        <w:t xml:space="preserve"> </w:t>
      </w:r>
      <w:r>
        <w:t>2+</w:t>
      </w:r>
      <w:r>
        <w:t xml:space="preserve"> </w:t>
      </w:r>
      <w:r>
        <w:t>desolvation and migration, guiding zinc to deposit beneath the passivation layer while eliminating interference from solvated water molecules. Benefiting from its ability to inhibit static corrosion and stabilize the electrode interface during cycling, the electrode achieves remarkably stable operation over 7300 h. Furthermore, full‐cell integration with commercial MnO</w:t>
      </w:r>
      <w:r>
        <w:rPr>
          <w:vertAlign w:val="subscript"/>
        </w:rPr>
        <w:t>2</w:t>
      </w:r>
      <w:r>
        <w:t>shows negligible capacity fading over 200 cycles in a 1 Ah hard‐shell battery, and an unprecedented device energy density of 45 Wh kg</w:t>
      </w:r>
      <w:r>
        <w:t xml:space="preserve"> </w:t>
      </w:r>
      <w:r>
        <w:t>−1</w:t>
      </w:r>
      <w:r>
        <w:t xml:space="preserve"> </w:t>
      </w:r>
      <w:r>
        <w:t>is achieved at an ultrahigh capacity up to ∼4 Ah. This work establishes an effective interfacial design that alleviates resting‐state corrosion and enhances cycling stability for promoting the practical application of AZIBs.</w:t>
      </w:r>
    </w:p>
    <w:p>
      <w:pPr>
        <w:spacing w:before="120" w:after="120"/>
      </w:pPr>
      <w:r>
        <w:rPr>
          <w:sz w:val="18"/>
        </w:rPr>
        <w:t>——————————————————————————————————————————————————————————————————————</w:t>
      </w:r>
    </w:p>
    <w:p>
      <w:pPr>
        <w:spacing w:before="160" w:after="40" w:line="240" w:lineRule="auto"/>
      </w:pPr>
      <w:r>
        <w:rPr>
          <w:b/>
        </w:rPr>
        <w:t xml:space="preserve">[11] </w:t>
      </w:r>
      <w:hyperlink r:id="rId58">
        <w:r>
          <w:rPr>
            <w:color w:val="1155CC"/>
            <w:u w:val="single"/>
          </w:rPr>
          <w:t>用于长循环固态锂金属电池的机械集成梯度电解质</w:t>
        </w:r>
      </w:hyperlink>
    </w:p>
    <w:p>
      <w:pPr>
        <w:spacing w:before="0" w:after="80"/>
      </w:pPr>
      <w:r>
        <w:rPr>
          <w:i/>
          <w:sz w:val="20"/>
        </w:rPr>
        <w:t>EN: A mechano-integrated gradient electrolyte for long-cycling solid-state lithium metal batteries</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克服界面机械电化学故障仍然是固态锂金属电池的一个基本挑战，其中聚合物提供共形界面接触，但离子电导率较低，而氧化物/硫化物提供高离子电导率，但面临严重的界面问题。在这里，我们展示了一种基于具有双扩链剂的氢键聚氨酯基质的机械集成梯度电解质。聚氨酯基体表现出高粘弹性（&gt;5000%断裂应变）和自修复性，允许高填料负载和连续三相锂离子渗滤网络。空间梯度 Li1.3Al0.3Ti1.7(PO4)3 结构 (10–100 wt%) 解耦了界面要求：与锂金属负极的保形接触、高离子电导率 (~10−4 S cm−1) 和高达 4.9 V 的电化学稳定性窗口。同源聚合物框架消除了化学机械降解，同时提供机械强度 (&gt;80 MPa) 和溶液加工性。这种集成设计可抑制界面分层和枝晶生长（&gt;7500 小时的稳定锂沉积/剥离），并减轻正极退化（Li | |LiFePO4 电池在 0.5 C 下循环 1000 次后容量保持率为 74%，并且在无堆压 NCM811 软包电池中稳定运行）。这项工作为高能量密度、长寿命的固态锂金属电池提供了一个可扩展的平台。</w:t>
      </w:r>
    </w:p>
    <w:p>
      <w:pPr>
        <w:spacing w:before="0" w:after="200" w:lineRule="auto" w:line="276"/>
      </w:pPr>
      <w:r>
        <w:rPr>
          <w:b/>
        </w:rPr>
        <w:t xml:space="preserve">Abstract (EN): </w:t>
      </w:r>
      <w:r>
        <w:t>Overcoming interfacial mechano-electrochemical failure remains a fundamental challenge in solid-state lithium metal batteries, where polymers offer conformal interfacial contact but suffer from low ionic conductivity, while oxides/sulfides provide high ionic conductivity but face severe interfacial issues. Here we show a mechano-integrated gradient electrolyte based on a hydrogen-bonded polyurethane matrix with dual chain extenders. The polyurethane matrix exhibits high viscoelasticity (&gt;5000% fracture strain) and self-healing, allowing high filler loading and continuous triphasic lithium-ion percolation networks. A spatially graded Li1.3Al0.3Ti1.7(PO4)3 architecture (10–100 wt%) decouples interfacial requirements: conformal contact with lithium metal negative electrode, high ionic conductivity (~10−4 S cm−1), and an electrochemical stability window up to 4.9 V. The homologous polymer framework eliminates chemo-mechanical degradation while providing mechanical strength (&gt;80 MPa) and solution processability. This integrated design suppresses interfacial delamination and dendrite growth (&gt;7500 h of stable lithium plating/stripping), and mitigates positive electrode degradation (74% capacity retention after 1000 cycles in Li | |LiFePO4 cells at 0.5 C and stable operation in stack-pressure-free NCM811 pouch cells). This work provides a scalable platform for high-energy-density, long-lifespan solid-state lithium metal batteries.</w:t>
      </w:r>
    </w:p>
    <w:p>
      <w:pPr>
        <w:spacing w:before="120" w:after="120"/>
      </w:pPr>
      <w:r>
        <w:rPr>
          <w:sz w:val="18"/>
        </w:rPr>
        <w:t>——————————————————————————————————————————————————————————————————————</w:t>
      </w:r>
    </w:p>
    <w:p>
      <w:pPr>
        <w:spacing w:before="160" w:after="40" w:line="240" w:lineRule="auto"/>
      </w:pPr>
      <w:r>
        <w:rPr>
          <w:b/>
        </w:rPr>
        <w:t xml:space="preserve">[12] </w:t>
      </w:r>
      <w:hyperlink r:id="rId80">
        <w:r>
          <w:rPr>
            <w:color w:val="1155CC"/>
            <w:u w:val="single"/>
          </w:rPr>
          <w:t>用于长循环钙金属阳极的氟化烷氧基硼酸盐电解质中水介导的 SEI</w:t>
        </w:r>
      </w:hyperlink>
    </w:p>
    <w:p>
      <w:pPr>
        <w:spacing w:before="0" w:after="80"/>
      </w:pPr>
      <w:r>
        <w:rPr>
          <w:i/>
          <w:sz w:val="20"/>
        </w:rPr>
        <w:t>EN: Water‐Mediated SEI in Fluorinated Alkoxylborate Electrolytes for Long‐Cycling Calcium Metal Anodes</w:t>
      </w:r>
    </w:p>
    <w:p>
      <w:pPr>
        <w:spacing w:before="0" w:after="120"/>
      </w:pPr>
      <w:r>
        <w:rPr>
          <w:b/>
        </w:rPr>
        <w:t xml:space="preserve">Source: </w:t>
      </w:r>
      <w:r>
        <w:t>Wiley: Angewandte Chemie International Edition: Table of Contents</w:t>
      </w:r>
      <w:r>
        <w:t xml:space="preserve">    </w:t>
      </w:r>
      <w:r>
        <w:rPr>
          <w:b/>
        </w:rPr>
        <w:t xml:space="preserve">Pub date: </w:t>
      </w:r>
      <w:r>
        <w:t>2026-06-24 13:06:48+00:00</w:t>
      </w:r>
      <w:r>
        <w:t xml:space="preserve">    </w:t>
      </w:r>
      <w:r>
        <w:rPr>
          <w:b/>
        </w:rPr>
        <w:t xml:space="preserve">DOI: </w:t>
      </w:r>
      <w:hyperlink r:id="rId81">
        <w:r>
          <w:rPr>
            <w:color w:val="1155CC"/>
            <w:u w:val="single"/>
          </w:rPr>
          <w:t>10.1002/anie.6048136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钙金属阳极在可充电电池中的实际应用一直受到表面钝化的阻碍，这阻碍了钙的</w:t>
      </w:r>
      <w:r>
        <w:t xml:space="preserve"> </w:t>
      </w:r>
      <w:r>
        <w:t>2+</w:t>
      </w:r>
      <w:r>
        <w:t xml:space="preserve"> </w:t>
      </w:r>
      <w:r>
        <w:t>运输并诱导不均匀的 Ca 沉积。在此，我们证明引入定制的痕量水（~139 ppm）从根本上改变了最先进的 Ca[B(hfip) 中的界面化学</w:t>
      </w:r>
      <w:r>
        <w:rPr>
          <w:vertAlign w:val="subscript"/>
        </w:rPr>
        <w:t>4</w:t>
      </w:r>
      <w:r>
        <w:t>]</w:t>
      </w:r>
      <w:r>
        <w:rPr>
          <w:vertAlign w:val="subscript"/>
        </w:rPr>
        <w:t>2</w:t>
      </w:r>
      <w:r>
        <w:t>/DME电解液。机理研究表明，微量水不会引发有害的大量副反应，而是稳定地进入 Ca</w:t>
      </w:r>
      <w:r>
        <w:t xml:space="preserve"> </w:t>
      </w:r>
      <w:r>
        <w:t>2+</w:t>
      </w:r>
      <w:r>
        <w:t xml:space="preserve"> </w:t>
      </w:r>
      <w:r>
        <w:t>溶剂化鞘，在循环过程中引导受控的电化学水解途径。该过程产生薄而均匀的双层固体电解质界面（SEI），包括外部有机-无机杂化层和富含CaH的内部无机层</w:t>
      </w:r>
      <w:r>
        <w:rPr>
          <w:vertAlign w:val="subscript"/>
        </w:rPr>
        <w:t>2</w:t>
      </w:r>
      <w:r>
        <w:t>、CaO 和 CaF</w:t>
      </w:r>
      <w:r>
        <w:rPr>
          <w:vertAlign w:val="subscript"/>
        </w:rPr>
        <w:t>2</w:t>
      </w:r>
      <w:r>
        <w:t>，同时并发 H</w:t>
      </w:r>
      <w:r>
        <w:rPr>
          <w:vertAlign w:val="subscript"/>
        </w:rPr>
        <w:t>2</w:t>
      </w:r>
      <w:r>
        <w:t>演化有效地消除了钝化的原生氧化层。因此，这种定制的 SEI 可在 0.2 mA cm 电流下实现高度稳定的 Ca 电镀/剥离超过 400 小时</w:t>
      </w:r>
      <w:r>
        <w:t xml:space="preserve"> </w:t>
      </w:r>
      <w:r>
        <w:t>−2</w:t>
      </w:r>
      <w:r>
        <w:t xml:space="preserve"> </w:t>
      </w:r>
      <w:r>
        <w:t>1 mA cm 下超过 300 小时</w:t>
      </w:r>
      <w:r>
        <w:t xml:space="preserve"> </w:t>
      </w:r>
      <w:r>
        <w:t>−2</w:t>
      </w:r>
      <w:r>
        <w:t xml:space="preserve"> </w:t>
      </w:r>
      <w:r>
        <w:t>。此外，电解质的高阳极稳定性使得各种高压阴极能够在宽电压窗口（高达 4.5 V</w:t>
      </w:r>
    </w:p>
    <w:p>
      <w:pPr>
        <w:spacing w:before="0" w:after="200" w:lineRule="auto" w:line="276"/>
      </w:pPr>
      <w:r>
        <w:rPr>
          <w:b/>
        </w:rPr>
        <w:t xml:space="preserve">Abstract (EN): </w:t>
      </w:r>
      <w:r>
        <w:t>The practical implementation of calcium metal anodes in rechargeable batteries is persistently hindered by surface passivation, which impedes Ca</w:t>
      </w:r>
      <w:r>
        <w:t xml:space="preserve"> </w:t>
      </w:r>
      <w:r>
        <w:t>2+</w:t>
      </w:r>
      <w:r>
        <w:t xml:space="preserve"> </w:t>
      </w:r>
      <w:r>
        <w:t>transport and induces inhomogeneous Ca deposition. Herein, we demonstrate that introducing a tailored trace amount of water (∼139 ppm) fundamentally modifies the interfacial chemistry in a state‐of‐the‐art Ca[B(hfip)</w:t>
      </w:r>
      <w:r>
        <w:rPr>
          <w:vertAlign w:val="subscript"/>
        </w:rPr>
        <w:t>4</w:t>
      </w:r>
      <w:r>
        <w:t>]</w:t>
      </w:r>
      <w:r>
        <w:rPr>
          <w:vertAlign w:val="subscript"/>
        </w:rPr>
        <w:t>2</w:t>
      </w:r>
      <w:r>
        <w:t>/DME electrolyte. Mechanistic investigations reveal that instead of triggering deleterious bulk side reactions, the trace water stably enters Ca</w:t>
      </w:r>
      <w:r>
        <w:t xml:space="preserve"> </w:t>
      </w:r>
      <w:r>
        <w:t>2+</w:t>
      </w:r>
      <w:r>
        <w:t xml:space="preserve"> </w:t>
      </w:r>
      <w:r>
        <w:t>solvation sheath, directing a controlled electrochemical hydrolysis pathway during cycling. This process generates a thin, uniform bilayer solid electrolyte interphase (SEI) comprising an outer hybrid organic‐inorganic layer and an inner inorganic layer rich in CaH</w:t>
      </w:r>
      <w:r>
        <w:rPr>
          <w:vertAlign w:val="subscript"/>
        </w:rPr>
        <w:t>2</w:t>
      </w:r>
      <w:r>
        <w:t>, CaO, and CaF</w:t>
      </w:r>
      <w:r>
        <w:rPr>
          <w:vertAlign w:val="subscript"/>
        </w:rPr>
        <w:t>2</w:t>
      </w:r>
      <w:r>
        <w:t>, while concurrent H</w:t>
      </w:r>
      <w:r>
        <w:rPr>
          <w:vertAlign w:val="subscript"/>
        </w:rPr>
        <w:t>2</w:t>
      </w:r>
      <w:r>
        <w:t>evolution effectively eliminates the passivating native oxide layer. Consequently, this tailored SEI enables highly stable Ca plating/stripping for over 400 h at 0.2 mA cm</w:t>
      </w:r>
      <w:r>
        <w:t xml:space="preserve"> </w:t>
      </w:r>
      <w:r>
        <w:t>−2</w:t>
      </w:r>
      <w:r>
        <w:t xml:space="preserve"> </w:t>
      </w:r>
      <w:r>
        <w:t>and over 300 h at 1 mA cm</w:t>
      </w:r>
      <w:r>
        <w:t xml:space="preserve"> </w:t>
      </w:r>
      <w:r>
        <w:t>−2</w:t>
      </w:r>
      <w:r>
        <w:t xml:space="preserve"> </w:t>
      </w:r>
      <w:r>
        <w:t>. Furthermore, the high anodic stability of the electrolyte enables reliable operation of various high‐voltage cathodes within a wide voltage window (up to 4.5 V) for up to 70 cycles. These results highlight the critical role of a stable SEI for Ca metal anodes, but also illustrate how subtle electrolyte modification can profoundly regulate the interfacial chemistry toward high‐performance multivalent batteries.</w:t>
      </w:r>
    </w:p>
    <w:p>
      <w:pPr>
        <w:spacing w:before="120" w:after="120"/>
      </w:pPr>
      <w:r>
        <w:rPr>
          <w:sz w:val="18"/>
        </w:rPr>
        <w:t>——————————————————————————————————————————————————————————————————————</w:t>
      </w:r>
    </w:p>
    <w:p>
      <w:pPr>
        <w:spacing w:before="160" w:after="40" w:line="240" w:lineRule="auto"/>
      </w:pPr>
      <w:r>
        <w:rPr>
          <w:b/>
        </w:rPr>
        <w:t xml:space="preserve">[13] </w:t>
      </w:r>
      <w:hyperlink r:id="rId82">
        <w:r>
          <w:rPr>
            <w:color w:val="1155CC"/>
            <w:u w:val="single"/>
          </w:rPr>
          <w:t>水凝胶工程界面通过氢键抑制水活性并调节溶剂化稳定锌金属阳极</w:t>
        </w:r>
      </w:hyperlink>
    </w:p>
    <w:p>
      <w:pPr>
        <w:spacing w:before="0" w:after="80"/>
      </w:pPr>
      <w:r>
        <w:rPr>
          <w:i/>
          <w:sz w:val="20"/>
        </w:rPr>
        <w:t>EN: Hydrogel‐Engineered Interface Suppressing Water Activity by Hydrogen Bonds and Regulated Solvation for Stable Zn Metal Anodes</w:t>
      </w:r>
    </w:p>
    <w:p>
      <w:pPr>
        <w:spacing w:before="0" w:after="120"/>
      </w:pPr>
      <w:r>
        <w:rPr>
          <w:b/>
        </w:rPr>
        <w:t xml:space="preserve">Source: </w:t>
      </w:r>
      <w:r>
        <w:t>Wiley: Advanced Energy Materials: Table of Contents</w:t>
      </w:r>
      <w:r>
        <w:t xml:space="preserve">    </w:t>
      </w:r>
      <w:r>
        <w:rPr>
          <w:b/>
        </w:rPr>
        <w:t xml:space="preserve">Pub date: </w:t>
      </w:r>
      <w:r>
        <w:t>2026-06-24 13:39:12+00:00</w:t>
      </w:r>
      <w:r>
        <w:t xml:space="preserve">    </w:t>
      </w:r>
      <w:r>
        <w:rPr>
          <w:b/>
        </w:rPr>
        <w:t xml:space="preserve">DOI: </w:t>
      </w:r>
      <w:hyperlink r:id="rId83">
        <w:r>
          <w:rPr>
            <w:color w:val="1155CC"/>
            <w:u w:val="single"/>
          </w:rPr>
          <w:t>10.1002/aenm.71211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锌金属阳极在水性电解质中的不稳定性主要是由水引起的副反应（例如析氢和腐蚀）引起的，严重限制了水性锌离子电池的寿命。在此，我们提出了一种原位聚合水凝胶涂层策略来设计锌/电解质界面。一种坚固的基于聚丙烯酰胺 (PAM) 的水凝胶层，含有聚乙二醇 (PEG) 和浓氯化锌</w:t>
      </w:r>
      <w:r>
        <w:rPr>
          <w:vertAlign w:val="subscript"/>
        </w:rPr>
        <w:t>2</w:t>
      </w:r>
      <w:r>
        <w:t>直接构建在 Zn 表面上（Zn-PAM/PEG/ZnCl</w:t>
      </w:r>
      <w:r>
        <w:rPr>
          <w:vertAlign w:val="subscript"/>
        </w:rPr>
        <w:t>2</w:t>
      </w:r>
      <w:r>
        <w:t>）。该多功能层可同时抑制水分活度并调节锌</w:t>
      </w:r>
      <w:r>
        <w:t xml:space="preserve"> </w:t>
      </w:r>
      <w:r>
        <w:t>2+</w:t>
      </w:r>
      <w:r>
        <w:t xml:space="preserve"> </w:t>
      </w:r>
      <w:r>
        <w:t>溶剂化结构。具体来说，PAM/PEG网络中丰富的亲水基团通过强氢键固定自由水分子，而Cl</w:t>
      </w:r>
      <w:r>
        <w:t xml:space="preserve"> </w:t>
      </w:r>
      <w:r>
        <w:t>-</w:t>
      </w:r>
      <w:r>
        <w:t>离子部分取代 Zn 初级溶剂化层中的水分子</w:t>
      </w:r>
      <w:r>
        <w:t xml:space="preserve"> </w:t>
      </w:r>
      <w:r>
        <w:t>2+</w:t>
      </w:r>
      <w:r>
        <w:t xml:space="preserve"> </w:t>
      </w:r>
      <w:r>
        <w:t>，有效减少析氢。此外，PEG增强了水凝胶的机械强度和保水能力，确保了卓越的界面稳定性。因此，Zn-PAM/PEG/ZnCl</w:t>
      </w:r>
      <w:r>
        <w:rPr>
          <w:vertAlign w:val="subscript"/>
        </w:rPr>
        <w:t>2</w:t>
      </w:r>
      <w:r>
        <w:t>电极在 1 mA cm 的对称电池中实现了超过 6600 小时（&gt; 9 个月）的非凡循环寿命</w:t>
      </w:r>
      <w:r>
        <w:t xml:space="preserve"> </w:t>
      </w:r>
      <w:r>
        <w:t>−2</w:t>
      </w:r>
      <w:r>
        <w:t xml:space="preserve"> </w:t>
      </w:r>
      <w:r>
        <w:t>和 1 毫安时厘米</w:t>
      </w:r>
      <w:r>
        <w:t xml:space="preserve"> </w:t>
      </w:r>
      <w:r>
        <w:t>−2</w:t>
      </w:r>
      <w:r>
        <w:t xml:space="preserve"> </w:t>
      </w:r>
      <w:r>
        <w:t>。与活性炭搭配使用时</w:t>
      </w:r>
    </w:p>
    <w:p>
      <w:pPr>
        <w:spacing w:before="0" w:after="200" w:lineRule="auto" w:line="276"/>
      </w:pPr>
      <w:r>
        <w:rPr>
          <w:b/>
        </w:rPr>
        <w:t xml:space="preserve">Abstract (EN): </w:t>
      </w:r>
      <w:r>
        <w:t>The instability of zinc metal anodes in aqueous electrolytes, primarily caused by water‐induced side reactions such as hydrogen evolution and corrosion, severely limits the lifespan of aqueous zinc‐ion batteries. Herein, we propose an in situ polymerized hydrogel coating strategy to engineer the Zn/electrolyte interface. A robust polyacrylamide (PAM)‐based hydrogel layer incorporating polyethylene glycol (PEG) and concentrated ZnCl</w:t>
      </w:r>
      <w:r>
        <w:rPr>
          <w:vertAlign w:val="subscript"/>
        </w:rPr>
        <w:t>2</w:t>
      </w:r>
      <w:r>
        <w:t>is constructed directly on the Zn surface (Zn‐PAM/PEG/ZnCl</w:t>
      </w:r>
      <w:r>
        <w:rPr>
          <w:vertAlign w:val="subscript"/>
        </w:rPr>
        <w:t>2</w:t>
      </w:r>
      <w:r>
        <w:t>). This multifunctional layer simultaneously suppresses water activity and regulates Zn</w:t>
      </w:r>
      <w:r>
        <w:t xml:space="preserve"> </w:t>
      </w:r>
      <w:r>
        <w:t>2+</w:t>
      </w:r>
      <w:r>
        <w:t xml:space="preserve"> </w:t>
      </w:r>
      <w:r>
        <w:t>solvation structure. Specifically, the abundant hydrophilic groups in the PAM/PEG networks immobilize free water molecules via strong hydrogen bonding, while Cl</w:t>
      </w:r>
      <w:r>
        <w:t xml:space="preserve"> </w:t>
      </w:r>
      <w:r>
        <w:t>−</w:t>
      </w:r>
      <w:r>
        <w:t>ions partially replace the water molecules in the primary solvation sheath of Zn</w:t>
      </w:r>
      <w:r>
        <w:t xml:space="preserve"> </w:t>
      </w:r>
      <w:r>
        <w:t>2+</w:t>
      </w:r>
      <w:r>
        <w:t xml:space="preserve"> </w:t>
      </w:r>
      <w:r>
        <w:t>, effectively mitigating hydrogen evolution. Furthermore, PEG enhances the mechanical strength and water‐retention capability of the hydrogel, ensuring exceptional interfacial stability. Consequently, the Zn‐PAM/PEG/ZnCl</w:t>
      </w:r>
      <w:r>
        <w:rPr>
          <w:vertAlign w:val="subscript"/>
        </w:rPr>
        <w:t>2</w:t>
      </w:r>
      <w:r>
        <w:t>electrode achieves an extraordinary cycling lifespan exceeding 6600 h (&amp;gt; 9 months) in symmetric cells at 1 mA cm</w:t>
      </w:r>
      <w:r>
        <w:t xml:space="preserve"> </w:t>
      </w:r>
      <w:r>
        <w:t>−2</w:t>
      </w:r>
      <w:r>
        <w:t xml:space="preserve"> </w:t>
      </w:r>
      <w:r>
        <w:t>and 1 mAh cm</w:t>
      </w:r>
      <w:r>
        <w:t xml:space="preserve"> </w:t>
      </w:r>
      <w:r>
        <w:t>−2</w:t>
      </w:r>
      <w:r>
        <w:t xml:space="preserve"> </w:t>
      </w:r>
      <w:r>
        <w:t>. When paired with activated carbon and MnO</w:t>
      </w:r>
      <w:r>
        <w:rPr>
          <w:vertAlign w:val="subscript"/>
        </w:rPr>
        <w:t>2</w:t>
      </w:r>
      <w:r>
        <w:t>electrodes, respectively, the full cells also demonstrate remarkable electrochemical performance and cycling durability. This work provides a profound insight into interfacial chemistry manipulation and offers a feasible approach to developing highly reversible zinc metal anodes for practical energy‐storage applications.</w:t>
      </w:r>
    </w:p>
    <w:p>
      <w:pPr>
        <w:spacing w:before="120" w:after="120"/>
      </w:pPr>
      <w:r>
        <w:rPr>
          <w:sz w:val="18"/>
        </w:rPr>
        <w:t>——————————————————————————————————————————————————————————————————————</w:t>
      </w:r>
    </w:p>
    <w:p>
      <w:pPr>
        <w:spacing w:before="160" w:after="40" w:line="240" w:lineRule="auto"/>
      </w:pPr>
      <w:r>
        <w:rPr>
          <w:b/>
        </w:rPr>
        <w:t xml:space="preserve">[14] </w:t>
      </w:r>
      <w:hyperlink r:id="rId84">
        <w:r>
          <w:rPr>
            <w:color w:val="1155CC"/>
            <w:u w:val="single"/>
          </w:rPr>
          <w:t>全固态锂离子电池中杂质沉积导致的接触损耗</w:t>
        </w:r>
      </w:hyperlink>
    </w:p>
    <w:p>
      <w:pPr>
        <w:spacing w:before="0" w:after="80"/>
      </w:pPr>
      <w:r>
        <w:rPr>
          <w:i/>
          <w:sz w:val="20"/>
        </w:rPr>
        <w:t>EN: Contact loss in all-solid-state Li-ion batteries via deposition of impurities</w:t>
      </w:r>
    </w:p>
    <w:p>
      <w:pPr>
        <w:spacing w:before="0" w:after="120"/>
      </w:pPr>
      <w:r>
        <w:rPr>
          <w:b/>
        </w:rPr>
        <w:t xml:space="preserve">Source: </w:t>
      </w:r>
      <w:r>
        <w:t>Joule</w:t>
      </w:r>
      <w:r>
        <w:t xml:space="preserve">    </w:t>
      </w:r>
      <w:r>
        <w:rPr>
          <w:b/>
        </w:rPr>
        <w:t xml:space="preserve">Pub date: </w:t>
      </w:r>
      <w:r>
        <w:t>2026-06-25 00:00:00+00:00</w:t>
      </w:r>
      <w:r>
        <w:t xml:space="preserve">    </w:t>
      </w:r>
      <w:r>
        <w:rPr>
          <w:b/>
        </w:rPr>
        <w:t xml:space="preserve">DOI: </w:t>
      </w:r>
      <w:hyperlink r:id="rId85">
        <w:r>
          <w:rPr>
            <w:color w:val="1155CC"/>
            <w:u w:val="single"/>
          </w:rPr>
          <w:t>10.1016/j.joule.2026.102539</w:t>
        </w:r>
      </w:hyperlink>
    </w:p>
    <w:p>
      <w:pPr>
        <w:spacing w:before="0" w:after="120"/>
      </w:pPr>
      <w:r>
        <w:rPr>
          <w:b/>
        </w:rPr>
        <w:t xml:space="preserve">Notes: </w:t>
      </w:r>
      <w:r>
        <w:t>abstract_source=rss_cell</w:t>
      </w:r>
    </w:p>
    <w:p>
      <w:pPr>
        <w:spacing w:before="0" w:after="80" w:lineRule="auto" w:line="276"/>
      </w:pPr>
      <w:r>
        <w:rPr>
          <w:b/>
        </w:rPr>
        <w:t xml:space="preserve">摘要（ZH）: </w:t>
      </w:r>
      <w:r>
        <w:t>固态电池中的界面接触损耗通常归因于原始锂（Li）金属在锂-固体电解质界面处形成的空隙。我们发现，锂阳极内的绝缘杂质在剥离过程中积聚在界面处，并形成多孔、机械稳定的层，阻止锂流入电解质。</w:t>
      </w:r>
    </w:p>
    <w:p>
      <w:pPr>
        <w:spacing w:before="0" w:after="200" w:lineRule="auto" w:line="276"/>
      </w:pPr>
      <w:r>
        <w:rPr>
          <w:b/>
        </w:rPr>
        <w:t xml:space="preserve">Abstract (EN): </w:t>
      </w:r>
      <w:r>
        <w:t>Interfacial contact loss in solid-state batteries is often attributed to the formation of voids in pristine lithium (Li) metal at the Li-solid electrolyte interface. We show that insulating impurities within the Li anode accumulate at the interface during stripping and create a porous, mechanically stable layer that blocks the flux of Li into the electrolyte.</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86">
        <w:r>
          <w:rPr>
            <w:color w:val="1155CC"/>
            <w:u w:val="single"/>
          </w:rPr>
          <w:t>石墨炔氧化物固态质子电池表现出卓越的倍率性能</w:t>
        </w:r>
      </w:hyperlink>
    </w:p>
    <w:p>
      <w:pPr>
        <w:spacing w:before="0" w:after="80"/>
      </w:pPr>
      <w:r>
        <w:rPr>
          <w:i/>
          <w:sz w:val="20"/>
        </w:rPr>
        <w:t>EN: Graphdiyne Oxide‐Enabled Solid‐State Proton Battery Exhibiting Superior Rate Capability</w:t>
      </w:r>
    </w:p>
    <w:p>
      <w:pPr>
        <w:spacing w:before="0" w:after="120"/>
      </w:pPr>
      <w:r>
        <w:rPr>
          <w:b/>
        </w:rPr>
        <w:t xml:space="preserve">Source: </w:t>
      </w:r>
      <w:r>
        <w:t>Wiley: Angewandte Chemie International Edition: Table of Contents</w:t>
      </w:r>
      <w:r>
        <w:t xml:space="preserve">    </w:t>
      </w:r>
      <w:r>
        <w:rPr>
          <w:b/>
        </w:rPr>
        <w:t xml:space="preserve">Pub date: </w:t>
      </w:r>
      <w:r>
        <w:t>2026-06-20 09:03:57+00:00</w:t>
      </w:r>
      <w:r>
        <w:t xml:space="preserve">    </w:t>
      </w:r>
      <w:r>
        <w:rPr>
          <w:b/>
        </w:rPr>
        <w:t xml:space="preserve">DOI: </w:t>
      </w:r>
      <w:hyperlink r:id="rId87">
        <w:r>
          <w:rPr>
            <w:color w:val="1155CC"/>
            <w:u w:val="single"/>
          </w:rPr>
          <w:t>10.1002/anie.4266547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质子电池正在成为一种有前途的下一代储能技术，具有高安全性、卓越的功率密度和出色的稳定性。 However, the development of solid‐state electrolytes with high proton conductivity remains a significant challenge.在此，首次提出氧化石墨二炔（GDYO）作为质子电池的新型固态电解质。 By constructing a three‐dimensional hydrogen bonding network with phosphoric acid, the resulting GDYO@H</w:t>
      </w:r>
      <w:r>
        <w:rPr>
          <w:vertAlign w:val="subscript"/>
        </w:rPr>
        <w:t>3</w:t>
      </w:r>
      <w:r>
        <w:t>采购订单</w:t>
      </w:r>
      <w:r>
        <w:rPr>
          <w:vertAlign w:val="subscript"/>
        </w:rPr>
        <w:t>4</w:t>
      </w:r>
      <w:r>
        <w:t>electrolyte effectively addresses the low conductivity issue of conventional solid‐state electrolytes at room temperature.傅里叶变换红外（FTIR）光谱和固态荧光光谱证实了GDYO片材和H之间互连氢键网络的形成</w:t>
      </w:r>
      <w:r>
        <w:rPr>
          <w:vertAlign w:val="subscript"/>
        </w:rPr>
        <w:t>3</w:t>
      </w:r>
      <w:r>
        <w:t>采购订单</w:t>
      </w:r>
      <w:r>
        <w:rPr>
          <w:vertAlign w:val="subscript"/>
        </w:rPr>
        <w:t>4</w:t>
      </w:r>
      <w:r>
        <w:t>, facilitating efficient proton transport via a hopping transport mechanism.组装水合六氰基铁酸钒//MoO</w:t>
      </w:r>
      <w:r>
        <w:rPr>
          <w:vertAlign w:val="subscript"/>
        </w:rPr>
        <w:t>3</w:t>
      </w:r>
      <w:r>
        <w:t>(VHCF//MoO</w:t>
      </w:r>
      <w:r>
        <w:rPr>
          <w:vertAlign w:val="subscript"/>
        </w:rPr>
        <w:t>3</w:t>
      </w:r>
      <w:r>
        <w:t>）全固态质子电池表现出优异的倍率性能，在 50C 的超高充放电倍率下仍保留 53.6% 的容量保持率。 Furthermore, the battery delivers remarkable cycling stability with a specific capacity of 102.2 mAh g</w:t>
      </w:r>
      <w:r>
        <w:t xml:space="preserve"> </w:t>
      </w:r>
      <w:r>
        <w:t>-</w:t>
      </w:r>
      <w:r>
        <w:rPr>
          <w:vertAlign w:val="subscript"/>
        </w:rPr>
        <w:t>1</w:t>
      </w:r>
      <w:r>
        <w:t>和 90.2% 容量</w:t>
      </w:r>
    </w:p>
    <w:p>
      <w:pPr>
        <w:spacing w:before="0" w:after="200" w:lineRule="auto" w:line="276"/>
      </w:pPr>
      <w:r>
        <w:rPr>
          <w:b/>
        </w:rPr>
        <w:t xml:space="preserve">Abstract (EN): </w:t>
      </w:r>
      <w:r>
        <w:t>Proton batteries are emerging as a promising next‐generation energy storage technology, featuring high safety, superior power density, and excellent stability. However, the development of solid‐state electrolytes with high proton conductivity remains a significant challenge. Herein, graphdiyne oxide (GDYO) is proposed as a novel solid‐state electrolyte for proton batteries for the first time. By constructing a three‐dimensional hydrogen bonding network with phosphoric acid, the resulting GDYO@H</w:t>
      </w:r>
      <w:r>
        <w:rPr>
          <w:vertAlign w:val="subscript"/>
        </w:rPr>
        <w:t>3</w:t>
      </w:r>
      <w:r>
        <w:t>PO</w:t>
      </w:r>
      <w:r>
        <w:rPr>
          <w:vertAlign w:val="subscript"/>
        </w:rPr>
        <w:t>4</w:t>
      </w:r>
      <w:r>
        <w:t>electrolyte effectively addresses the low conductivity issue of conventional solid‐state electrolytes at room temperature. Fourier‐transform infrared (FTIR) spectroscopy and solid‐state fluorescence spectroscopy confirm the formation of an interconnected hydrogen bonding network between GDYO sheets and H</w:t>
      </w:r>
      <w:r>
        <w:rPr>
          <w:vertAlign w:val="subscript"/>
        </w:rPr>
        <w:t>3</w:t>
      </w:r>
      <w:r>
        <w:t>PO</w:t>
      </w:r>
      <w:r>
        <w:rPr>
          <w:vertAlign w:val="subscript"/>
        </w:rPr>
        <w:t>4</w:t>
      </w:r>
      <w:r>
        <w:t>, facilitating efficient proton transport via a hopping transport mechanism. The assembled hydrous vanadium hexacyanoferrate//MoO</w:t>
      </w:r>
      <w:r>
        <w:rPr>
          <w:vertAlign w:val="subscript"/>
        </w:rPr>
        <w:t>3</w:t>
      </w:r>
      <w:r>
        <w:t>(VHCF//MoO</w:t>
      </w:r>
      <w:r>
        <w:rPr>
          <w:vertAlign w:val="subscript"/>
        </w:rPr>
        <w:t>3</w:t>
      </w:r>
      <w:r>
        <w:t>) full solid‐state proton battery demonstrates superior rate capability, retaining 53.6% of its capacity retention at an ultrahigh charge–discharge rate of 50C. Furthermore, the battery delivers remarkable cycling stability with a specific capacity of 102.2 mAh g</w:t>
      </w:r>
      <w:r>
        <w:t xml:space="preserve"> </w:t>
      </w:r>
      <w:r>
        <w:t>−</w:t>
      </w:r>
      <w:r>
        <w:rPr>
          <w:vertAlign w:val="subscript"/>
        </w:rPr>
        <w:t>1</w:t>
      </w:r>
      <w:r>
        <w:t>and 90.2% capacity retention after 4500 cycles, significantly outperforming state‐of‐the‐art systems. This research will provide a new way to construct solid‐state proton battery with long cycling stability and high performance, and highlight the exceptional potential of GDYO as a molecular‐level design platform for advanced electrocatalysts in solid‐state batteries.</w:t>
      </w:r>
    </w:p>
    <w:p>
      <w:pPr>
        <w:spacing w:before="120" w:after="120"/>
      </w:pPr>
      <w:r>
        <w:rPr>
          <w:sz w:val="18"/>
        </w:rPr>
        <w:t>——————————————————————————————————————————————————————————————————————</w:t>
      </w:r>
    </w:p>
    <w:p>
      <w:pPr>
        <w:spacing w:before="160" w:after="40" w:line="240" w:lineRule="auto"/>
      </w:pPr>
      <w:r>
        <w:rPr>
          <w:b/>
        </w:rPr>
        <w:t xml:space="preserve">[2] </w:t>
      </w:r>
      <w:hyperlink r:id="rId88">
        <w:r>
          <w:rPr>
            <w:color w:val="1155CC"/>
            <w:u w:val="single"/>
          </w:rPr>
          <w:t>多峰结构解决方案揭示了促进硅酸钠离子电解质中离子迁移的相关无序</w:t>
        </w:r>
      </w:hyperlink>
    </w:p>
    <w:p>
      <w:pPr>
        <w:spacing w:before="0" w:after="80"/>
      </w:pPr>
      <w:r>
        <w:rPr>
          <w:i/>
          <w:sz w:val="20"/>
        </w:rPr>
        <w:t>EN: Multimodal Structure Solution Unravels Correlated Disorder Promoting Ionic Migration in Silicate Sodium‐Ion Electrolytes</w:t>
      </w:r>
    </w:p>
    <w:p>
      <w:pPr>
        <w:spacing w:before="0" w:after="120"/>
      </w:pPr>
      <w:r>
        <w:rPr>
          <w:b/>
        </w:rPr>
        <w:t xml:space="preserve">Source: </w:t>
      </w:r>
      <w:r>
        <w:t>Wiley: Angewandte Chemie International Edition: Table of Contents</w:t>
      </w:r>
      <w:r>
        <w:t xml:space="preserve">    </w:t>
      </w:r>
      <w:r>
        <w:rPr>
          <w:b/>
        </w:rPr>
        <w:t xml:space="preserve">Pub date: </w:t>
      </w:r>
      <w:r>
        <w:t>2026-06-20 10:53:30+00:00</w:t>
      </w:r>
      <w:r>
        <w:t xml:space="preserve">    </w:t>
      </w:r>
      <w:r>
        <w:rPr>
          <w:b/>
        </w:rPr>
        <w:t xml:space="preserve">DOI: </w:t>
      </w:r>
      <w:hyperlink r:id="rId89">
        <w:r>
          <w:rPr>
            <w:color w:val="1155CC"/>
            <w:u w:val="single"/>
          </w:rPr>
          <w:t>10.1002/anie.5955844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表征固体中的结构无序是一项重大挑战，这需要新的策略来探测和描述不同尺度的局部结构，并揭示隐藏在结构无序中的连贯有序性。在此，我们展示了 Na 中结构紊乱的多模式解决方案</w:t>
      </w:r>
      <w:r>
        <w:t xml:space="preserve"> </w:t>
      </w:r>
      <w:r>
        <w:t>2(1−</w:t>
      </w:r>
      <w:r>
        <w:t xml:space="preserve"> </w:t>
      </w:r>
      <w:r>
        <w:t>x</w:t>
      </w:r>
      <w:r>
        <w:t xml:space="preserve"> </w:t>
      </w:r>
      <w:r>
        <w:t>）</w:t>
      </w:r>
      <w:r>
        <w:t xml:space="preserve"> </w:t>
      </w:r>
      <w:r>
        <w:t>镁</w:t>
      </w:r>
      <w:r>
        <w:t xml:space="preserve"> </w:t>
      </w:r>
      <w:r>
        <w:t>1−</w:t>
      </w:r>
      <w:r>
        <w:t xml:space="preserve"> </w:t>
      </w:r>
      <w:r>
        <w:t>x</w:t>
      </w:r>
      <w:r>
        <w:t xml:space="preserve"> </w:t>
      </w:r>
      <w:r>
        <w:t>硅</w:t>
      </w:r>
      <w:r>
        <w:t xml:space="preserve"> </w:t>
      </w:r>
      <w:r>
        <w:t>1+</w:t>
      </w:r>
      <w:r>
        <w:t xml:space="preserve"> </w:t>
      </w:r>
      <w:r>
        <w:t>x</w:t>
      </w:r>
      <w:r>
        <w:t xml:space="preserve"> </w:t>
      </w:r>
      <w:r>
        <w:t>氧</w:t>
      </w:r>
      <w:r>
        <w:rPr>
          <w:vertAlign w:val="subscript"/>
        </w:rPr>
        <w:t>4</w:t>
      </w:r>
      <w:r>
        <w:t>具有填充方石英四面体网络的钠离子电解质。采用中子对分布函数分析结合反向蒙特卡罗模拟来探测纳米级超晶胞中的结构无序，揭示隐藏的相关镁/硅无序或形成相邻纯镁（或富镁）和硅柱的局部镁/硅有序。这种相关的疾病通过固态进一步验证</w:t>
      </w:r>
      <w:r>
        <w:rPr>
          <w:vertAlign w:val="subscript"/>
        </w:rPr>
        <w:t>29</w:t>
      </w:r>
      <w:r>
        <w:t>硅核磁共振 (NMR) 光谱和 NMR 引导的结构筛选。隧道中的钠阳离子被认为是类间隙移动电荷载体，用于 Na 中的离子传导</w:t>
      </w:r>
      <w:r>
        <w:t xml:space="preserve"> </w:t>
      </w:r>
      <w:r>
        <w:t>2(1−</w:t>
      </w:r>
      <w:r>
        <w:t xml:space="preserve"> </w:t>
      </w:r>
      <w:r>
        <w:t>x</w:t>
      </w:r>
      <w:r>
        <w:t xml:space="preserve"> </w:t>
      </w:r>
      <w:r>
        <w:t>）</w:t>
      </w:r>
      <w:r>
        <w:t xml:space="preserve"> </w:t>
      </w:r>
      <w:r>
        <w:t>镁</w:t>
      </w:r>
      <w:r>
        <w:t xml:space="preserve"> </w:t>
      </w:r>
      <w:r>
        <w:t>1−</w:t>
      </w:r>
    </w:p>
    <w:p>
      <w:pPr>
        <w:spacing w:before="0" w:after="200" w:lineRule="auto" w:line="276"/>
      </w:pPr>
      <w:r>
        <w:rPr>
          <w:b/>
        </w:rPr>
        <w:t xml:space="preserve">Abstract (EN): </w:t>
      </w:r>
      <w:r>
        <w:t>Characterizing structural disorder in solids is of significant challenge, which requires new strategy on probing and describing local structures over different scales and uncovering coherent ordering hidden in the structural disorder. Herein, we demonstrate a multimodal solution for structural disorder in Na</w:t>
      </w:r>
      <w:r>
        <w:t xml:space="preserve"> </w:t>
      </w:r>
      <w:r>
        <w:t>2(1−</w:t>
      </w:r>
      <w:r>
        <w:t xml:space="preserve"> </w:t>
      </w:r>
      <w:r>
        <w:t>x</w:t>
      </w:r>
      <w:r>
        <w:t xml:space="preserve"> </w:t>
      </w:r>
      <w:r>
        <w:t>)</w:t>
      </w:r>
      <w:r>
        <w:t xml:space="preserve"> </w:t>
      </w:r>
      <w:r>
        <w:t>Mg</w:t>
      </w:r>
      <w:r>
        <w:t xml:space="preserve"> </w:t>
      </w:r>
      <w:r>
        <w:t>1−</w:t>
      </w:r>
      <w:r>
        <w:t xml:space="preserve"> </w:t>
      </w:r>
      <w:r>
        <w:t>x</w:t>
      </w:r>
      <w:r>
        <w:t xml:space="preserve"> </w:t>
      </w:r>
      <w:r>
        <w:t>Si</w:t>
      </w:r>
      <w:r>
        <w:t xml:space="preserve"> </w:t>
      </w:r>
      <w:r>
        <w:t>1+</w:t>
      </w:r>
      <w:r>
        <w:t xml:space="preserve"> </w:t>
      </w:r>
      <w:r>
        <w:t>x</w:t>
      </w:r>
      <w:r>
        <w:t xml:space="preserve"> </w:t>
      </w:r>
      <w:r>
        <w:t>O</w:t>
      </w:r>
      <w:r>
        <w:rPr>
          <w:vertAlign w:val="subscript"/>
        </w:rPr>
        <w:t>4</w:t>
      </w:r>
      <w:r>
        <w:t>sodium‐ion electrolytes with a stuffed cristobalite tetrahedral network. Neutron pair distribution function analysis combined with reverse Monte Carlo simulations was employed to probe the structural disorder in nanometer‐scale supercells, uncovering the hidden correlated Mg/Si disorder or local Mg/Si order forming neighboring pure Mg (or Mg‐rich) and Si columns. This correlated disorder was further validated by solid state</w:t>
      </w:r>
      <w:r>
        <w:rPr>
          <w:vertAlign w:val="subscript"/>
        </w:rPr>
        <w:t>29</w:t>
      </w:r>
      <w:r>
        <w:t>Si nuclear magnetic resonance (NMR) spectroscopy and NMR‐guided structure screenings. The sodium cations in the tunnels were proposed to be interstitial‐like mobile charge carriers for ionic conduction in Na</w:t>
      </w:r>
      <w:r>
        <w:t xml:space="preserve"> </w:t>
      </w:r>
      <w:r>
        <w:t>2(1−</w:t>
      </w:r>
      <w:r>
        <w:t xml:space="preserve"> </w:t>
      </w:r>
      <w:r>
        <w:t>x</w:t>
      </w:r>
      <w:r>
        <w:t xml:space="preserve"> </w:t>
      </w:r>
      <w:r>
        <w:t>)</w:t>
      </w:r>
      <w:r>
        <w:t xml:space="preserve"> </w:t>
      </w:r>
      <w:r>
        <w:t>Mg</w:t>
      </w:r>
      <w:r>
        <w:t xml:space="preserve"> </w:t>
      </w:r>
      <w:r>
        <w:t>1−</w:t>
      </w:r>
      <w:r>
        <w:t xml:space="preserve"> </w:t>
      </w:r>
      <w:r>
        <w:t>x</w:t>
      </w:r>
      <w:r>
        <w:t xml:space="preserve"> </w:t>
      </w:r>
      <w:r>
        <w:t>Si</w:t>
      </w:r>
      <w:r>
        <w:t xml:space="preserve"> </w:t>
      </w:r>
      <w:r>
        <w:t>1+</w:t>
      </w:r>
      <w:r>
        <w:t xml:space="preserve"> </w:t>
      </w:r>
      <w:r>
        <w:t>x</w:t>
      </w:r>
      <w:r>
        <w:t xml:space="preserve"> </w:t>
      </w:r>
      <w:r>
        <w:t>O</w:t>
      </w:r>
      <w:r>
        <w:rPr>
          <w:vertAlign w:val="subscript"/>
        </w:rPr>
        <w:t>4</w:t>
      </w:r>
      <w:r>
        <w:t>referring to the parent cristobalite structure. Both sodium contents within the tunnels and structural disorder level play competing roles in the sodium migration, while local Mg/Si order may minimize distortion of tetrahedral network and therefore maximize the tunnel bottlenecks promoting sodium migration. This work provides practicable multimodal solution strategy to solve the commonly complex structural disorders and unveil inherently local order with wide applicability in functional materials, enhancing understanding of structure‐property relationship.</w:t>
      </w:r>
    </w:p>
    <w:p>
      <w:pPr>
        <w:spacing w:before="120" w:after="120"/>
      </w:pPr>
      <w:r>
        <w:rPr>
          <w:sz w:val="18"/>
        </w:rPr>
        <w:t>——————————————————————————————————————————————————————————————————————</w:t>
      </w:r>
    </w:p>
    <w:p>
      <w:pPr>
        <w:spacing w:before="160" w:after="40" w:line="240" w:lineRule="auto"/>
      </w:pPr>
      <w:r>
        <w:rPr>
          <w:b/>
        </w:rPr>
        <w:t xml:space="preserve">[3] </w:t>
      </w:r>
      <w:hyperlink r:id="rId67">
        <w:r>
          <w:rPr>
            <w:color w:val="1155CC"/>
            <w:u w:val="single"/>
          </w:rPr>
          <w:t>极端条件下锌金属电池水凝胶电解质的设计原理、界面调节和人工智能引导机会</w:t>
        </w:r>
      </w:hyperlink>
    </w:p>
    <w:p>
      <w:pPr>
        <w:spacing w:before="0" w:after="80"/>
      </w:pPr>
      <w:r>
        <w:rPr>
          <w:i/>
          <w:sz w:val="20"/>
        </w:rPr>
        <w:t>EN: Design Principles, Interfacial Regulation, and AI-Guided Opportunities of Hydrogel Electrolytes for Zinc Metal Batteries in Extreme Conditions</w:t>
      </w:r>
    </w:p>
    <w:p>
      <w:pPr>
        <w:spacing w:before="0" w:after="120"/>
      </w:pPr>
      <w:r>
        <w:rPr>
          <w:b/>
        </w:rPr>
        <w:t xml:space="preserve">Source: </w:t>
      </w:r>
      <w:r>
        <w:t>RSC - Energy Environ. Sci. latest articles</w:t>
      </w:r>
      <w:r>
        <w:t xml:space="preserve">    </w:t>
      </w:r>
      <w:r>
        <w:rPr>
          <w:b/>
        </w:rPr>
        <w:t xml:space="preserve">Pub date: </w:t>
      </w:r>
      <w:r>
        <w:t>2026-06-22 23:00:00+00:00</w:t>
      </w:r>
    </w:p>
    <w:p>
      <w:pPr>
        <w:spacing w:before="0" w:after="120"/>
      </w:pPr>
      <w:r>
        <w:rPr>
          <w:b/>
        </w:rPr>
        <w:t xml:space="preserve">Notes: </w:t>
      </w:r>
      <w:r>
        <w:t>abstract_source=rsc_html</w:t>
      </w:r>
    </w:p>
    <w:p>
      <w:pPr>
        <w:spacing w:before="0" w:after="80" w:lineRule="auto" w:line="276"/>
      </w:pPr>
      <w:r>
        <w:rPr>
          <w:b/>
        </w:rPr>
        <w:t xml:space="preserve">摘要（ZH）: </w:t>
      </w:r>
      <w:r>
        <w:t>基于水凝胶的锌金属电池（ZMB）代表了一个非常有前途的安全、灵活和可穿戴能源存储系统平台。然而，它们在恶劣环境条件下稳定性不足，极大地阻碍了它们的实际应用。为了克服这些瓶颈，最近的研究开发了一系列有效的策略：引入功能部分来调整氢键网络以提高耐低温性；热稳定和保水结构一体化，增强耐高温能力；动态聚合物网络旨在实现优异的机械强度、自主自愈和均匀的锌沉积。聚合物-水相互作用和离子-溶剂化结构的精细调控可以有效抑制副反应，降低离子传输能垒，扩大电化学稳定性窗口，并支持高电压下的稳定运行。除了分子级设计之外，最近的研究还揭示了热机械-电化学耦合应力对界面化学演化和长期循环可逆性的关键影响。该综述系统地概述了极端环境适应性水凝胶电解质的基本机制、性能改进方法和合理设计原则，重点关注防冻性能、高温稳定性、机械鲁棒性、自修复行为和高电压兼容性。此外，这项工作强调了尚未探索的新兴方向，例如人工智能驱动的</w:t>
      </w:r>
    </w:p>
    <w:p>
      <w:pPr>
        <w:spacing w:before="0" w:after="200" w:lineRule="auto" w:line="276"/>
      </w:pPr>
      <w:r>
        <w:rPr>
          <w:b/>
        </w:rPr>
        <w:t xml:space="preserve">Abstract (EN): </w:t>
      </w:r>
      <w:r>
        <w:t>Hydrogel-based zinc metal batteries (ZMBs) represent a highly promising platform for safe, flexible, and wearable energy storage systems. Nevertheless, their real-world application is greatly hindered by insufficient stability under harsh environmental conditions. To overcome these bottlenecks, recent studies have developed a series of effective strategies: functional moieties are introduced to adjust hydrogen-bonding networks for improved low-temperature resistance; thermally stable and water-retaining structures are integrated to enhance high-temperature endurance; and dynamic polymer networks are designed to achieve excellent mechanical strength, autonomous self-healing, and homogeneous zinc deposition. Fine modulation of polymer-water interactions and ion-solvation structures can effectively inhibit side reactions, reduce ion transport energy barriers, expand electrochemical stability windows, and support stable operation at high voltages. In addition to molecular-level design, recent research has unveiled the critical effects of coupled thermalmechanical-electrochemical stresses on interfacial chemical evolution and long-term cycling reversibility. This review provides a systematic overview of the underlying mechanisms, performance improvement approaches, and rational design principles of extreme-environment-adaptable hydrogel electrolytes, with emphasis on antifreeze properties, high-temperature stability, mechanical robustness, self-healing behavior, and high-voltage compatibility. Furthermore, this work highlights underexplored emerging directions, such as AI-driven optimization of polymer frameworks and electrolyte solvation structures, together with practical industrial concerns including scalable preparation and operational stability under realistic fluctuating conditions. Finally, integrated perspectives are put forward to guide the rational development of multifunctional hydrogel electrolytes, paving the way for durable and reliable next-generation zinc metal batteries capable of operating under extreme conditions.</w:t>
      </w:r>
    </w:p>
    <w:p>
      <w:pPr>
        <w:spacing w:before="120" w:after="120"/>
      </w:pPr>
      <w:r>
        <w:rPr>
          <w:sz w:val="18"/>
        </w:rPr>
        <w:t>——————————————————————————————————————————————————————————————————————</w:t>
      </w:r>
    </w:p>
    <w:p>
      <w:pPr>
        <w:spacing w:before="160" w:after="40" w:line="240" w:lineRule="auto"/>
      </w:pPr>
      <w:r>
        <w:rPr>
          <w:b/>
        </w:rPr>
        <w:t xml:space="preserve">[4] </w:t>
      </w:r>
      <w:hyperlink r:id="rId72">
        <w:r>
          <w:rPr>
            <w:color w:val="1155CC"/>
            <w:u w:val="single"/>
          </w:rPr>
          <w:t>通过 Li2ZrF6 添加剂对耐用锂金属电池进行 SEI 的原位构建和修复</w:t>
        </w:r>
      </w:hyperlink>
    </w:p>
    <w:p>
      <w:pPr>
        <w:spacing w:before="0" w:after="80"/>
      </w:pPr>
      <w:r>
        <w:rPr>
          <w:i/>
          <w:sz w:val="20"/>
        </w:rPr>
        <w:t>EN: In-situ construction and repair of SEI via a Li2ZrF6 additive for durable lithium metal batteries</w:t>
      </w:r>
    </w:p>
    <w:p>
      <w:pPr>
        <w:spacing w:before="0" w:after="120"/>
      </w:pPr>
      <w:r>
        <w:rPr>
          <w:b/>
        </w:rPr>
        <w:t xml:space="preserve">Source: </w:t>
      </w:r>
      <w:r>
        <w:t>National Science Review Advance Access</w:t>
      </w:r>
      <w:r>
        <w:t xml:space="preserve">    </w:t>
      </w:r>
      <w:r>
        <w:rPr>
          <w:b/>
        </w:rPr>
        <w:t xml:space="preserve">Pub date: </w:t>
      </w:r>
      <w:r>
        <w:t>2026-06-23 00:00:00+00:00</w:t>
      </w:r>
      <w:r>
        <w:t xml:space="preserve">    </w:t>
      </w:r>
      <w:r>
        <w:rPr>
          <w:b/>
        </w:rPr>
        <w:t xml:space="preserve">DOI: </w:t>
      </w:r>
      <w:hyperlink r:id="rId73">
        <w:r>
          <w:rPr>
            <w:color w:val="1155CC"/>
            <w:u w:val="single"/>
          </w:rPr>
          <w:t>10.1093/nsr/nwag385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90">
        <w:r>
          <w:rPr>
            <w:color w:val="1155CC"/>
            <w:u w:val="single"/>
          </w:rPr>
          <w:t>用于快速充电锂电池及其他电池的动态溶剂交换</w:t>
        </w:r>
      </w:hyperlink>
    </w:p>
    <w:p>
      <w:pPr>
        <w:spacing w:before="0" w:after="80"/>
      </w:pPr>
      <w:r>
        <w:rPr>
          <w:i/>
          <w:sz w:val="20"/>
        </w:rPr>
        <w:t>EN: Dynamic solvent exchange for fast-charging lithium batteries and beyond</w:t>
      </w:r>
    </w:p>
    <w:p>
      <w:pPr>
        <w:spacing w:before="0" w:after="120"/>
      </w:pPr>
      <w:r>
        <w:rPr>
          <w:b/>
        </w:rPr>
        <w:t xml:space="preserve">Source: </w:t>
      </w:r>
      <w:r>
        <w:t>Nature Sustainability</w:t>
      </w:r>
      <w:r>
        <w:t xml:space="preserve">    </w:t>
      </w:r>
      <w:r>
        <w:rPr>
          <w:b/>
        </w:rPr>
        <w:t xml:space="preserve">Pub date: </w:t>
      </w:r>
      <w:r>
        <w:t>2026-06-23 00:00:00+00:00</w:t>
      </w:r>
      <w:r>
        <w:t xml:space="preserve">    </w:t>
      </w:r>
      <w:r>
        <w:rPr>
          <w:b/>
        </w:rPr>
        <w:t xml:space="preserve">DOI: </w:t>
      </w:r>
      <w:hyperlink r:id="rId91">
        <w:r>
          <w:rPr>
            <w:color w:val="1155CC"/>
            <w:u w:val="single"/>
          </w:rPr>
          <w:t>10.1038/s41893-026-01871-2</w:t>
        </w:r>
      </w:hyperlink>
    </w:p>
    <w:p>
      <w:pPr>
        <w:spacing w:before="0" w:after="120"/>
      </w:pPr>
      <w:r>
        <w:rPr>
          <w:b/>
        </w:rPr>
        <w:t xml:space="preserve">Notes: </w:t>
      </w:r>
      <w:r>
        <w:t>abstract_source=nature_html</w:t>
      </w:r>
    </w:p>
    <w:p>
      <w:pPr>
        <w:spacing w:before="0" w:after="80" w:lineRule="auto" w:line="276"/>
      </w:pPr>
      <w:r>
        <w:rPr>
          <w:b/>
        </w:rPr>
        <w:t xml:space="preserve">摘要（ZH）: </w:t>
      </w:r>
      <w:r>
        <w:t>快速充电和低温运行对于下一代储能至关重要。然而，高能电池很难满足这些需求，因为现有电解质无法同时提供快速的界面动力学、高离子电导率和有利的界面形成。流行的策略侧重于削弱热力学溶剂化，但这种方法并没有直接解决动力学瓶颈，即控制界面电荷转移的去溶剂化势垒。在这里，我们揭示了去溶剂化动力学是由动态溶剂交换而不是热力学溶剂化能决定的。在这种机制见解的指导下，我们配制了一种电解质，其中两种阴离子具有不同的阴离子电势：高阴离子电势阴离子形成接触离子对，加速溶剂化交换动力学，而低阴离子电势阴离子形成溶剂分离的离子对，维持高体积离子电导率。该电解液可实现高负载锂离子电池的快速充电和低温运行。该设计原理在水性铝离子电化学系统中得到了进一步验证，强调了其与锂离子以外的可持续、资源丰富的电池化学的更广泛相关性。总之，我们的研究结果建立了一种新的电解质设计范式，可解耦界面和整体传输特性并扩展电池电解质系统的设计空间。</w:t>
      </w:r>
    </w:p>
    <w:p>
      <w:pPr>
        <w:spacing w:before="0" w:after="200" w:lineRule="auto" w:line="276"/>
      </w:pPr>
      <w:r>
        <w:rPr>
          <w:b/>
        </w:rPr>
        <w:t xml:space="preserve">Abstract (EN): </w:t>
      </w:r>
      <w:r>
        <w:t>Fast charging and low-temperature operation are essential for next-generation energy storage. However, high-energy batteries struggle to meet these demands as existing electrolytes cannot simultaneously deliver fast interfacial kinetics, high ionic conductivity and favourable interphase formation. Prevailing strategies focus on weakening thermodynamic solvation, yet this approach does not directly address the kinetic bottleneck, that is, the desolvation barrier governing interfacial charge transfer. Here we reveal that the desolvation kinetics are dictated by dynamic solvent exchange rather than thermodynamic solvation energy. Guided by this mechanistic insight, we have formulated an electrolyte in which two anions carry distinct anionic potentials: high-anionic-potential anions form contact ion pairs that accelerate solvation-exchange kinetics, while low-anionic-potential anions form solvent-separated ion pairs that sustain high bulk ionic conductivity. The electrolyte enables fast charging and low-temperature operation in high-loading lithium-ion batteries. The design principle was further validated in aqueous aluminium-ion electrochemical systems, underscoring its broader relevance to sustainable, resource-abundant battery chemistries beyond the lithium ion. Together, our findings establish a new electrolyte design paradigm that decouples interfacial and bulk transport properties and expands the design space of battery electrolyte systems.</w:t>
      </w:r>
    </w:p>
    <w:p>
      <w:pPr>
        <w:spacing w:before="120" w:after="120"/>
      </w:pPr>
      <w:r>
        <w:rPr>
          <w:sz w:val="18"/>
        </w:rPr>
        <w:t>——————————————————————————————————————————————————————————————————————</w:t>
      </w:r>
    </w:p>
    <w:p>
      <w:pPr>
        <w:spacing w:before="160" w:after="40" w:line="240" w:lineRule="auto"/>
      </w:pPr>
      <w:r>
        <w:rPr>
          <w:b/>
        </w:rPr>
        <w:t xml:space="preserve">[6] </w:t>
      </w:r>
      <w:hyperlink r:id="rId56">
        <w:r>
          <w:rPr>
            <w:color w:val="1155CC"/>
            <w:u w:val="single"/>
          </w:rPr>
          <w:t>由离子液体电解质添加剂实现的高性能、免活化镁离子电池</w:t>
        </w:r>
      </w:hyperlink>
    </w:p>
    <w:p>
      <w:pPr>
        <w:spacing w:before="0" w:after="80"/>
      </w:pPr>
      <w:r>
        <w:rPr>
          <w:i/>
          <w:sz w:val="20"/>
        </w:rPr>
        <w:t>EN: High‐Performance, Activation‐Free Magnesium‐Ion Batteries Enabled by Ionic Liquid Electrolyte Additive</w:t>
      </w:r>
    </w:p>
    <w:p>
      <w:pPr>
        <w:spacing w:before="0" w:after="120"/>
      </w:pPr>
      <w:r>
        <w:rPr>
          <w:b/>
        </w:rPr>
        <w:t xml:space="preserve">Source: </w:t>
      </w:r>
      <w:r>
        <w:t>Wiley: Angewandte Chemie International Edition: Table of Contents</w:t>
      </w:r>
      <w:r>
        <w:t xml:space="preserve">    </w:t>
      </w:r>
      <w:r>
        <w:rPr>
          <w:b/>
        </w:rPr>
        <w:t xml:space="preserve">Pub date: </w:t>
      </w:r>
      <w:r>
        <w:t>2026-06-23 07:40:16+00:00</w:t>
      </w:r>
      <w:r>
        <w:t xml:space="preserve">    </w:t>
      </w:r>
      <w:r>
        <w:rPr>
          <w:b/>
        </w:rPr>
        <w:t xml:space="preserve">DOI: </w:t>
      </w:r>
      <w:hyperlink r:id="rId57">
        <w:r>
          <w:rPr>
            <w:color w:val="1155CC"/>
            <w:u w:val="single"/>
          </w:rPr>
          <w:t>10.1002/anie.7580996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镁离子电池（MIB）作为一种极具前景的下一代储能技术，受益于高理论体积容量（3833 mAh L</w:t>
      </w:r>
      <w:r>
        <w:t xml:space="preserve"> </w:t>
      </w:r>
      <w:r>
        <w:t>−1</w:t>
      </w:r>
      <w:r>
        <w:t xml:space="preserve"> </w:t>
      </w:r>
      <w:r>
        <w:t>）的金属镁及其本质安全性。然而，其商业化仍然受到循环过程中缓慢的去溶剂化动力学的阻碍，这延长了达到最大容量的激活时间并损害了倍率性能。为了克服这个瓶颈，我们添加了 4-乙基-4-甲基吗啉鎓阳离子（EMM</w:t>
      </w:r>
      <w:r>
        <w:t xml:space="preserve"> </w:t>
      </w:r>
      <w:r>
        <w:t>+</w:t>
      </w:r>
      <w:r>
        <w:t xml:space="preserve"> </w:t>
      </w:r>
      <w:r>
        <w:t>）作为传统全苯基络合物（APC）电解质中的添加剂。密度泛函理论计算证实 EMM</w:t>
      </w:r>
      <w:r>
        <w:t xml:space="preserve"> </w:t>
      </w:r>
      <w:r>
        <w:t>+</w:t>
      </w:r>
      <w:r>
        <w:t xml:space="preserve"> </w:t>
      </w:r>
      <w:r>
        <w:t>对氯离子 (−0.513 eV) 有很强的亲和力，这会削弱 Mg-Cl 配位，从而促进 Mg</w:t>
      </w:r>
      <w:r>
        <w:t xml:space="preserve"> </w:t>
      </w:r>
      <w:r>
        <w:t>2+</w:t>
      </w:r>
      <w:r>
        <w:t xml:space="preserve"> </w:t>
      </w:r>
      <w:r>
        <w:t>去溶剂化。在 CuS 基 MIB 中，改进的 APC-EMM 电解质消除了纯 APC 所需的活化循环，并实现了 405.1 mAh g 的高比容量</w:t>
      </w:r>
      <w:r>
        <w:t xml:space="preserve"> </w:t>
      </w:r>
      <w:r>
        <w:t>−1</w:t>
      </w:r>
      <w:r>
        <w:t xml:space="preserve"> </w:t>
      </w:r>
      <w:r>
        <w:t>100 mA g时</w:t>
      </w:r>
      <w:r>
        <w:t xml:space="preserve"> </w:t>
      </w:r>
      <w:r>
        <w:t>−1</w:t>
      </w:r>
      <w:r>
        <w:t xml:space="preserve"> </w:t>
      </w:r>
      <w:r>
        <w:t>，同时保持优异的倍率性能（220.1 mAh g</w:t>
      </w:r>
      <w:r>
        <w:t xml:space="preserve"> </w:t>
      </w:r>
      <w:r>
        <w:t>−1</w:t>
      </w:r>
      <w:r>
        <w:t xml:space="preserve"> </w:t>
      </w:r>
      <w:r>
        <w:t>1 A g时</w:t>
      </w:r>
      <w:r>
        <w:t xml:space="preserve"> </w:t>
      </w:r>
      <w:r>
        <w:t>−1</w:t>
      </w:r>
      <w:r>
        <w:t xml:space="preserve"> </w:t>
      </w:r>
      <w:r>
        <w:t>）。值得注意的是，当应用于其他正极材料（包括 CuSe、Cu）时，该电解质还显示出容量、活化动力学和循环稳定性的显着改善。</w:t>
      </w:r>
      <w:r>
        <w:rPr>
          <w:vertAlign w:val="subscript"/>
        </w:rPr>
        <w:t>7</w:t>
      </w:r>
    </w:p>
    <w:p>
      <w:pPr>
        <w:spacing w:before="0" w:after="200" w:lineRule="auto" w:line="276"/>
      </w:pPr>
      <w:r>
        <w:rPr>
          <w:b/>
        </w:rPr>
        <w:t xml:space="preserve">Abstract (EN): </w:t>
      </w:r>
      <w:r>
        <w:t>Magnesium‐ion batteries (MIBs), as a highly promising next‐generation energy storage technology, benefit from the high theoretical volumetric capacity (3833 mAh L</w:t>
      </w:r>
      <w:r>
        <w:t xml:space="preserve"> </w:t>
      </w:r>
      <w:r>
        <w:t>−1</w:t>
      </w:r>
      <w:r>
        <w:t xml:space="preserve"> </w:t>
      </w:r>
      <w:r>
        <w:t>) of magnesium metal and its intrinsic safety. However, its commercialization is still hindered by sluggish de‐solvation kinetics during cycling, which prolongs the activation periods to reach maximum capacity and impairs rate performance. To overcome this bottleneck, we add 4‐ethyl‐4‐methylmorpholinium cation (EMM</w:t>
      </w:r>
      <w:r>
        <w:t xml:space="preserve"> </w:t>
      </w:r>
      <w:r>
        <w:t>+</w:t>
      </w:r>
      <w:r>
        <w:t xml:space="preserve"> </w:t>
      </w:r>
      <w:r>
        <w:t>) as an additive into the conventional all‐phenyl‐complex (APC) electrolyte. Density functional theory computations confirm that EMM</w:t>
      </w:r>
      <w:r>
        <w:t xml:space="preserve"> </w:t>
      </w:r>
      <w:r>
        <w:t>+</w:t>
      </w:r>
      <w:r>
        <w:t xml:space="preserve"> </w:t>
      </w:r>
      <w:r>
        <w:t>shows a strong affinity for chloride ions (−0.513 eV), which weakens the Mg–Cl coordination and, thus promotes Mg</w:t>
      </w:r>
      <w:r>
        <w:t xml:space="preserve"> </w:t>
      </w:r>
      <w:r>
        <w:t>2+</w:t>
      </w:r>
      <w:r>
        <w:t xml:space="preserve"> </w:t>
      </w:r>
      <w:r>
        <w:t>de‐solvation. In CuS‐based MIBs, the modified APC‐EMM electrolyte eliminates the activation cycles that are required with pure APC, and achieves a high specific capacity of 405.1 mAh g</w:t>
      </w:r>
      <w:r>
        <w:t xml:space="preserve"> </w:t>
      </w:r>
      <w:r>
        <w:t>−1</w:t>
      </w:r>
      <w:r>
        <w:t xml:space="preserve"> </w:t>
      </w:r>
      <w:r>
        <w:t>at 100 mA g</w:t>
      </w:r>
      <w:r>
        <w:t xml:space="preserve"> </w:t>
      </w:r>
      <w:r>
        <w:t>−1</w:t>
      </w:r>
      <w:r>
        <w:t xml:space="preserve"> </w:t>
      </w:r>
      <w:r>
        <w:t>, while maintaining excellent rate performance (220.1 mAh g</w:t>
      </w:r>
      <w:r>
        <w:t xml:space="preserve"> </w:t>
      </w:r>
      <w:r>
        <w:t>−1</w:t>
      </w:r>
      <w:r>
        <w:t xml:space="preserve"> </w:t>
      </w:r>
      <w:r>
        <w:t>at 1 A g</w:t>
      </w:r>
      <w:r>
        <w:t xml:space="preserve"> </w:t>
      </w:r>
      <w:r>
        <w:t>−1</w:t>
      </w:r>
      <w:r>
        <w:t xml:space="preserve"> </w:t>
      </w:r>
      <w:r>
        <w:t>). Notably, this electrolyte also shows significant improvements in capacity, activation kinetics, and cycling stability when applied to other cathode materials, including CuSe, Cu</w:t>
      </w:r>
      <w:r>
        <w:rPr>
          <w:vertAlign w:val="subscript"/>
        </w:rPr>
        <w:t>7</w:t>
      </w:r>
      <w:r>
        <w:t>Te</w:t>
      </w:r>
      <w:r>
        <w:rPr>
          <w:vertAlign w:val="subscript"/>
        </w:rPr>
        <w:t>4</w:t>
      </w:r>
      <w:r>
        <w:t>, Mo</w:t>
      </w:r>
      <w:r>
        <w:rPr>
          <w:vertAlign w:val="subscript"/>
        </w:rPr>
        <w:t>6</w:t>
      </w:r>
      <w:r>
        <w:t>S</w:t>
      </w:r>
      <w:r>
        <w:rPr>
          <w:vertAlign w:val="subscript"/>
        </w:rPr>
        <w:t>8</w:t>
      </w:r>
      <w:r>
        <w:t>, and perylene‐3,4,9,10‐tetracarboxylic dianhydride. This study establishes a de‐solvation‐accelerated electrolyte design concept as a universal paradigm for the development of high‐performance MIBs.</w:t>
      </w:r>
    </w:p>
    <w:p>
      <w:pPr>
        <w:spacing w:before="120" w:after="120"/>
      </w:pPr>
      <w:r>
        <w:rPr>
          <w:sz w:val="18"/>
        </w:rPr>
        <w:t>——————————————————————————————————————————————————————————————————————</w:t>
      </w:r>
    </w:p>
    <w:p>
      <w:pPr>
        <w:spacing w:before="160" w:after="40" w:line="240" w:lineRule="auto"/>
      </w:pPr>
      <w:r>
        <w:rPr>
          <w:b/>
        </w:rPr>
        <w:t xml:space="preserve">[7] </w:t>
      </w:r>
      <w:hyperlink r:id="rId92">
        <w:r>
          <w:rPr>
            <w:color w:val="1155CC"/>
            <w:u w:val="single"/>
          </w:rPr>
          <w:t>对锂电池氟化不对称醚氧化稳定性的基本了解</w:t>
        </w:r>
      </w:hyperlink>
    </w:p>
    <w:p>
      <w:pPr>
        <w:spacing w:before="0" w:after="80"/>
      </w:pPr>
      <w:r>
        <w:rPr>
          <w:i/>
          <w:sz w:val="20"/>
        </w:rPr>
        <w:t>EN: Fundamental Understanding of Oxidative Stability in Fluorinated Asymmetric Ethers for Li Batteries</w:t>
      </w:r>
    </w:p>
    <w:p>
      <w:pPr>
        <w:spacing w:before="0" w:after="120"/>
      </w:pPr>
      <w:r>
        <w:rPr>
          <w:b/>
        </w:rPr>
        <w:t xml:space="preserve">Source: </w:t>
      </w:r>
      <w:r>
        <w:t>Wiley: Angewandte Chemie International Edition: Table of Contents</w:t>
      </w:r>
      <w:r>
        <w:t xml:space="preserve">    </w:t>
      </w:r>
      <w:r>
        <w:rPr>
          <w:b/>
        </w:rPr>
        <w:t xml:space="preserve">Pub date: </w:t>
      </w:r>
      <w:r>
        <w:t>2026-06-23 07:43:38+00:00</w:t>
      </w:r>
      <w:r>
        <w:t xml:space="preserve">    </w:t>
      </w:r>
      <w:r>
        <w:rPr>
          <w:b/>
        </w:rPr>
        <w:t xml:space="preserve">DOI: </w:t>
      </w:r>
      <w:hyperlink r:id="rId93">
        <w:r>
          <w:rPr>
            <w:color w:val="1155CC"/>
            <w:u w:val="single"/>
          </w:rPr>
          <w:t>10.1002/anie.3143736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电解质溶剂的氟化策略被广泛用于提高锂金属电池的电化学性能和循环稳定性。最近，β-氟化1-乙氧基-2-甲氧基乙烷（F</w:t>
      </w:r>
      <w:r>
        <w:t xml:space="preserve"> </w:t>
      </w:r>
      <w:r>
        <w:t>x</w:t>
      </w:r>
      <w:r>
        <w:t xml:space="preserve"> </w:t>
      </w:r>
      <w:r>
        <w:t>EME) 经设计并证明具有出色的氧化稳定性。然而，溶剂设计在很大程度上仍然是经验性的，其原子级效应尚未完全理解。在这里，我们研究了氟化如何影响不对称醚的氧化稳定性，（F</w:t>
      </w:r>
      <w:r>
        <w:t xml:space="preserve"> </w:t>
      </w:r>
      <w:r>
        <w:t>x</w:t>
      </w:r>
      <w:r>
        <w:t xml:space="preserve"> </w:t>
      </w:r>
      <w:r>
        <w:t>)EME，使用密度泛函理论 (DFT)、从头算分子动力学 (AIMD) 和机器学习力场 (MLFF)-MD 的多尺度建模。 DFT 和 AIMD 可以高精度捕获氟化引起的电子结构变化，而 MLFF-MD 可以在更大的时间和长度尺度上探索界面反应。我们的结果表明，β-氟化通过诱导效应稳定乙氧基C-H键并削弱溶剂-阴极（Li</w:t>
      </w:r>
      <w:r>
        <w:t xml:space="preserve"> </w:t>
      </w:r>
      <w:r>
        <w:t>0.5</w:t>
      </w:r>
      <w:r>
        <w:t xml:space="preserve"> </w:t>
      </w:r>
      <w:r>
        <w:t>氧化镍</w:t>
      </w:r>
      <w:r>
        <w:rPr>
          <w:vertAlign w:val="subscript"/>
        </w:rPr>
        <w:t>2</w:t>
      </w:r>
      <w:r>
        <w:t>) 通过电子重新分布、减轻氧化和 C-C 活化的相互作用。此外，F3EME 增加的偶极矩驱动了屏蔽甲氧基的择优取向。总的来说，这三种氟化引起的效应赋予 F</w:t>
      </w:r>
      <w:r>
        <w:t xml:space="preserve"> </w:t>
      </w:r>
      <w:r>
        <w:t>x</w:t>
      </w:r>
      <w:r>
        <w:t xml:space="preserve"> </w:t>
      </w:r>
      <w:r>
        <w:t>EME 的氧化稳定性明显高于 EME。这项工作为氟化驱动的电子提供了原子学的见解</w:t>
      </w:r>
    </w:p>
    <w:p>
      <w:pPr>
        <w:spacing w:before="0" w:after="200" w:lineRule="auto" w:line="276"/>
      </w:pPr>
      <w:r>
        <w:rPr>
          <w:b/>
        </w:rPr>
        <w:t xml:space="preserve">Abstract (EN): </w:t>
      </w:r>
      <w:r>
        <w:t>Fluorination strategies for electrolyte solvents are widely used to improve the electrochemical performance and cycling stability of Li‐metal batteries. Recently, β‐fluorinated 1‐ethoxy‐2‐methoxyethane (F</w:t>
      </w:r>
      <w:r>
        <w:t xml:space="preserve"> </w:t>
      </w:r>
      <w:r>
        <w:t>x</w:t>
      </w:r>
      <w:r>
        <w:t xml:space="preserve"> </w:t>
      </w:r>
      <w:r>
        <w:t>EME) has been designed and shown to exhibit excellent oxidative stability. However, solvent design remains largely empirical, and its atomistic‐level effects are not fully understood. Here, we investigated how fluorination affects the oxidative stability of asymmetric ethers, (F</w:t>
      </w:r>
      <w:r>
        <w:t xml:space="preserve"> </w:t>
      </w:r>
      <w:r>
        <w:t>x</w:t>
      </w:r>
      <w:r>
        <w:t xml:space="preserve"> </w:t>
      </w:r>
      <w:r>
        <w:t>)EME, using multiscale modeling with density functional theory (DFT), ab initio molecular dynamics (AIMD), and machine‐learning force field (MLFF)‐MD. DFT and AIMD capture fluorination‐induced electronic‐structure changes with high accuracy, while MLFF‐MD enables exploration of interfacial reactions at larger time and length scales. Our results indicate that β‐fluorination stabilizes ethoxy C–H bonds via inductive effects and weakens solvent–cathode (Li</w:t>
      </w:r>
      <w:r>
        <w:t xml:space="preserve"> </w:t>
      </w:r>
      <w:r>
        <w:t>0.5</w:t>
      </w:r>
      <w:r>
        <w:t xml:space="preserve"> </w:t>
      </w:r>
      <w:r>
        <w:t>NiO</w:t>
      </w:r>
      <w:r>
        <w:rPr>
          <w:vertAlign w:val="subscript"/>
        </w:rPr>
        <w:t>2</w:t>
      </w:r>
      <w:r>
        <w:t>) interactions through electron redistribution, mitigating oxidation and C–C activation. Furthermore, the increased dipole moment of F3EME drives a preferential orientation that shields the methoxy group. Overall, these three fluorination‐induced effects confer F</w:t>
      </w:r>
      <w:r>
        <w:t xml:space="preserve"> </w:t>
      </w:r>
      <w:r>
        <w:t>x</w:t>
      </w:r>
      <w:r>
        <w:t xml:space="preserve"> </w:t>
      </w:r>
      <w:r>
        <w:t>EME significantly higher oxidative stability than EME. This work provides atomistic insights into fluorination‐driven electronic and interfacial effects, supporting rational electrolyte design.</w:t>
      </w:r>
    </w:p>
    <w:p>
      <w:pPr>
        <w:spacing w:before="120" w:after="120"/>
      </w:pPr>
      <w:r>
        <w:rPr>
          <w:sz w:val="18"/>
        </w:rPr>
        <w:t>——————————————————————————————————————————————————————————————————————</w:t>
      </w:r>
    </w:p>
    <w:p>
      <w:pPr>
        <w:spacing w:before="160" w:after="40" w:line="240" w:lineRule="auto"/>
      </w:pPr>
      <w:r>
        <w:rPr>
          <w:b/>
        </w:rPr>
        <w:t xml:space="preserve">[8] </w:t>
      </w:r>
      <w:hyperlink r:id="rId94">
        <w:r>
          <w:rPr>
            <w:color w:val="1155CC"/>
            <w:u w:val="single"/>
          </w:rPr>
          <w:t>准固态复合电解质中聚（离子液体）接枝多孔杂化分子刷的定制界面可实现超高倍率和高压锂金属电池</w:t>
        </w:r>
      </w:hyperlink>
    </w:p>
    <w:p>
      <w:pPr>
        <w:spacing w:before="0" w:after="80"/>
      </w:pPr>
      <w:r>
        <w:rPr>
          <w:i/>
          <w:sz w:val="20"/>
        </w:rPr>
        <w:t>EN: Tailoring Interfaces With Poly(Ionic Liquid)‐Grafted Porous Hybrid Molecular Brushes in Quasi‐Solid‐State Composite Electrolytes Enables Ultrahigh‐Rate and High‐Voltage Lithium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2026-06-23 08:03:31+00:00</w:t>
      </w:r>
      <w:r>
        <w:t xml:space="preserve">    </w:t>
      </w:r>
      <w:r>
        <w:rPr>
          <w:b/>
        </w:rPr>
        <w:t xml:space="preserve">DOI: </w:t>
      </w:r>
      <w:hyperlink r:id="rId95">
        <w:r>
          <w:rPr>
            <w:color w:val="1155CC"/>
            <w:u w:val="single"/>
          </w:rPr>
          <w:t>10.1002/anie.1940410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开发将高界面稳定性与快速离子传输相结合的准固态复合电解质（QSCE）仍然是构建长寿命、超高倍率锂金属电池（LMB）的关键挑战。在此，利用聚（离子液体）接枝多孔二氧化硅杂化分子刷（SiO</w:t>
      </w:r>
      <w:r>
        <w:rPr>
          <w:vertAlign w:val="subscript"/>
        </w:rPr>
        <w:t>2</w:t>
      </w:r>
      <w:r>
        <w:t>‐</w:t>
      </w:r>
      <w:r>
        <w:t xml:space="preserve"> </w:t>
      </w:r>
      <w:r>
        <w:t>克</w:t>
      </w:r>
      <w:r>
        <w:t xml:space="preserve"> </w:t>
      </w:r>
      <w:r>
        <w:t>‐PILDFOB）作为多功能填料。聚离子液体侧链中硼和氟的协同作用促进了高度稳定的固体电解质界面（SEI）和阴极电解质界面（CEI）的形成，显着增强了与高活性电极的界面相容性。同时，多孔二氧化硅为锂离子提供了连续的传输通道，大大提高了锂离子的传输效率。因此，Li|PSI|NCM9055 全电池在 8 C 的超高倍率下实现了 1000 次循环的长循环寿命。此外，在 4.4 V 的高截止电压下，具有高阴极负载量（6.9 mg cm）的 Li|PSI|NCM9055 软包电池</w:t>
      </w:r>
      <w:r>
        <w:t xml:space="preserve"> </w:t>
      </w:r>
      <w:r>
        <w:t>−2</w:t>
      </w:r>
      <w:r>
        <w:t xml:space="preserve"> </w:t>
      </w:r>
      <w:r>
        <w:t>) 的放电比容量为 200.9 mAh g</w:t>
      </w:r>
      <w:r>
        <w:t xml:space="preserve"> </w:t>
      </w:r>
      <w:r>
        <w:t>−1</w:t>
      </w:r>
      <w:r>
        <w:t xml:space="preserve"> </w:t>
      </w:r>
      <w:r>
        <w:t>在 0.7 C 下表现出 500 次循环的长寿命。能量密度为 413 Wh kg 的 1.54 Ah 软包电池</w:t>
      </w:r>
      <w:r>
        <w:t xml:space="preserve"> </w:t>
      </w:r>
      <w:r>
        <w:t>−1</w:t>
      </w:r>
      <w:r>
        <w:t xml:space="preserve"> </w:t>
      </w:r>
      <w:r>
        <w:t>也可以通过使用高负载阴极（21 mg cm</w:t>
      </w:r>
      <w:r>
        <w:t xml:space="preserve"> </w:t>
      </w:r>
      <w:r>
        <w:t>−2</w:t>
      </w:r>
    </w:p>
    <w:p>
      <w:pPr>
        <w:spacing w:before="0" w:after="200" w:lineRule="auto" w:line="276"/>
      </w:pPr>
      <w:r>
        <w:rPr>
          <w:b/>
        </w:rPr>
        <w:t xml:space="preserve">Abstract (EN): </w:t>
      </w:r>
      <w:r>
        <w:t>Developing quasi‐solid‐state composite electrolytes (QSCEs) that combine high interfacial stability with rapid ion transport remains a key challenge for constructing long‐life, ultrahigh‐rate lithium metal batteries (LMBs). Herein, a highly interface‐stable and ion‐conductive QSCE (denoted as PSI) is developed by utilizing poly(ionic liquid)‐grafted porous silica hybrid molecular brush (SiO</w:t>
      </w:r>
      <w:r>
        <w:rPr>
          <w:vertAlign w:val="subscript"/>
        </w:rPr>
        <w:t>2</w:t>
      </w:r>
      <w:r>
        <w:t>‐</w:t>
      </w:r>
      <w:r>
        <w:t xml:space="preserve"> </w:t>
      </w:r>
      <w:r>
        <w:t>g</w:t>
      </w:r>
      <w:r>
        <w:t xml:space="preserve"> </w:t>
      </w:r>
      <w:r>
        <w:t>‐PILDFOB) as a multifunctional filler. The synergistic effect of boron and fluorine in poly(ionic liquid) side chains promotes the formation of a highly stable solid electrolyte interphase (SEI) and cathode electrolyte interphase (CEI), significantly enhancing interfacial compatibility with highly active electrodes. Meanwhile, porous silica provides continuous transport channels for lithium ions, substantially improving lithium‐ion transport efficiency. As a result, the Li|PSI|NCM9055 full cell achieves a long cycle life of 1000 cycles at an ultrahigh rate of 8 C. Moreover, under a high cut‐off voltage of 4.4 V, the Li|PSI|NCM9055 pouch cell with a high cathode loading (6.9 mg cm</w:t>
      </w:r>
      <w:r>
        <w:t xml:space="preserve"> </w:t>
      </w:r>
      <w:r>
        <w:t>−2</w:t>
      </w:r>
      <w:r>
        <w:t xml:space="preserve"> </w:t>
      </w:r>
      <w:r>
        <w:t>) exhibits a specific discharge capacity of 200.9 mAh g</w:t>
      </w:r>
      <w:r>
        <w:t xml:space="preserve"> </w:t>
      </w:r>
      <w:r>
        <w:t>−1</w:t>
      </w:r>
      <w:r>
        <w:t xml:space="preserve"> </w:t>
      </w:r>
      <w:r>
        <w:t>at 0.7 C and demonstrates a long lifespan of 500 cycles. A 1.54 Ah pouch cell with an energy density of 413 Wh kg</w:t>
      </w:r>
      <w:r>
        <w:t xml:space="preserve"> </w:t>
      </w:r>
      <w:r>
        <w:t>−1</w:t>
      </w:r>
      <w:r>
        <w:t xml:space="preserve"> </w:t>
      </w:r>
      <w:r>
        <w:t>can also be achieved by using high‐loading cathodes (21 mg cm</w:t>
      </w:r>
      <w:r>
        <w:t xml:space="preserve"> </w:t>
      </w:r>
      <w:r>
        <w:t>−2</w:t>
      </w:r>
      <w:r>
        <w:t xml:space="preserve"> </w:t>
      </w:r>
      <w:r>
        <w:t>). This work provides a feasible design strategy for developing ultrahigh‐rate and high‐voltage LMBs.</w:t>
      </w:r>
    </w:p>
    <w:p>
      <w:pPr>
        <w:spacing w:before="120" w:after="120"/>
      </w:pPr>
      <w:r>
        <w:rPr>
          <w:sz w:val="18"/>
        </w:rPr>
        <w:t>——————————————————————————————————————————————————————————————————————</w:t>
      </w:r>
    </w:p>
    <w:p>
      <w:pPr>
        <w:spacing w:before="160" w:after="40" w:line="240" w:lineRule="auto"/>
      </w:pPr>
      <w:r>
        <w:rPr>
          <w:b/>
        </w:rPr>
        <w:t xml:space="preserve">[9] </w:t>
      </w:r>
      <w:hyperlink r:id="rId96">
        <w:r>
          <w:rPr>
            <w:color w:val="1155CC"/>
            <w:u w:val="single"/>
          </w:rPr>
          <w:t>钠金属电池中质子深共晶固体电解质的竞争溶剂驱动界面稳定</w:t>
        </w:r>
      </w:hyperlink>
    </w:p>
    <w:p>
      <w:pPr>
        <w:spacing w:before="0" w:after="80"/>
      </w:pPr>
      <w:r>
        <w:rPr>
          <w:i/>
          <w:sz w:val="20"/>
        </w:rPr>
        <w:t>EN: Competitive Solvation‐Driven Interface Stabilization for Protic Deep Eutectic Solid Electrolyte in Sodium‐Metal Batteries</w:t>
      </w:r>
    </w:p>
    <w:p>
      <w:pPr>
        <w:spacing w:before="0" w:after="120"/>
      </w:pPr>
      <w:r>
        <w:rPr>
          <w:b/>
        </w:rPr>
        <w:t xml:space="preserve">Source: </w:t>
      </w:r>
      <w:r>
        <w:t>Wiley: Advanced Materials: Table of Contents</w:t>
      </w:r>
      <w:r>
        <w:t xml:space="preserve">    </w:t>
      </w:r>
      <w:r>
        <w:rPr>
          <w:b/>
        </w:rPr>
        <w:t xml:space="preserve">Pub date: </w:t>
      </w:r>
      <w:r>
        <w:t>2026-06-23 16:35:13+00:00</w:t>
      </w:r>
      <w:r>
        <w:t xml:space="preserve">    </w:t>
      </w:r>
      <w:r>
        <w:rPr>
          <w:b/>
        </w:rPr>
        <w:t xml:space="preserve">DOI: </w:t>
      </w:r>
      <w:hyperlink r:id="rId97">
        <w:r>
          <w:rPr>
            <w:color w:val="1155CC"/>
            <w:u w:val="single"/>
          </w:rPr>
          <w:t>10.1002/adma.73790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固态钠电池（SSSB）在安全和高能量存储方面具有广阔的前景，但其发展受到固体电解质的低离子电导率和严重的界面副反应的阻碍，特别是当采用质子深共晶电解质（DEE）来增强电导率时。典型 DEE（例如 N-甲基乙酰胺，NMA）中的活性氢很容易与钠金属负极发生反应，导致性能快速衰减。在此，我们提出了一种溶剂化重建策略，通过将极性碳酸酯纳入基于 NaTFSI-NMA DEE 的复合固体电解质（CSE）中来解决这个问题。碳酸酯分子优先进入Na的溶剂化结构</w:t>
      </w:r>
      <w:r>
        <w:t xml:space="preserve"> </w:t>
      </w:r>
      <w:r>
        <w:t>+</w:t>
      </w:r>
      <w:r>
        <w:t xml:space="preserve"> </w:t>
      </w:r>
      <w:r>
        <w:t>，取代主要溶剂化鞘层中的NMA，从而抑制其与Na负极的界面副反应。优化后的电解质（PNDC）表现出2.82 mS·cm的高离子电导率</w:t>
      </w:r>
      <w:r>
        <w:t xml:space="preserve"> </w:t>
      </w:r>
      <w:r>
        <w:t>−1</w:t>
      </w:r>
      <w:r>
        <w:t xml:space="preserve"> </w:t>
      </w:r>
      <w:r>
        <w:t>, 一个钠</w:t>
      </w:r>
      <w:r>
        <w:t xml:space="preserve"> </w:t>
      </w:r>
      <w:r>
        <w:t>+</w:t>
      </w:r>
      <w:r>
        <w:t xml:space="preserve"> </w:t>
      </w:r>
      <w:r>
        <w:t>其迁移数为0.77，活化能为0.12 eV，电化学窗口为4.8 V。组装的钠金属电池可在5 C下稳定运行2500次循环。此外，它还表现出优异的安全性能。这项工作提出了一种合理的溶剂化工程方法来克服质子 DEE 的界面挑战，为快速充电 SSSB 提供安全且高性能的电解质。</w:t>
      </w:r>
    </w:p>
    <w:p>
      <w:pPr>
        <w:spacing w:before="0" w:after="200" w:lineRule="auto" w:line="276"/>
      </w:pPr>
      <w:r>
        <w:rPr>
          <w:b/>
        </w:rPr>
        <w:t xml:space="preserve">Abstract (EN): </w:t>
      </w:r>
      <w:r>
        <w:t>Solid‐state sodium batteries (SSSBs) are promising for safe and high‐energy storage, while their development is hindered by the low ionic conductivity of solid electrolytes and severe interfacial side reactions, especially when protic deep eutectic electrolytes (DEEs) are employed to enhance conductivity. The active hydrogen in typical DEEs (e.g., N‐methylacetamide, NMA) readily reacts with the sodium metal negative electrode, leading to rapid performance decay. Herein, we propose a solvation reconstruction strategy to address this issue by incorporating polar carbonate ester into a composite solid electrolyte (CSE) based on NaTFSI‐NMA DEE. Carbonate ester molecules preferentially enter the solvation structure of Na</w:t>
      </w:r>
      <w:r>
        <w:t xml:space="preserve"> </w:t>
      </w:r>
      <w:r>
        <w:t>+</w:t>
      </w:r>
      <w:r>
        <w:t xml:space="preserve"> </w:t>
      </w:r>
      <w:r>
        <w:t>, replacing NMA from the primary solvation sheath layer, thereby inhibiting its interfacial by‐reaction with the Na negative electrode. The optimized electrolyte (PNDC) exhibits a high ionic conductivity of 2.82 mS·cm</w:t>
      </w:r>
      <w:r>
        <w:t xml:space="preserve"> </w:t>
      </w:r>
      <w:r>
        <w:t>−1</w:t>
      </w:r>
      <w:r>
        <w:t xml:space="preserve"> </w:t>
      </w:r>
      <w:r>
        <w:t>, a Na</w:t>
      </w:r>
      <w:r>
        <w:t xml:space="preserve"> </w:t>
      </w:r>
      <w:r>
        <w:t>+</w:t>
      </w:r>
      <w:r>
        <w:t xml:space="preserve"> </w:t>
      </w:r>
      <w:r>
        <w:t>transference number of 0.77, a low activation energy of 0.12 eV, and a wide electrochemical window of 4.8 V. The assembled sodium metal cell can operate stably for 2500 cycles at 5 C. Moreover, it demonstrates excellent safety performance. This work presents a rational solvation engineering approach to overcome the interfacial challenges of protic DEEs, offering a safe and high‐performance electrolyte for fast‐charging SSSBs.</w:t>
      </w:r>
    </w:p>
    <w:p>
      <w:pPr>
        <w:spacing w:before="120" w:after="120"/>
      </w:pPr>
      <w:r>
        <w:rPr>
          <w:sz w:val="18"/>
        </w:rPr>
        <w:t>——————————————————————————————————————————————————————————————————————</w:t>
      </w:r>
    </w:p>
    <w:p>
      <w:pPr>
        <w:spacing w:before="160" w:after="40" w:line="240" w:lineRule="auto"/>
      </w:pPr>
      <w:r>
        <w:rPr>
          <w:b/>
        </w:rPr>
        <w:t xml:space="preserve">[10] </w:t>
      </w:r>
      <w:hyperlink r:id="rId98">
        <w:r>
          <w:rPr>
            <w:color w:val="1155CC"/>
            <w:u w:val="single"/>
          </w:rPr>
          <w:t>采用高度耐用的锌离子纤维电池可大规模生产可运动的自充电动力纺织品</w:t>
        </w:r>
      </w:hyperlink>
    </w:p>
    <w:p>
      <w:pPr>
        <w:spacing w:before="0" w:after="80"/>
      </w:pPr>
      <w:r>
        <w:rPr>
          <w:i/>
          <w:sz w:val="20"/>
        </w:rPr>
        <w:t>EN: Scalable Production of Motion‐Enabled Self‐Charging Power Textiles with Highly Durable Zinc‐Ion Fiber Batteries</w:t>
      </w:r>
    </w:p>
    <w:p>
      <w:pPr>
        <w:spacing w:before="0" w:after="120"/>
      </w:pPr>
      <w:r>
        <w:rPr>
          <w:b/>
        </w:rPr>
        <w:t xml:space="preserve">Source: </w:t>
      </w:r>
      <w:r>
        <w:t>Wiley: Advanced Materials: Table of Contents</w:t>
      </w:r>
      <w:r>
        <w:t xml:space="preserve">    </w:t>
      </w:r>
      <w:r>
        <w:rPr>
          <w:b/>
        </w:rPr>
        <w:t xml:space="preserve">Pub date: </w:t>
      </w:r>
      <w:r>
        <w:t>2026-06-23 16:53:51+00:00</w:t>
      </w:r>
      <w:r>
        <w:t xml:space="preserve">    </w:t>
      </w:r>
      <w:r>
        <w:rPr>
          <w:b/>
        </w:rPr>
        <w:t xml:space="preserve">DOI: </w:t>
      </w:r>
      <w:hyperlink r:id="rId99">
        <w:r>
          <w:rPr>
            <w:color w:val="1155CC"/>
            <w:u w:val="single"/>
          </w:rPr>
          <w:t>10.1002/adma.73836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为了满足可穿戴电子产品对便捷电源的迫切需求，这项工作提出了基于集成收集-管理-存储策略的自充电电力纺织品。该系统采用纤维状摩擦纳米发电机（F-TENG）与能量管理模块配对，从运动中获取能量。与此同时，锌</w:t>
      </w:r>
      <w:r>
        <w:t xml:space="preserve"> </w:t>
      </w:r>
      <w:r>
        <w:t>2+</w:t>
      </w:r>
      <w:r>
        <w:t xml:space="preserve"> </w:t>
      </w:r>
      <w:r>
        <w:t>‐使用海藻酸钠/聚乙烯醇（SA/PVA）水凝胶电解质辅助原位快速交联策略可实现纤维状锌离子电池（F-ZIB）的规模化生产。这种水凝胶电解质建立了连续的锌</w:t>
      </w:r>
      <w:r>
        <w:t xml:space="preserve"> </w:t>
      </w:r>
      <w:r>
        <w:t>2+</w:t>
      </w:r>
      <w:r>
        <w:t xml:space="preserve"> </w:t>
      </w:r>
      <w:r>
        <w:t>传导通路，使 F-ZIB 在 0.2 A g-1 下循环 100 次后仍保留 95.7% 的容量</w:t>
      </w:r>
      <w:r>
        <w:t xml:space="preserve"> </w:t>
      </w:r>
      <w:r>
        <w:t>−1</w:t>
      </w:r>
      <w:r>
        <w:t xml:space="preserve"> </w:t>
      </w:r>
      <w:r>
        <w:t>2 A g 下 1,000 次循环后为 86.5%</w:t>
      </w:r>
      <w:r>
        <w:t xml:space="preserve"> </w:t>
      </w:r>
      <w:r>
        <w:t>−1</w:t>
      </w:r>
      <w:r>
        <w:t xml:space="preserve"> </w:t>
      </w:r>
      <w:r>
        <w:t>，具有良好的环境耐受性。 F-TENG 复合纱线完全适合大规模制造。通过共同编织 F-ZIB 和 F-TENG，动力纺织品表现出协同、长期运行的能力，能够为智能手机、智能戒指和人工智能眼镜等商业设备提供动力。这项研究为下一代自供电可穿戴系统提供了一种易于使用且通用的能源解决方案。</w:t>
      </w:r>
    </w:p>
    <w:p>
      <w:pPr>
        <w:spacing w:before="0" w:after="200" w:lineRule="auto" w:line="276"/>
      </w:pPr>
      <w:r>
        <w:rPr>
          <w:b/>
        </w:rPr>
        <w:t xml:space="preserve">Abstract (EN): </w:t>
      </w:r>
      <w:r>
        <w:t>To meet the pressing need for convenient power in wearable electronics, this work presents self‐charging power textiles based on an integrated harvesting‐management‐storage strategy. The system employs fiber‐shaped triboelectric nanogenerators (F‐TENGs) paired with an energy management module to harvest energy from motion. Meanwhile, a Zn</w:t>
      </w:r>
      <w:r>
        <w:t xml:space="preserve"> </w:t>
      </w:r>
      <w:r>
        <w:t>2+</w:t>
      </w:r>
      <w:r>
        <w:t xml:space="preserve"> </w:t>
      </w:r>
      <w:r>
        <w:t>‐assisted in situ rapid cross‐linking strategy using a sodium alginate/polyvinyl alcohol (SA/PVA) hydrogel electrolyte enables scalable production of fiber‐shaped zinc‐ion batteries (F‐ZIBs). This hydrogel electrolyte establishes continuous Zn</w:t>
      </w:r>
      <w:r>
        <w:t xml:space="preserve"> </w:t>
      </w:r>
      <w:r>
        <w:t>2+</w:t>
      </w:r>
      <w:r>
        <w:t xml:space="preserve"> </w:t>
      </w:r>
      <w:r>
        <w:t>conduction pathways, allowing the F‐ZIB to retain 95.7% capacity after 100 cycles at 0.2 A g</w:t>
      </w:r>
      <w:r>
        <w:t xml:space="preserve"> </w:t>
      </w:r>
      <w:r>
        <w:t>−1</w:t>
      </w:r>
      <w:r>
        <w:t xml:space="preserve"> </w:t>
      </w:r>
      <w:r>
        <w:t>and 86.5% after 1,000 cycles at 2 A g</w:t>
      </w:r>
      <w:r>
        <w:t xml:space="preserve"> </w:t>
      </w:r>
      <w:r>
        <w:t>−1</w:t>
      </w:r>
      <w:r>
        <w:t xml:space="preserve"> </w:t>
      </w:r>
      <w:r>
        <w:t>, with good environmental tolerance. The composite yarns for F‐TENGs are fully compatible with large‐scale manufacturing. By co‐weaving F‐ZIBs and F‐TENGs, the power textile demonstrates synergistic, long‐term operation capable of powering commercial devices such as smartphones, smart rings, and AI glasses. This study provides an accessible and universal energy solution for next‐generation self‐powered wearable systems.</w:t>
      </w:r>
    </w:p>
    <w:p>
      <w:pPr>
        <w:spacing w:before="120" w:after="120"/>
      </w:pPr>
      <w:r>
        <w:rPr>
          <w:sz w:val="18"/>
        </w:rPr>
        <w:t>——————————————————————————————————————————————————————————————————————</w:t>
      </w:r>
    </w:p>
    <w:p>
      <w:pPr>
        <w:spacing w:before="160" w:after="40" w:line="240" w:lineRule="auto"/>
      </w:pPr>
      <w:r>
        <w:rPr>
          <w:b/>
        </w:rPr>
        <w:t xml:space="preserve">[11] </w:t>
      </w:r>
      <w:hyperlink r:id="rId58">
        <w:r>
          <w:rPr>
            <w:color w:val="1155CC"/>
            <w:u w:val="single"/>
          </w:rPr>
          <w:t>用于长循环固态锂金属电池的机械集成梯度电解质</w:t>
        </w:r>
      </w:hyperlink>
    </w:p>
    <w:p>
      <w:pPr>
        <w:spacing w:before="0" w:after="80"/>
      </w:pPr>
      <w:r>
        <w:rPr>
          <w:i/>
          <w:sz w:val="20"/>
        </w:rPr>
        <w:t>EN: A mechano-integrated gradient electrolyte for long-cycling solid-state lithium metal batteries</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克服界面机械电化学故障仍然是固态锂金属电池的一个基本挑战，其中聚合物提供共形界面接触，但离子电导率较低，而氧化物/硫化物提供高离子电导率，但面临严重的界面问题。在这里，我们展示了一种基于具有双扩链剂的氢键聚氨酯基质的机械集成梯度电解质。聚氨酯基体表现出高粘弹性（&gt;5000%断裂应变）和自修复性，允许高填料负载和连续三相锂离子渗滤网络。空间梯度 Li1.3Al0.3Ti1.7(PO4)3 结构 (10–100 wt%) 解耦了界面要求：与锂金属负极的保形接触、高离子电导率 (~10−4 S cm−1) 和高达 4.9 V 的电化学稳定性窗口。同源聚合物框架消除了化学机械降解，同时提供机械强度 (&gt;80 MPa) 和溶液加工性。这种集成设计可抑制界面分层和枝晶生长（&gt;7500 小时的稳定锂沉积/剥离），并减轻正极退化（Li | |LiFePO4 电池在 0.5 C 下循环 1000 次后容量保持率为 74%，并且在无堆压 NCM811 软包电池中稳定运行）。这项工作为高能量密度、长寿命的固态锂金属电池提供了一个可扩展的平台。</w:t>
      </w:r>
    </w:p>
    <w:p>
      <w:pPr>
        <w:spacing w:before="0" w:after="200" w:lineRule="auto" w:line="276"/>
      </w:pPr>
      <w:r>
        <w:rPr>
          <w:b/>
        </w:rPr>
        <w:t xml:space="preserve">Abstract (EN): </w:t>
      </w:r>
      <w:r>
        <w:t>Overcoming interfacial mechano-electrochemical failure remains a fundamental challenge in solid-state lithium metal batteries, where polymers offer conformal interfacial contact but suffer from low ionic conductivity, while oxides/sulfides provide high ionic conductivity but face severe interfacial issues. Here we show a mechano-integrated gradient electrolyte based on a hydrogen-bonded polyurethane matrix with dual chain extenders. The polyurethane matrix exhibits high viscoelasticity (&gt;5000% fracture strain) and self-healing, allowing high filler loading and continuous triphasic lithium-ion percolation networks. A spatially graded Li1.3Al0.3Ti1.7(PO4)3 architecture (10–100 wt%) decouples interfacial requirements: conformal contact with lithium metal negative electrode, high ionic conductivity (~10−4 S cm−1), and an electrochemical stability window up to 4.9 V. The homologous polymer framework eliminates chemo-mechanical degradation while providing mechanical strength (&gt;80 MPa) and solution processability. This integrated design suppresses interfacial delamination and dendrite growth (&gt;7500 h of stable lithium plating/stripping), and mitigates positive electrode degradation (74% capacity retention after 1000 cycles in Li | |LiFePO4 cells at 0.5 C and stable operation in stack-pressure-free NCM811 pouch cells). This work provides a scalable platform for high-energy-density, long-lifespan solid-state lithium metal batteries.</w:t>
      </w:r>
    </w:p>
    <w:p>
      <w:pPr>
        <w:spacing w:before="120" w:after="120"/>
      </w:pPr>
      <w:r>
        <w:rPr>
          <w:sz w:val="18"/>
        </w:rPr>
        <w:t>——————————————————————————————————————————————————————————————————————</w:t>
      </w:r>
    </w:p>
    <w:p>
      <w:pPr>
        <w:spacing w:before="160" w:after="40" w:line="240" w:lineRule="auto"/>
      </w:pPr>
      <w:r>
        <w:rPr>
          <w:b/>
        </w:rPr>
        <w:t xml:space="preserve">[12] </w:t>
      </w:r>
      <w:hyperlink r:id="rId100">
        <w:r>
          <w:rPr>
            <w:color w:val="1155CC"/>
            <w:u w:val="single"/>
          </w:rPr>
          <w:t>多氢键桥复合固体电解质为稳定的固态锂电池提供连续的Li+途径</w:t>
        </w:r>
      </w:hyperlink>
    </w:p>
    <w:p>
      <w:pPr>
        <w:spacing w:before="0" w:after="80"/>
      </w:pPr>
      <w:r>
        <w:rPr>
          <w:i/>
          <w:sz w:val="20"/>
        </w:rPr>
        <w:t>EN: Multihydrogen-bond-bridged composite solid electrolytes enabling continuous Li+ pathways for stable solid-state lithium batteries</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101">
        <w:r>
          <w:rPr>
            <w:color w:val="1155CC"/>
            <w:u w:val="single"/>
          </w:rPr>
          <w:t>10.1126/sciadv.aed5972</w:t>
        </w:r>
      </w:hyperlink>
    </w:p>
    <w:p>
      <w:pPr>
        <w:spacing w:before="0" w:after="120"/>
      </w:pPr>
      <w:r>
        <w:rPr>
          <w:b/>
        </w:rPr>
        <w:t xml:space="preserve">Notes: </w:t>
      </w:r>
      <w:r>
        <w:t>abstract_source=crossref</w:t>
      </w:r>
    </w:p>
    <w:p>
      <w:pPr>
        <w:spacing w:before="0" w:after="80" w:lineRule="auto" w:line="276"/>
      </w:pPr>
      <w:r>
        <w:rPr>
          <w:b/>
        </w:rPr>
        <w:t xml:space="preserve">摘要（ZH）: </w:t>
      </w:r>
      <w:r>
        <w:t>复合固体电解质（CSE）对于开发更安全、更高能量密度的固态电池具有广阔的前景。然而，碳酸锂（Li</w:t>
      </w:r>
      <w:r>
        <w:rPr>
          <w:vertAlign w:val="subscript"/>
        </w:rPr>
        <w:t>2</w:t>
      </w:r>
      <w:r>
        <w:t>一氧化碳</w:t>
      </w:r>
      <w:r>
        <w:rPr>
          <w:vertAlign w:val="subscript"/>
        </w:rPr>
        <w:t>3</w:t>
      </w:r>
      <w:r>
        <w:t>) 石榴石型锂上的钝化层</w:t>
      </w:r>
      <w:r>
        <w:t xml:space="preserve"> </w:t>
      </w:r>
      <w:r>
        <w:t>6.4</w:t>
      </w:r>
      <w:r>
        <w:t xml:space="preserve"> </w:t>
      </w:r>
      <w:r>
        <w:t>拉</w:t>
      </w:r>
      <w:r>
        <w:rPr>
          <w:vertAlign w:val="subscript"/>
        </w:rPr>
        <w:t>3</w:t>
      </w:r>
      <w:r>
        <w:t>锆</w:t>
      </w:r>
      <w:r>
        <w:t xml:space="preserve"> </w:t>
      </w:r>
      <w:r>
        <w:t>1.7</w:t>
      </w:r>
      <w:r>
        <w:t xml:space="preserve"> </w:t>
      </w:r>
      <w:r>
        <w:t>塔</w:t>
      </w:r>
      <w:r>
        <w:t xml:space="preserve"> </w:t>
      </w:r>
      <w:r>
        <w:t>0.3</w:t>
      </w:r>
      <w:r>
        <w:t xml:space="preserve"> </w:t>
      </w:r>
      <w:r>
        <w:t>氧</w:t>
      </w:r>
      <w:r>
        <w:rPr>
          <w:vertAlign w:val="subscript"/>
        </w:rPr>
        <w:t>12</w:t>
      </w:r>
      <w:r>
        <w:t>（LLZTO）表面导致陶瓷颗粒和不连续的锂离子（Li</w:t>
      </w:r>
      <w:r>
        <w:t xml:space="preserve"> </w:t>
      </w:r>
      <w:r>
        <w:t>+</w:t>
      </w:r>
      <w:r>
        <w:t xml:space="preserve"> </w:t>
      </w:r>
      <w:r>
        <w:t>）运输，特别是对于高含量陶瓷。在这里，我们将Li化学转化为</w:t>
      </w:r>
      <w:r>
        <w:rPr>
          <w:vertAlign w:val="subscript"/>
        </w:rPr>
        <w:t>2</w:t>
      </w:r>
      <w:r>
        <w:t>一氧化碳</w:t>
      </w:r>
      <w:r>
        <w:rPr>
          <w:vertAlign w:val="subscript"/>
        </w:rPr>
        <w:t>3</w:t>
      </w:r>
      <w:r>
        <w:t>涂刷状聚乙二醇甲醚丙烯酸酯-</w:t>
      </w:r>
      <w:r>
        <w:t>共</w:t>
      </w:r>
      <w:r>
        <w:t xml:space="preserve"> </w:t>
      </w:r>
      <w:r>
        <w:t>甲基丙烯酸-2-(3-(6-甲基-4-氧代-1,4-二氢嘧啶-2-基)脲基)乙酯 (PEGMA-</w:t>
      </w:r>
      <w:r>
        <w:t>共</w:t>
      </w:r>
      <w:r>
        <w:t xml:space="preserve"> </w:t>
      </w:r>
      <w:r>
        <w:t>-UPyMA)聚合物。这些改性陶瓷（LLZTO-</w:t>
      </w:r>
      <w:r>
        <w:t>克</w:t>
      </w:r>
      <w:r>
        <w:t xml:space="preserve"> </w:t>
      </w:r>
      <w:r>
        <w:t>-PEGMA-</w:t>
      </w:r>
      <w:r>
        <w:t>共</w:t>
      </w:r>
      <w:r>
        <w:t xml:space="preserve"> </w:t>
      </w:r>
      <w:r>
        <w:t>-UPyMA) 通过氢键耦合与动态超分子离子导电聚合物 (DSICP) 集成，产生均质的 LLZTO-</w:t>
      </w:r>
      <w:r>
        <w:t>克</w:t>
      </w:r>
      <w:r>
        <w:t xml:space="preserve"> </w:t>
      </w:r>
      <w:r>
        <w:t>-PEGMA-</w:t>
      </w:r>
      <w:r>
        <w:t>共</w:t>
      </w:r>
      <w:r>
        <w:t xml:space="preserve"> </w:t>
      </w:r>
      <w:r>
        <w:t>-UPyMA@DSICP CSE 具有连续 Li</w:t>
      </w:r>
      <w:r>
        <w:t xml:space="preserve"> </w:t>
      </w:r>
      <w:r>
        <w:t>+</w:t>
      </w:r>
      <w:r>
        <w:t xml:space="preserve"> </w:t>
      </w:r>
      <w:r>
        <w:t>运输途径</w:t>
      </w:r>
    </w:p>
    <w:p>
      <w:pPr>
        <w:spacing w:before="0" w:after="200" w:lineRule="auto" w:line="276"/>
      </w:pPr>
      <w:r>
        <w:rPr>
          <w:b/>
        </w:rPr>
        <w:t xml:space="preserve">Abstract (EN): </w:t>
      </w:r>
      <w:r>
        <w:t>Composite solid electrolytes (CSEs) hold great promise for advancing safer and higher-energy-density solid-state batteries. However, the poor interface compatibility caused by the lithium carbonate (Li</w:t>
      </w:r>
      <w:r>
        <w:rPr>
          <w:vertAlign w:val="subscript"/>
        </w:rPr>
        <w:t>2</w:t>
      </w:r>
      <w:r>
        <w:t>CO</w:t>
      </w:r>
      <w:r>
        <w:rPr>
          <w:vertAlign w:val="subscript"/>
        </w:rPr>
        <w:t>3</w:t>
      </w:r>
      <w:r>
        <w:t>) passivation layer on the garnet-type Li</w:t>
      </w:r>
      <w:r>
        <w:t xml:space="preserve"> </w:t>
      </w:r>
      <w:r>
        <w:t>6.4</w:t>
      </w:r>
      <w:r>
        <w:t xml:space="preserve"> </w:t>
      </w:r>
      <w:r>
        <w:t>La</w:t>
      </w:r>
      <w:r>
        <w:rPr>
          <w:vertAlign w:val="subscript"/>
        </w:rPr>
        <w:t>3</w:t>
      </w:r>
      <w:r>
        <w:t>Zr</w:t>
      </w:r>
      <w:r>
        <w:t xml:space="preserve"> </w:t>
      </w:r>
      <w:r>
        <w:t>1.7</w:t>
      </w:r>
      <w:r>
        <w:t xml:space="preserve"> </w:t>
      </w:r>
      <w:r>
        <w:t>Ta</w:t>
      </w:r>
      <w:r>
        <w:t xml:space="preserve"> </w:t>
      </w:r>
      <w:r>
        <w:t>0.3</w:t>
      </w:r>
      <w:r>
        <w:t xml:space="preserve"> </w:t>
      </w:r>
      <w:r>
        <w:t>O</w:t>
      </w:r>
      <w:r>
        <w:rPr>
          <w:vertAlign w:val="subscript"/>
        </w:rPr>
        <w:t>12</w:t>
      </w:r>
      <w:r>
        <w:t>(LLZTO) surface leads to an inhomogeneous distribution of ceramic particles and discontinuous lithium ion (Li</w:t>
      </w:r>
      <w:r>
        <w:t xml:space="preserve"> </w:t>
      </w:r>
      <w:r>
        <w:t>+</w:t>
      </w:r>
      <w:r>
        <w:t xml:space="preserve"> </w:t>
      </w:r>
      <w:r>
        <w:t>) transport, especially for high-content ceramics. Herein, we chemically convert the Li</w:t>
      </w:r>
      <w:r>
        <w:rPr>
          <w:vertAlign w:val="subscript"/>
        </w:rPr>
        <w:t>2</w:t>
      </w:r>
      <w:r>
        <w:t>CO</w:t>
      </w:r>
      <w:r>
        <w:rPr>
          <w:vertAlign w:val="subscript"/>
        </w:rPr>
        <w:t>3</w:t>
      </w:r>
      <w:r>
        <w:t>layer into brushlike poly(ethylene glycol) methyl ether acrylate-</w:t>
      </w:r>
      <w:r>
        <w:t>co</w:t>
      </w:r>
      <w:r>
        <w:t xml:space="preserve"> </w:t>
      </w:r>
      <w:r>
        <w:t>-2-(3-(6-methyl-4-oxo-1,4-dihydropyrimidin-2-yl)ureido)ethyl methacrylate (PEGMA-</w:t>
      </w:r>
      <w:r>
        <w:t>co</w:t>
      </w:r>
      <w:r>
        <w:t xml:space="preserve"> </w:t>
      </w:r>
      <w:r>
        <w:t>-UPyMA) polymers. These modified ceramics (LLZTO-</w:t>
      </w:r>
      <w:r>
        <w:t>g</w:t>
      </w:r>
      <w:r>
        <w:t xml:space="preserve"> </w:t>
      </w:r>
      <w:r>
        <w:t>-PEGMA-</w:t>
      </w:r>
      <w:r>
        <w:t>co</w:t>
      </w:r>
      <w:r>
        <w:t xml:space="preserve"> </w:t>
      </w:r>
      <w:r>
        <w:t>-UPyMA) are integrated with a dynamic supramolecular ionic conducting polymer (DSICP) through hydrogen bond coupling, yielding a homogeneous LLZTO-</w:t>
      </w:r>
      <w:r>
        <w:t>g</w:t>
      </w:r>
      <w:r>
        <w:t xml:space="preserve"> </w:t>
      </w:r>
      <w:r>
        <w:t>-PEGMA-</w:t>
      </w:r>
      <w:r>
        <w:t>co</w:t>
      </w:r>
      <w:r>
        <w:t xml:space="preserve"> </w:t>
      </w:r>
      <w:r>
        <w:t>-UPyMA@DSICP CSE with continuous Li</w:t>
      </w:r>
      <w:r>
        <w:t xml:space="preserve"> </w:t>
      </w:r>
      <w:r>
        <w:t>+</w:t>
      </w:r>
      <w:r>
        <w:t xml:space="preserve"> </w:t>
      </w:r>
      <w:r>
        <w:t>transport pathways, even at 90 weight % ceramic loading. This CSE enables exceptional cycling stability, with Li|LiFePO</w:t>
      </w:r>
      <w:r>
        <w:rPr>
          <w:vertAlign w:val="subscript"/>
        </w:rPr>
        <w:t>4</w:t>
      </w:r>
      <w:r>
        <w:t>cells retaining 88.8% capacity after 2000 cycles and 4.4-volt Li|NMC811 cells maintaining 83.7% after 300 cycles. Impressively, the 1.26–ampere hour pouch cell retains 85.6% capacity after 100 cycles, demonstrating unprecedented feasibility for practical solid-state lithium batteries.</w:t>
      </w:r>
    </w:p>
    <w:p>
      <w:pPr>
        <w:spacing w:before="120" w:after="120"/>
      </w:pPr>
      <w:r>
        <w:rPr>
          <w:sz w:val="18"/>
        </w:rPr>
        <w:t>——————————————————————————————————————————————————————————————————————</w:t>
      </w:r>
    </w:p>
    <w:p>
      <w:pPr>
        <w:spacing w:before="160" w:after="40" w:line="240" w:lineRule="auto"/>
      </w:pPr>
      <w:r>
        <w:rPr>
          <w:b/>
        </w:rPr>
        <w:t xml:space="preserve">[13] </w:t>
      </w:r>
      <w:hyperlink r:id="rId102">
        <w:r>
          <w:rPr>
            <w:color w:val="1155CC"/>
            <w:u w:val="single"/>
          </w:rPr>
          <w:t>氟苯介导的拖曳效应促进体/界面离子传输，使长寿命钾离子电池能够在-50°C下运行</w:t>
        </w:r>
      </w:hyperlink>
    </w:p>
    <w:p>
      <w:pPr>
        <w:spacing w:before="0" w:after="80"/>
      </w:pPr>
      <w:r>
        <w:rPr>
          <w:i/>
          <w:sz w:val="20"/>
        </w:rPr>
        <w:t>EN: Fluorobenzene‐Mediated Dragging Effect Boosting Bulk/Interfacial Ion Transport Enables −50°C Operation of Long‐Life Potassium‐Ion Batteries</w:t>
      </w:r>
    </w:p>
    <w:p>
      <w:pPr>
        <w:spacing w:before="0" w:after="120"/>
      </w:pPr>
      <w:r>
        <w:rPr>
          <w:b/>
        </w:rPr>
        <w:t xml:space="preserve">Source: </w:t>
      </w:r>
      <w:r>
        <w:t>Wiley: Advanced Materials: Table of Contents</w:t>
      </w:r>
      <w:r>
        <w:t xml:space="preserve">    </w:t>
      </w:r>
      <w:r>
        <w:rPr>
          <w:b/>
        </w:rPr>
        <w:t xml:space="preserve">Pub date: </w:t>
      </w:r>
      <w:r>
        <w:t>2026-06-24 08:17:21+00:00</w:t>
      </w:r>
      <w:r>
        <w:t xml:space="preserve">    </w:t>
      </w:r>
      <w:r>
        <w:rPr>
          <w:b/>
        </w:rPr>
        <w:t xml:space="preserve">DOI: </w:t>
      </w:r>
      <w:hyperlink r:id="rId103">
        <w:r>
          <w:rPr>
            <w:color w:val="1155CC"/>
            <w:u w:val="single"/>
          </w:rPr>
          <w:t>10.1002/adma.73768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K 的小斯托克斯半径</w:t>
      </w:r>
      <w:r>
        <w:t xml:space="preserve"> </w:t>
      </w:r>
      <w:r>
        <w:t>+</w:t>
      </w:r>
      <w:r>
        <w:t xml:space="preserve"> </w:t>
      </w:r>
      <w:r>
        <w:t>碳酸丙烯酯 (PC) (3.6 Å) 中的碳酸丙烯酯 (PC) (3.6 Å) 可能会促进本体电解质和界面中的快速迁移。然而，钾离子电池（PIB）的实际应用仍然受到低温条件下缓慢的去溶剂化动力学和界面不稳定性的阻碍。在此，通过将高浓度电解质的特性与氟苯（FB）和PC之间的“拖曳效应”（非溶剂化相互作用）相结合，设计了具有快速离子迁移率的PC基电解质。富含接触离子对 (CIP) 和聚集体 (AGG) 的优化电解质的粘度降低了三倍，离子电导率提高了 40%（∼3.9 mS cm）</w:t>
      </w:r>
      <w:r>
        <w:t xml:space="preserve"> </w:t>
      </w:r>
      <w:r>
        <w:t>−1</w:t>
      </w:r>
      <w:r>
        <w:t xml:space="preserve"> </w:t>
      </w:r>
      <w:r>
        <w:t>-10°C 时），去溶剂化活化能降低 8%（32.5 kJ mol</w:t>
      </w:r>
      <w:r>
        <w:t xml:space="preserve"> </w:t>
      </w:r>
      <w:r>
        <w:t>−1</w:t>
      </w:r>
      <w:r>
        <w:t xml:space="preserve"> </w:t>
      </w:r>
      <w:r>
        <w:t>）和富含 KF 的固体电解质中间相（SEI），其机械模量增加了 13 倍（16.7 GPa）。因此，石墨/K-FeHCFe全电池即使在-50°C下也能保持超过51%的室温容量，并在25°C（1000次循环后77.4%）和-20°C（300次循环后91.2%）下表现出长期循环稳定性。此外，70mAh 软包电池在 -10°C 下循环 100 次后容量保持率为 90%。这项工作阐明了溶剂化结构对去溶剂化动力学和界面稳定性的影响，为高性能、低温 PIB 提供了设计策略。</w:t>
      </w:r>
    </w:p>
    <w:p>
      <w:pPr>
        <w:spacing w:before="0" w:after="200" w:lineRule="auto" w:line="276"/>
      </w:pPr>
      <w:r>
        <w:rPr>
          <w:b/>
        </w:rPr>
        <w:t xml:space="preserve">Abstract (EN): </w:t>
      </w:r>
      <w:r>
        <w:t>The small Stokes radius of K</w:t>
      </w:r>
      <w:r>
        <w:t xml:space="preserve"> </w:t>
      </w:r>
      <w:r>
        <w:t>+</w:t>
      </w:r>
      <w:r>
        <w:t xml:space="preserve"> </w:t>
      </w:r>
      <w:r>
        <w:t>in propylene carbonate (PC) (3.6 Å) potentially promotes fast migration both in the bulk electrolyte and interface. However, the practical applications of potassium‐ion batteries (PIBs) are still hindered by sluggish desolvation kinetics and interfacial instability under low‐temperature conditions. Herein, PC‐based electrolytes with fast ion mobility were designed by coupling the features of high‐concentration electrolytes with the “dragging effect” (non‐solvating interaction) between fluorobenzene (FB) and PC. The optimized electrolyte enriching with contact ion pairs (CIPs) and aggregates (AGGs) exhibits a threefold reduction of viscosity, 40% increased ionic conductivity (∼3.9 mS cm</w:t>
      </w:r>
      <w:r>
        <w:t xml:space="preserve"> </w:t>
      </w:r>
      <w:r>
        <w:t>−1</w:t>
      </w:r>
      <w:r>
        <w:t xml:space="preserve"> </w:t>
      </w:r>
      <w:r>
        <w:t>at −10°C), 8% reduced desolvation activation energy (32.5 kJ mol</w:t>
      </w:r>
      <w:r>
        <w:t xml:space="preserve"> </w:t>
      </w:r>
      <w:r>
        <w:t>−1</w:t>
      </w:r>
      <w:r>
        <w:t xml:space="preserve"> </w:t>
      </w:r>
      <w:r>
        <w:t>), and a KF‐rich solid electrolyte interphase (SEI) with a thirteenfold increase of mechanical modulus (16.7 GPa). Consequently, the graphite // K‐FeHCFe full cells maintain over 51% of room‐temperature capacity even at −50°C and exhibit long‐term cycling stability at 25°C (77.4% after 1000 cycles) and −20°C (91.2% after 300 cycles). Furthermore, 70 mAh pouch cells deliver 90% capacity retention after 100 cycles at −10°C. This work elucidates the effects of solvation structure on desolvation kinetics and interfacial stability, providing a design strategy for high‐performance, low‐temperature PIBs.</w:t>
      </w:r>
    </w:p>
    <w:p>
      <w:pPr>
        <w:spacing w:before="120" w:after="120"/>
      </w:pPr>
      <w:r>
        <w:rPr>
          <w:sz w:val="18"/>
        </w:rPr>
        <w:t>——————————————————————————————————————————————————————————————————————</w:t>
      </w:r>
    </w:p>
    <w:p>
      <w:pPr>
        <w:spacing w:before="160" w:after="40" w:line="240" w:lineRule="auto"/>
      </w:pPr>
      <w:r>
        <w:rPr>
          <w:b/>
        </w:rPr>
        <w:t xml:space="preserve">[14] </w:t>
      </w:r>
      <w:hyperlink r:id="rId104">
        <w:r>
          <w:rPr>
            <w:color w:val="1155CC"/>
            <w:u w:val="single"/>
          </w:rPr>
          <w:t>协同阴离子增强溶剂化化学和阳离子静电屏蔽，用于在宽温度范围内快速充电钠离子全电池</w:t>
        </w:r>
      </w:hyperlink>
    </w:p>
    <w:p>
      <w:pPr>
        <w:spacing w:before="0" w:after="80"/>
      </w:pPr>
      <w:r>
        <w:rPr>
          <w:i/>
          <w:sz w:val="20"/>
        </w:rPr>
        <w:t>EN: Synergistic Anion‐Reinforced Solvation Chemistry and Cationic Electrostatic Shielding for Fast‐Charging Sodium‐Ion Full Batteries Over a Wide Temperature Range</w:t>
      </w:r>
    </w:p>
    <w:p>
      <w:pPr>
        <w:spacing w:before="0" w:after="120"/>
      </w:pPr>
      <w:r>
        <w:rPr>
          <w:b/>
        </w:rPr>
        <w:t xml:space="preserve">Source: </w:t>
      </w:r>
      <w:r>
        <w:t>Wiley: Angewandte Chemie International Edition: Table of Contents</w:t>
      </w:r>
      <w:r>
        <w:t xml:space="preserve">    </w:t>
      </w:r>
      <w:r>
        <w:rPr>
          <w:b/>
        </w:rPr>
        <w:t xml:space="preserve">Pub date: </w:t>
      </w:r>
      <w:r>
        <w:t>2026-06-24 12:58:41+00:00</w:t>
      </w:r>
      <w:r>
        <w:t xml:space="preserve">    </w:t>
      </w:r>
      <w:r>
        <w:rPr>
          <w:b/>
        </w:rPr>
        <w:t xml:space="preserve">DOI: </w:t>
      </w:r>
      <w:hyperlink r:id="rId105">
        <w:r>
          <w:rPr>
            <w:color w:val="1155CC"/>
            <w:u w:val="single"/>
          </w:rPr>
          <w:t>10.1002/anie.3303191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钠离子电池（SIB）能够在较宽的温度范围内快速充电条件下稳定运行，对于间歇性可再生清洁能源的高效利用具有重要意义。在此，一种含有四丁基铵(TBA)的多功能电解液添加剂</w:t>
      </w:r>
      <w:r>
        <w:t xml:space="preserve"> </w:t>
      </w:r>
      <w:r>
        <w:t>+</w:t>
      </w:r>
      <w:r>
        <w:t xml:space="preserve"> </w:t>
      </w:r>
      <w:r>
        <w:t>) 阳离子和高氯酸盐 (ClO</w:t>
      </w:r>
      <w:r>
        <w:rPr>
          <w:vertAlign w:val="subscript"/>
        </w:rPr>
        <w:t>4</w:t>
      </w:r>
      <w:r>
        <w:t>-</w:t>
      </w:r>
      <w:r>
        <w:t>)阴离子被用来构建环保的无氟电解质体系，显着提高SIB的耐温性和快速充电性能。具体来说，待定</w:t>
      </w:r>
      <w:r>
        <w:t xml:space="preserve"> </w:t>
      </w:r>
      <w:r>
        <w:t>+</w:t>
      </w:r>
      <w:r>
        <w:t xml:space="preserve"> </w:t>
      </w:r>
      <w:r>
        <w:t>阳离子由于还原电位低，会产生静电屏蔽效应，引导Na均匀分布</w:t>
      </w:r>
      <w:r>
        <w:t xml:space="preserve"> </w:t>
      </w:r>
      <w:r>
        <w:t>+</w:t>
      </w:r>
      <w:r>
        <w:t xml:space="preserve"> </w:t>
      </w:r>
      <w:r>
        <w:t>电极表面的通量。同时，引入ClO</w:t>
      </w:r>
      <w:r>
        <w:rPr>
          <w:vertAlign w:val="subscript"/>
        </w:rPr>
        <w:t>4</w:t>
      </w:r>
      <w:r>
        <w:t>-</w:t>
      </w:r>
      <w:r>
        <w:t>阴离子促进阴离子增强溶剂化结构的形成。这种结构有效降低了Na的去溶剂化能垒</w:t>
      </w:r>
      <w:r>
        <w:t xml:space="preserve"> </w:t>
      </w:r>
      <w:r>
        <w:t>+</w:t>
      </w:r>
      <w:r>
        <w:t xml:space="preserve"> </w:t>
      </w:r>
      <w:r>
        <w:t>并促进具有高离子电导率的稳定电极-电解质界面的形成。这种协同机制有效抑制快速充电过程中的钠沉积，并减轻连续电解质分解和过渡金属溶解。因此，组装好的普鲁士蓝||硬碳（PB||HC）全电池表现出优异的快速充电性能</w:t>
      </w:r>
    </w:p>
    <w:p>
      <w:pPr>
        <w:spacing w:before="0" w:after="200" w:lineRule="auto" w:line="276"/>
      </w:pPr>
      <w:r>
        <w:rPr>
          <w:b/>
        </w:rPr>
        <w:t xml:space="preserve">Abstract (EN): </w:t>
      </w:r>
      <w:r>
        <w:t>Sodium‐ion batteries (SIBs) capable of stable operation under fast‐charging conditions across a wide temperature range are of great significance for the efficient utilization of intermittent renewable clean energy. Herein, a multifunctional electrolyte additive containing tetrabutylammonium (TBA</w:t>
      </w:r>
      <w:r>
        <w:t xml:space="preserve"> </w:t>
      </w:r>
      <w:r>
        <w:t>+</w:t>
      </w:r>
      <w:r>
        <w:t xml:space="preserve"> </w:t>
      </w:r>
      <w:r>
        <w:t>) cation and perchlorate (ClO</w:t>
      </w:r>
      <w:r>
        <w:rPr>
          <w:vertAlign w:val="subscript"/>
        </w:rPr>
        <w:t>4</w:t>
      </w:r>
      <w:r>
        <w:t>−</w:t>
      </w:r>
      <w:r>
        <w:t>) anion is employed to construct an environmentally friendly fluorine‐free electrolyte system, significantly enhancing the temperature tolerance and fast‐charging performance of SIBs. Specifically, the TBA</w:t>
      </w:r>
      <w:r>
        <w:t xml:space="preserve"> </w:t>
      </w:r>
      <w:r>
        <w:t>+</w:t>
      </w:r>
      <w:r>
        <w:t xml:space="preserve"> </w:t>
      </w:r>
      <w:r>
        <w:t>cations, due to their low reduction potential, induce an electrostatic shielding effect that guides the uniform distribution of Na</w:t>
      </w:r>
      <w:r>
        <w:t xml:space="preserve"> </w:t>
      </w:r>
      <w:r>
        <w:t>+</w:t>
      </w:r>
      <w:r>
        <w:t xml:space="preserve"> </w:t>
      </w:r>
      <w:r>
        <w:t>flux on the electrode surface. Meanwhile, the introduced ClO</w:t>
      </w:r>
      <w:r>
        <w:rPr>
          <w:vertAlign w:val="subscript"/>
        </w:rPr>
        <w:t>4</w:t>
      </w:r>
      <w:r>
        <w:t>−</w:t>
      </w:r>
      <w:r>
        <w:t>anions facilitate the formation of the anion‐reinforced solvation structure. This structure effectively reduces the desolvation energy barrier of Na</w:t>
      </w:r>
      <w:r>
        <w:t xml:space="preserve"> </w:t>
      </w:r>
      <w:r>
        <w:t>+</w:t>
      </w:r>
      <w:r>
        <w:t xml:space="preserve"> </w:t>
      </w:r>
      <w:r>
        <w:t>and promotes the formation of a stable electrode‐electrolyte interface with high ionic conductivity. This synergistic mechanism effectively suppresses Na plating during fast charging and mitigates continuous electrolyte decomposition and transition metal dissolution. Consequently, the assembled Prussian blue||hard carbon (PB||HC) full cell demonstrates excellent fast‐charging performance across a wide temperature range (10–100°C). More importantly, the PB||HC 18650 cylindrical cell exhibits a superior cycling stability and outstanding rate performance at an elevated temperature of 55°C, demonstrating the great potential of this electrolyte system for practical applications.</w:t>
      </w:r>
    </w:p>
    <w:p>
      <w:pPr>
        <w:spacing w:before="120" w:after="120"/>
      </w:pPr>
      <w:r>
        <w:rPr>
          <w:sz w:val="18"/>
        </w:rPr>
        <w:t>——————————————————————————————————————————————————————————————————————</w:t>
      </w:r>
    </w:p>
    <w:p>
      <w:pPr>
        <w:spacing w:before="160" w:after="40" w:line="240" w:lineRule="auto"/>
      </w:pPr>
      <w:r>
        <w:rPr>
          <w:b/>
        </w:rPr>
        <w:t xml:space="preserve">[15] </w:t>
      </w:r>
      <w:hyperlink r:id="rId106">
        <w:r>
          <w:rPr>
            <w:color w:val="1155CC"/>
            <w:u w:val="single"/>
          </w:rPr>
          <w:t>用于高度安全锂电池的自组装唑醇杂化框架的阻燃准固态电解质</w:t>
        </w:r>
      </w:hyperlink>
    </w:p>
    <w:p>
      <w:pPr>
        <w:spacing w:before="0" w:after="80"/>
      </w:pPr>
      <w:r>
        <w:rPr>
          <w:i/>
          <w:sz w:val="20"/>
        </w:rPr>
        <w:t>EN: Flame‐Retardant Quasi‐Solid‐State Electrolytes From Self‐Assembled Azolate Hybrid Frameworks for Highly Safe Lithium Batteries</w:t>
      </w:r>
    </w:p>
    <w:p>
      <w:pPr>
        <w:spacing w:before="0" w:after="120"/>
      </w:pPr>
      <w:r>
        <w:rPr>
          <w:b/>
        </w:rPr>
        <w:t xml:space="preserve">Source: </w:t>
      </w:r>
      <w:r>
        <w:t>Wiley: Angewandte Chemie International Edition: Table of Contents</w:t>
      </w:r>
      <w:r>
        <w:t xml:space="preserve">    </w:t>
      </w:r>
      <w:r>
        <w:rPr>
          <w:b/>
        </w:rPr>
        <w:t xml:space="preserve">Pub date: </w:t>
      </w:r>
      <w:r>
        <w:t>2026-06-24 13:03:56+00:00</w:t>
      </w:r>
      <w:r>
        <w:t xml:space="preserve">    </w:t>
      </w:r>
      <w:r>
        <w:rPr>
          <w:b/>
        </w:rPr>
        <w:t xml:space="preserve">DOI: </w:t>
      </w:r>
      <w:hyperlink r:id="rId107">
        <w:r>
          <w:rPr>
            <w:color w:val="1155CC"/>
            <w:u w:val="single"/>
          </w:rPr>
          <w:t>10.1002/anie.1279221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同时提供快速离子传输和固有热安全性的准固态电解质（QSSE）仍然是锂电池的一个核心挑战，因为离子电导率的改进通常伴随着可燃性和界面不稳定性的增加。在这里，我们提出了一种喷雾辅助原位组装策略，直接在玻璃纤维基材上构建氮杂化框架（AHF），然后进行热聚合以产生化学集成的QSSE。杂环AHF提供有序的亲锂配位位点和连续的离子传输路径，从而实现高效的Li</w:t>
      </w:r>
      <w:r>
        <w:t xml:space="preserve"> </w:t>
      </w:r>
      <w:r>
        <w:t>+</w:t>
      </w:r>
      <w:r>
        <w:t xml:space="preserve"> </w:t>
      </w:r>
      <w:r>
        <w:t>迁移，同时保持高热鲁棒性。结果，所得LiFePO</w:t>
      </w:r>
      <w:r>
        <w:rPr>
          <w:vertAlign w:val="subscript"/>
        </w:rPr>
        <w:t>4</w:t>
      </w:r>
      <w:r>
        <w:t>|FP10v-GF|Li 电池在 25°C 下可维持稳定循环超过 500 个循环，在 60°C 下可维持 100 个循环。值得注意的是，该框架结构能够在分子水平上限制磷酸三乙酯（TEP）作为阻燃成分，建立氮磷协同阻燃机制，而不影响电化学相容性。因此，高负载Li||LiFePO</w:t>
      </w:r>
      <w:r>
        <w:rPr>
          <w:vertAlign w:val="subscript"/>
        </w:rPr>
        <w:t>4</w:t>
      </w:r>
      <w:r>
        <w:t>电池在实际条件下表现出稳定的循环（E/C = 0.56 g Ah</w:t>
      </w:r>
      <w:r>
        <w:t xml:space="preserve"> </w:t>
      </w:r>
      <w:r>
        <w:t>−1</w:t>
      </w:r>
      <w:r>
        <w:t xml:space="preserve"> </w:t>
      </w:r>
      <w:r>
        <w:t>，N/p = 3.27）并成功承受 25°C 至 300°C 的加速量热测试，而没有热失控。这项工作展示了框架化学和分子限制如何</w:t>
      </w:r>
    </w:p>
    <w:p>
      <w:pPr>
        <w:spacing w:before="0" w:after="200" w:lineRule="auto" w:line="276"/>
      </w:pPr>
      <w:r>
        <w:rPr>
          <w:b/>
        </w:rPr>
        <w:t xml:space="preserve">Abstract (EN): </w:t>
      </w:r>
      <w:r>
        <w:t>Achieving quasi‐solid‐state electrolytes (QSSEs) that simultaneously deliver fast ion transport and intrinsic thermal safety remains a central challenge for lithium batteries, as improvements in ionic conductivity are often coupled with increased flammability and interfacial instability. Here, we present a spray‐assisted in situ assembly strategy to construct azolate hybrid frameworks (AHFs) directly on glass fiber substrates, followed by thermal polymerization to yield a chemically integrated QSSE. The heterocyclic AHF provides ordered lithium‐philic coordination sites and continuous ion‐transport pathways, enabling efficient Li</w:t>
      </w:r>
      <w:r>
        <w:t xml:space="preserve"> </w:t>
      </w:r>
      <w:r>
        <w:t>+</w:t>
      </w:r>
      <w:r>
        <w:t xml:space="preserve"> </w:t>
      </w:r>
      <w:r>
        <w:t>migration while maintaining high thermal robustness. As a result, the resulting LiFePO</w:t>
      </w:r>
      <w:r>
        <w:rPr>
          <w:vertAlign w:val="subscript"/>
        </w:rPr>
        <w:t>4</w:t>
      </w:r>
      <w:r>
        <w:t>|FP10v‐GF|Li cell sustains stable cycling for over 500 cycles at 25°C and 100 cycles at 60°C. Notably, the framework architecture enables molecular level confinement of triethyl phosphate (TEP) as a flame‐retardant component, establishing a nitrogen phosphorus synergistic flame‐retardant mechanism without compromising electrochemical compatibility. Consequently, high‐loading Li||LiFePO</w:t>
      </w:r>
      <w:r>
        <w:rPr>
          <w:vertAlign w:val="subscript"/>
        </w:rPr>
        <w:t>4</w:t>
      </w:r>
      <w:r>
        <w:t>cells exhibit stable cycling under practical conditions (E/C = 0.56 g Ah</w:t>
      </w:r>
      <w:r>
        <w:t xml:space="preserve"> </w:t>
      </w:r>
      <w:r>
        <w:t>−1</w:t>
      </w:r>
      <w:r>
        <w:t xml:space="preserve"> </w:t>
      </w:r>
      <w:r>
        <w:t>, N/p = 3.27) and successfully withstand accelerated rate calorimetry tests from 25°C to 300°C without thermal runaway. This work demonstrates how framework chemistry and molecular confinement can be synergistically integrated to decouple ionic conductivity from flammability, providing a general design principle for intrinsically safe, high‐energy quasi‐solid‐state lithium batteries.</w:t>
      </w:r>
    </w:p>
    <w:p>
      <w:pPr>
        <w:spacing w:before="120" w:after="120"/>
      </w:pPr>
      <w:r>
        <w:rPr>
          <w:sz w:val="18"/>
        </w:rPr>
        <w:t>——————————————————————————————————————————————————————————————————————</w:t>
      </w:r>
    </w:p>
    <w:p>
      <w:pPr>
        <w:spacing w:before="160" w:after="40" w:line="240" w:lineRule="auto"/>
      </w:pPr>
      <w:r>
        <w:rPr>
          <w:b/>
        </w:rPr>
        <w:t xml:space="preserve">[16] </w:t>
      </w:r>
      <w:hyperlink r:id="rId80">
        <w:r>
          <w:rPr>
            <w:color w:val="1155CC"/>
            <w:u w:val="single"/>
          </w:rPr>
          <w:t>用于长循环钙金属阳极的氟化烷氧基硼酸盐电解质中水介导的 SEI</w:t>
        </w:r>
      </w:hyperlink>
    </w:p>
    <w:p>
      <w:pPr>
        <w:spacing w:before="0" w:after="80"/>
      </w:pPr>
      <w:r>
        <w:rPr>
          <w:i/>
          <w:sz w:val="20"/>
        </w:rPr>
        <w:t>EN: Water‐Mediated SEI in Fluorinated Alkoxylborate Electrolytes for Long‐Cycling Calcium Metal Anodes</w:t>
      </w:r>
    </w:p>
    <w:p>
      <w:pPr>
        <w:spacing w:before="0" w:after="120"/>
      </w:pPr>
      <w:r>
        <w:rPr>
          <w:b/>
        </w:rPr>
        <w:t xml:space="preserve">Source: </w:t>
      </w:r>
      <w:r>
        <w:t>Wiley: Angewandte Chemie International Edition: Table of Contents</w:t>
      </w:r>
      <w:r>
        <w:t xml:space="preserve">    </w:t>
      </w:r>
      <w:r>
        <w:rPr>
          <w:b/>
        </w:rPr>
        <w:t xml:space="preserve">Pub date: </w:t>
      </w:r>
      <w:r>
        <w:t>2026-06-24 13:06:48+00:00</w:t>
      </w:r>
      <w:r>
        <w:t xml:space="preserve">    </w:t>
      </w:r>
      <w:r>
        <w:rPr>
          <w:b/>
        </w:rPr>
        <w:t xml:space="preserve">DOI: </w:t>
      </w:r>
      <w:hyperlink r:id="rId81">
        <w:r>
          <w:rPr>
            <w:color w:val="1155CC"/>
            <w:u w:val="single"/>
          </w:rPr>
          <w:t>10.1002/anie.6048136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钙金属阳极在可充电电池中的实际应用一直受到表面钝化的阻碍，这阻碍了钙的</w:t>
      </w:r>
      <w:r>
        <w:t xml:space="preserve"> </w:t>
      </w:r>
      <w:r>
        <w:t>2+</w:t>
      </w:r>
      <w:r>
        <w:t xml:space="preserve"> </w:t>
      </w:r>
      <w:r>
        <w:t>运输并诱导不均匀的 Ca 沉积。在此，我们证明引入定制的痕量水（~139 ppm）从根本上改变了最先进的 Ca[B(hfip) 中的界面化学</w:t>
      </w:r>
      <w:r>
        <w:rPr>
          <w:vertAlign w:val="subscript"/>
        </w:rPr>
        <w:t>4</w:t>
      </w:r>
      <w:r>
        <w:t>]</w:t>
      </w:r>
      <w:r>
        <w:rPr>
          <w:vertAlign w:val="subscript"/>
        </w:rPr>
        <w:t>2</w:t>
      </w:r>
      <w:r>
        <w:t>/DME电解液。机理研究表明，微量水不会引发有害的大量副反应，而是稳定地进入 Ca</w:t>
      </w:r>
      <w:r>
        <w:t xml:space="preserve"> </w:t>
      </w:r>
      <w:r>
        <w:t>2+</w:t>
      </w:r>
      <w:r>
        <w:t xml:space="preserve"> </w:t>
      </w:r>
      <w:r>
        <w:t>溶剂化鞘，在循环过程中引导受控的电化学水解途径。该过程产生薄而均匀的双层固体电解质界面（SEI），包括外部有机-无机杂化层和富含CaH的内部无机层</w:t>
      </w:r>
      <w:r>
        <w:rPr>
          <w:vertAlign w:val="subscript"/>
        </w:rPr>
        <w:t>2</w:t>
      </w:r>
      <w:r>
        <w:t>、CaO 和 CaF</w:t>
      </w:r>
      <w:r>
        <w:rPr>
          <w:vertAlign w:val="subscript"/>
        </w:rPr>
        <w:t>2</w:t>
      </w:r>
      <w:r>
        <w:t>，同时并发 H</w:t>
      </w:r>
      <w:r>
        <w:rPr>
          <w:vertAlign w:val="subscript"/>
        </w:rPr>
        <w:t>2</w:t>
      </w:r>
      <w:r>
        <w:t>演化有效地消除了钝化的原生氧化层。因此，这种定制的 SEI 可在 0.2 mA cm 电流下实现高度稳定的 Ca 电镀/剥离超过 400 小时</w:t>
      </w:r>
      <w:r>
        <w:t xml:space="preserve"> </w:t>
      </w:r>
      <w:r>
        <w:t>−2</w:t>
      </w:r>
      <w:r>
        <w:t xml:space="preserve"> </w:t>
      </w:r>
      <w:r>
        <w:t>1 mA cm 下超过 300 小时</w:t>
      </w:r>
      <w:r>
        <w:t xml:space="preserve"> </w:t>
      </w:r>
      <w:r>
        <w:t>−2</w:t>
      </w:r>
      <w:r>
        <w:t xml:space="preserve"> </w:t>
      </w:r>
      <w:r>
        <w:t>。此外，电解质的高阳极稳定性使得各种高压阴极能够在宽电压窗口（高达 4.5 V</w:t>
      </w:r>
    </w:p>
    <w:p>
      <w:pPr>
        <w:spacing w:before="0" w:after="200" w:lineRule="auto" w:line="276"/>
      </w:pPr>
      <w:r>
        <w:rPr>
          <w:b/>
        </w:rPr>
        <w:t xml:space="preserve">Abstract (EN): </w:t>
      </w:r>
      <w:r>
        <w:t>The practical implementation of calcium metal anodes in rechargeable batteries is persistently hindered by surface passivation, which impedes Ca</w:t>
      </w:r>
      <w:r>
        <w:t xml:space="preserve"> </w:t>
      </w:r>
      <w:r>
        <w:t>2+</w:t>
      </w:r>
      <w:r>
        <w:t xml:space="preserve"> </w:t>
      </w:r>
      <w:r>
        <w:t>transport and induces inhomogeneous Ca deposition. Herein, we demonstrate that introducing a tailored trace amount of water (∼139 ppm) fundamentally modifies the interfacial chemistry in a state‐of‐the‐art Ca[B(hfip)</w:t>
      </w:r>
      <w:r>
        <w:rPr>
          <w:vertAlign w:val="subscript"/>
        </w:rPr>
        <w:t>4</w:t>
      </w:r>
      <w:r>
        <w:t>]</w:t>
      </w:r>
      <w:r>
        <w:rPr>
          <w:vertAlign w:val="subscript"/>
        </w:rPr>
        <w:t>2</w:t>
      </w:r>
      <w:r>
        <w:t>/DME electrolyte. Mechanistic investigations reveal that instead of triggering deleterious bulk side reactions, the trace water stably enters Ca</w:t>
      </w:r>
      <w:r>
        <w:t xml:space="preserve"> </w:t>
      </w:r>
      <w:r>
        <w:t>2+</w:t>
      </w:r>
      <w:r>
        <w:t xml:space="preserve"> </w:t>
      </w:r>
      <w:r>
        <w:t>solvation sheath, directing a controlled electrochemical hydrolysis pathway during cycling. This process generates a thin, uniform bilayer solid electrolyte interphase (SEI) comprising an outer hybrid organic‐inorganic layer and an inner inorganic layer rich in CaH</w:t>
      </w:r>
      <w:r>
        <w:rPr>
          <w:vertAlign w:val="subscript"/>
        </w:rPr>
        <w:t>2</w:t>
      </w:r>
      <w:r>
        <w:t>, CaO, and CaF</w:t>
      </w:r>
      <w:r>
        <w:rPr>
          <w:vertAlign w:val="subscript"/>
        </w:rPr>
        <w:t>2</w:t>
      </w:r>
      <w:r>
        <w:t>, while concurrent H</w:t>
      </w:r>
      <w:r>
        <w:rPr>
          <w:vertAlign w:val="subscript"/>
        </w:rPr>
        <w:t>2</w:t>
      </w:r>
      <w:r>
        <w:t>evolution effectively eliminates the passivating native oxide layer. Consequently, this tailored SEI enables highly stable Ca plating/stripping for over 400 h at 0.2 mA cm</w:t>
      </w:r>
      <w:r>
        <w:t xml:space="preserve"> </w:t>
      </w:r>
      <w:r>
        <w:t>−2</w:t>
      </w:r>
      <w:r>
        <w:t xml:space="preserve"> </w:t>
      </w:r>
      <w:r>
        <w:t>and over 300 h at 1 mA cm</w:t>
      </w:r>
      <w:r>
        <w:t xml:space="preserve"> </w:t>
      </w:r>
      <w:r>
        <w:t>−2</w:t>
      </w:r>
      <w:r>
        <w:t xml:space="preserve"> </w:t>
      </w:r>
      <w:r>
        <w:t>. Furthermore, the high anodic stability of the electrolyte enables reliable operation of various high‐voltage cathodes within a wide voltage window (up to 4.5 V) for up to 70 cycles. These results highlight the critical role of a stable SEI for Ca metal anodes, but also illustrate how subtle electrolyte modification can profoundly regulate the interfacial chemistry toward high‐performance multivalent batteries.</w:t>
      </w:r>
    </w:p>
    <w:p>
      <w:pPr>
        <w:spacing w:before="120" w:after="120"/>
      </w:pPr>
      <w:r>
        <w:rPr>
          <w:sz w:val="18"/>
        </w:rPr>
        <w:t>——————————————————————————————————————————————————————————————————————</w:t>
      </w:r>
    </w:p>
    <w:p>
      <w:pPr>
        <w:spacing w:before="160" w:after="40" w:line="240" w:lineRule="auto"/>
      </w:pPr>
      <w:r>
        <w:rPr>
          <w:b/>
        </w:rPr>
        <w:t xml:space="preserve">[17] </w:t>
      </w:r>
      <w:hyperlink r:id="rId82">
        <w:r>
          <w:rPr>
            <w:color w:val="1155CC"/>
            <w:u w:val="single"/>
          </w:rPr>
          <w:t>水凝胶工程界面通过氢键抑制水活性并调节溶剂化稳定锌金属阳极</w:t>
        </w:r>
      </w:hyperlink>
    </w:p>
    <w:p>
      <w:pPr>
        <w:spacing w:before="0" w:after="80"/>
      </w:pPr>
      <w:r>
        <w:rPr>
          <w:i/>
          <w:sz w:val="20"/>
        </w:rPr>
        <w:t>EN: Hydrogel‐Engineered Interface Suppressing Water Activity by Hydrogen Bonds and Regulated Solvation for Stable Zn Metal Anodes</w:t>
      </w:r>
    </w:p>
    <w:p>
      <w:pPr>
        <w:spacing w:before="0" w:after="120"/>
      </w:pPr>
      <w:r>
        <w:rPr>
          <w:b/>
        </w:rPr>
        <w:t xml:space="preserve">Source: </w:t>
      </w:r>
      <w:r>
        <w:t>Wiley: Advanced Energy Materials: Table of Contents</w:t>
      </w:r>
      <w:r>
        <w:t xml:space="preserve">    </w:t>
      </w:r>
      <w:r>
        <w:rPr>
          <w:b/>
        </w:rPr>
        <w:t xml:space="preserve">Pub date: </w:t>
      </w:r>
      <w:r>
        <w:t>2026-06-24 13:39:12+00:00</w:t>
      </w:r>
      <w:r>
        <w:t xml:space="preserve">    </w:t>
      </w:r>
      <w:r>
        <w:rPr>
          <w:b/>
        </w:rPr>
        <w:t xml:space="preserve">DOI: </w:t>
      </w:r>
      <w:hyperlink r:id="rId83">
        <w:r>
          <w:rPr>
            <w:color w:val="1155CC"/>
            <w:u w:val="single"/>
          </w:rPr>
          <w:t>10.1002/aenm.71211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锌金属阳极在水性电解质中的不稳定性主要是由水引起的副反应（例如析氢和腐蚀）引起的，严重限制了水性锌离子电池的寿命。在此，我们提出了一种原位聚合水凝胶涂层策略来设计锌/电解质界面。一种坚固的基于聚丙烯酰胺 (PAM) 的水凝胶层，含有聚乙二醇 (PEG) 和浓氯化锌</w:t>
      </w:r>
      <w:r>
        <w:rPr>
          <w:vertAlign w:val="subscript"/>
        </w:rPr>
        <w:t>2</w:t>
      </w:r>
      <w:r>
        <w:t>直接构建在 Zn 表面上（Zn-PAM/PEG/ZnCl</w:t>
      </w:r>
      <w:r>
        <w:rPr>
          <w:vertAlign w:val="subscript"/>
        </w:rPr>
        <w:t>2</w:t>
      </w:r>
      <w:r>
        <w:t>）。该多功能层可同时抑制水分活度并调节锌</w:t>
      </w:r>
      <w:r>
        <w:t xml:space="preserve"> </w:t>
      </w:r>
      <w:r>
        <w:t>2+</w:t>
      </w:r>
      <w:r>
        <w:t xml:space="preserve"> </w:t>
      </w:r>
      <w:r>
        <w:t>溶剂化结构。具体来说，PAM/PEG网络中丰富的亲水基团通过强氢键固定自由水分子，而Cl</w:t>
      </w:r>
      <w:r>
        <w:t xml:space="preserve"> </w:t>
      </w:r>
      <w:r>
        <w:t>-</w:t>
      </w:r>
      <w:r>
        <w:t>离子部分取代 Zn 初级溶剂化层中的水分子</w:t>
      </w:r>
      <w:r>
        <w:t xml:space="preserve"> </w:t>
      </w:r>
      <w:r>
        <w:t>2+</w:t>
      </w:r>
      <w:r>
        <w:t xml:space="preserve"> </w:t>
      </w:r>
      <w:r>
        <w:t>，有效减少析氢。此外，PEG增强了水凝胶的机械强度和保水能力，确保了卓越的界面稳定性。因此，Zn-PAM/PEG/ZnCl</w:t>
      </w:r>
      <w:r>
        <w:rPr>
          <w:vertAlign w:val="subscript"/>
        </w:rPr>
        <w:t>2</w:t>
      </w:r>
      <w:r>
        <w:t>电极在 1 mA cm 的对称电池中实现了超过 6600 小时（&gt; 9 个月）的非凡循环寿命</w:t>
      </w:r>
      <w:r>
        <w:t xml:space="preserve"> </w:t>
      </w:r>
      <w:r>
        <w:t>−2</w:t>
      </w:r>
      <w:r>
        <w:t xml:space="preserve"> </w:t>
      </w:r>
      <w:r>
        <w:t>和 1 毫安时厘米</w:t>
      </w:r>
      <w:r>
        <w:t xml:space="preserve"> </w:t>
      </w:r>
      <w:r>
        <w:t>−2</w:t>
      </w:r>
      <w:r>
        <w:t xml:space="preserve"> </w:t>
      </w:r>
      <w:r>
        <w:t>。与活性炭搭配使用时</w:t>
      </w:r>
    </w:p>
    <w:p>
      <w:pPr>
        <w:spacing w:before="0" w:after="200" w:lineRule="auto" w:line="276"/>
      </w:pPr>
      <w:r>
        <w:rPr>
          <w:b/>
        </w:rPr>
        <w:t xml:space="preserve">Abstract (EN): </w:t>
      </w:r>
      <w:r>
        <w:t>The instability of zinc metal anodes in aqueous electrolytes, primarily caused by water‐induced side reactions such as hydrogen evolution and corrosion, severely limits the lifespan of aqueous zinc‐ion batteries. Herein, we propose an in situ polymerized hydrogel coating strategy to engineer the Zn/electrolyte interface. A robust polyacrylamide (PAM)‐based hydrogel layer incorporating polyethylene glycol (PEG) and concentrated ZnCl</w:t>
      </w:r>
      <w:r>
        <w:rPr>
          <w:vertAlign w:val="subscript"/>
        </w:rPr>
        <w:t>2</w:t>
      </w:r>
      <w:r>
        <w:t>is constructed directly on the Zn surface (Zn‐PAM/PEG/ZnCl</w:t>
      </w:r>
      <w:r>
        <w:rPr>
          <w:vertAlign w:val="subscript"/>
        </w:rPr>
        <w:t>2</w:t>
      </w:r>
      <w:r>
        <w:t>). This multifunctional layer simultaneously suppresses water activity and regulates Zn</w:t>
      </w:r>
      <w:r>
        <w:t xml:space="preserve"> </w:t>
      </w:r>
      <w:r>
        <w:t>2+</w:t>
      </w:r>
      <w:r>
        <w:t xml:space="preserve"> </w:t>
      </w:r>
      <w:r>
        <w:t>solvation structure. Specifically, the abundant hydrophilic groups in the PAM/PEG networks immobilize free water molecules via strong hydrogen bonding, while Cl</w:t>
      </w:r>
      <w:r>
        <w:t xml:space="preserve"> </w:t>
      </w:r>
      <w:r>
        <w:t>−</w:t>
      </w:r>
      <w:r>
        <w:t>ions partially replace the water molecules in the primary solvation sheath of Zn</w:t>
      </w:r>
      <w:r>
        <w:t xml:space="preserve"> </w:t>
      </w:r>
      <w:r>
        <w:t>2+</w:t>
      </w:r>
      <w:r>
        <w:t xml:space="preserve"> </w:t>
      </w:r>
      <w:r>
        <w:t>, effectively mitigating hydrogen evolution. Furthermore, PEG enhances the mechanical strength and water‐retention capability of the hydrogel, ensuring exceptional interfacial stability. Consequently, the Zn‐PAM/PEG/ZnCl</w:t>
      </w:r>
      <w:r>
        <w:rPr>
          <w:vertAlign w:val="subscript"/>
        </w:rPr>
        <w:t>2</w:t>
      </w:r>
      <w:r>
        <w:t>electrode achieves an extraordinary cycling lifespan exceeding 6600 h (&amp;gt; 9 months) in symmetric cells at 1 mA cm</w:t>
      </w:r>
      <w:r>
        <w:t xml:space="preserve"> </w:t>
      </w:r>
      <w:r>
        <w:t>−2</w:t>
      </w:r>
      <w:r>
        <w:t xml:space="preserve"> </w:t>
      </w:r>
      <w:r>
        <w:t>and 1 mAh cm</w:t>
      </w:r>
      <w:r>
        <w:t xml:space="preserve"> </w:t>
      </w:r>
      <w:r>
        <w:t>−2</w:t>
      </w:r>
      <w:r>
        <w:t xml:space="preserve"> </w:t>
      </w:r>
      <w:r>
        <w:t>. When paired with activated carbon and MnO</w:t>
      </w:r>
      <w:r>
        <w:rPr>
          <w:vertAlign w:val="subscript"/>
        </w:rPr>
        <w:t>2</w:t>
      </w:r>
      <w:r>
        <w:t>electrodes, respectively, the full cells also demonstrate remarkable electrochemical performance and cycling durability. This work provides a profound insight into interfacial chemistry manipulation and offers a feasible approach to developing highly reversible zinc metal anodes for practical energy‐storage applications.</w:t>
      </w:r>
    </w:p>
    <w:p>
      <w:pPr>
        <w:spacing w:before="120" w:after="120"/>
      </w:pPr>
      <w:r>
        <w:rPr>
          <w:sz w:val="18"/>
        </w:rPr>
        <w:t>——————————————————————————————————————————————————————————————————————</w:t>
      </w:r>
    </w:p>
    <w:p>
      <w:pPr>
        <w:spacing w:before="160" w:after="40" w:line="240" w:lineRule="auto"/>
      </w:pPr>
      <w:r>
        <w:rPr>
          <w:b/>
        </w:rPr>
        <w:t xml:space="preserve">[18] </w:t>
      </w:r>
      <w:hyperlink r:id="rId84">
        <w:r>
          <w:rPr>
            <w:color w:val="1155CC"/>
            <w:u w:val="single"/>
          </w:rPr>
          <w:t>全固态锂离子电池中杂质沉积导致的接触损耗</w:t>
        </w:r>
      </w:hyperlink>
    </w:p>
    <w:p>
      <w:pPr>
        <w:spacing w:before="0" w:after="80"/>
      </w:pPr>
      <w:r>
        <w:rPr>
          <w:i/>
          <w:sz w:val="20"/>
        </w:rPr>
        <w:t>EN: Contact loss in all-solid-state Li-ion batteries via deposition of impurities</w:t>
      </w:r>
    </w:p>
    <w:p>
      <w:pPr>
        <w:spacing w:before="0" w:after="120"/>
      </w:pPr>
      <w:r>
        <w:rPr>
          <w:b/>
        </w:rPr>
        <w:t xml:space="preserve">Source: </w:t>
      </w:r>
      <w:r>
        <w:t>Joule</w:t>
      </w:r>
      <w:r>
        <w:t xml:space="preserve">    </w:t>
      </w:r>
      <w:r>
        <w:rPr>
          <w:b/>
        </w:rPr>
        <w:t xml:space="preserve">Pub date: </w:t>
      </w:r>
      <w:r>
        <w:t>2026-06-25 00:00:00+00:00</w:t>
      </w:r>
      <w:r>
        <w:t xml:space="preserve">    </w:t>
      </w:r>
      <w:r>
        <w:rPr>
          <w:b/>
        </w:rPr>
        <w:t xml:space="preserve">DOI: </w:t>
      </w:r>
      <w:hyperlink r:id="rId85">
        <w:r>
          <w:rPr>
            <w:color w:val="1155CC"/>
            <w:u w:val="single"/>
          </w:rPr>
          <w:t>10.1016/j.joule.2026.102539</w:t>
        </w:r>
      </w:hyperlink>
    </w:p>
    <w:p>
      <w:pPr>
        <w:spacing w:before="0" w:after="120"/>
      </w:pPr>
      <w:r>
        <w:rPr>
          <w:b/>
        </w:rPr>
        <w:t xml:space="preserve">Notes: </w:t>
      </w:r>
      <w:r>
        <w:t>abstract_source=rss_cell</w:t>
      </w:r>
    </w:p>
    <w:p>
      <w:pPr>
        <w:spacing w:before="0" w:after="80" w:lineRule="auto" w:line="276"/>
      </w:pPr>
      <w:r>
        <w:rPr>
          <w:b/>
        </w:rPr>
        <w:t xml:space="preserve">摘要（ZH）: </w:t>
      </w:r>
      <w:r>
        <w:t>固态电池中的界面接触损耗通常归因于原始锂（Li）金属在锂-固体电解质界面处形成的空隙。我们发现，锂阳极内的绝缘杂质在剥离过程中积聚在界面处，并形成多孔、机械稳定的层，阻止锂流入电解质。</w:t>
      </w:r>
    </w:p>
    <w:p>
      <w:pPr>
        <w:spacing w:before="0" w:after="200" w:lineRule="auto" w:line="276"/>
      </w:pPr>
      <w:r>
        <w:rPr>
          <w:b/>
        </w:rPr>
        <w:t xml:space="preserve">Abstract (EN): </w:t>
      </w:r>
      <w:r>
        <w:t>Interfacial contact loss in solid-state batteries is often attributed to the formation of voids in pristine lithium (Li) metal at the Li-solid electrolyte interface. We show that insulating impurities within the Li anode accumulate at the interface during stripping and create a porous, mechanically stable layer that blocks the flux of Li into the electrolyte.</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108">
        <w:r>
          <w:rPr>
            <w:color w:val="1155CC"/>
            <w:u w:val="single"/>
          </w:rPr>
          <w:t>电化学过程驱动的锂离子电池回收和再生技术综述</w:t>
        </w:r>
      </w:hyperlink>
    </w:p>
    <w:p>
      <w:pPr>
        <w:spacing w:before="0" w:after="80"/>
      </w:pPr>
      <w:r>
        <w:rPr>
          <w:i/>
          <w:sz w:val="20"/>
        </w:rPr>
        <w:t>EN: A review of electrochemical process-driven recycling and regeneration technologies for lithium-ion batteries</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9">
        <w:r>
          <w:rPr>
            <w:color w:val="1155CC"/>
            <w:u w:val="single"/>
          </w:rPr>
          <w:t>使用神经网络集成增强并联电池模块中的电流分布估计</w:t>
        </w:r>
      </w:hyperlink>
    </w:p>
    <w:p>
      <w:pPr>
        <w:spacing w:before="0" w:after="80"/>
      </w:pPr>
      <w:r>
        <w:rPr>
          <w:i/>
          <w:sz w:val="20"/>
        </w:rPr>
        <w:t>EN: Enhancing current distribution estimation in parallel battery modules using neural network ensembles</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0">
        <w:r>
          <w:rPr>
            <w:color w:val="1155CC"/>
            <w:u w:val="single"/>
          </w:rPr>
          <w:t>用于深海电力应用的压力补偿浸没式电池系统综述</w:t>
        </w:r>
      </w:hyperlink>
    </w:p>
    <w:p>
      <w:pPr>
        <w:spacing w:before="0" w:after="80"/>
      </w:pPr>
      <w:r>
        <w:rPr>
          <w:i/>
          <w:sz w:val="20"/>
        </w:rPr>
        <w:t>EN: Review of pressure compensated immersion battery systems for deep-sea power applications</w:t>
      </w:r>
    </w:p>
    <w:p>
      <w:pPr>
        <w:spacing w:before="0" w:after="120"/>
      </w:pPr>
      <w:r>
        <w:rPr>
          <w:b/>
        </w:rPr>
        <w:t xml:space="preserve">Source: </w:t>
      </w:r>
      <w:r>
        <w:t>ScienceDirect Publication: Applied Energy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11">
        <w:r>
          <w:rPr>
            <w:color w:val="1155CC"/>
            <w:u w:val="single"/>
          </w:rPr>
          <w:t>从线性到循环：废旧电池回收网络优化回顾与未来议程</w:t>
        </w:r>
      </w:hyperlink>
    </w:p>
    <w:p>
      <w:pPr>
        <w:spacing w:before="0" w:after="80"/>
      </w:pPr>
      <w:r>
        <w:rPr>
          <w:i/>
          <w:sz w:val="20"/>
        </w:rPr>
        <w:t>EN: From linear to circular: review and future agenda of waste battery recycling network optimization</w:t>
      </w:r>
    </w:p>
    <w:p>
      <w:pPr>
        <w:spacing w:before="0" w:after="120"/>
      </w:pPr>
      <w:r>
        <w:rPr>
          <w:b/>
        </w:rPr>
        <w:t xml:space="preserve">Source: </w:t>
      </w:r>
      <w:r>
        <w:t>ScienceDirect Publication: Applied Energy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12">
        <w:r>
          <w:rPr>
            <w:color w:val="1155CC"/>
            <w:u w:val="single"/>
          </w:rPr>
          <w:t>海上风氢能岛的黑启动设计：并网电池和风力涡轮机技术的作用</w:t>
        </w:r>
      </w:hyperlink>
    </w:p>
    <w:p>
      <w:pPr>
        <w:spacing w:before="0" w:after="80"/>
      </w:pPr>
      <w:r>
        <w:rPr>
          <w:i/>
          <w:sz w:val="20"/>
        </w:rPr>
        <w:t>EN: Black start design for offshore wind–hydrogen energy Islands: Role of grid-forming battery and wind turbine technologies</w:t>
      </w:r>
    </w:p>
    <w:p>
      <w:pPr>
        <w:spacing w:before="0" w:after="120"/>
      </w:pPr>
      <w:r>
        <w:rPr>
          <w:b/>
        </w:rPr>
        <w:t xml:space="preserve">Source: </w:t>
      </w:r>
      <w:r>
        <w:t>ScienceDirect Publication: Applied Energy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13">
        <w:r>
          <w:rPr>
            <w:color w:val="1155CC"/>
            <w:u w:val="single"/>
          </w:rPr>
          <w:t>从非传统水源开采关键材料以满足脱碳能源需求的前景</w:t>
        </w:r>
      </w:hyperlink>
    </w:p>
    <w:p>
      <w:pPr>
        <w:spacing w:before="0" w:after="80"/>
      </w:pPr>
      <w:r>
        <w:rPr>
          <w:i/>
          <w:sz w:val="20"/>
        </w:rPr>
        <w:t>EN: Prospects for mining critical materials from nontraditional water sources to meet decarbonized energy needs</w:t>
      </w:r>
    </w:p>
    <w:p>
      <w:pPr>
        <w:spacing w:before="0" w:after="120"/>
      </w:pPr>
      <w:r>
        <w:rPr>
          <w:b/>
        </w:rPr>
        <w:t xml:space="preserve">Source: </w:t>
      </w:r>
      <w:r>
        <w:t>Joule</w:t>
      </w:r>
      <w:r>
        <w:t xml:space="preserve">    </w:t>
      </w:r>
      <w:r>
        <w:rPr>
          <w:b/>
        </w:rPr>
        <w:t xml:space="preserve">Pub date: </w:t>
      </w:r>
      <w:r>
        <w:t>2026-06-22 00:00:00+00:00</w:t>
      </w:r>
      <w:r>
        <w:t xml:space="preserve">    </w:t>
      </w:r>
      <w:r>
        <w:rPr>
          <w:b/>
        </w:rPr>
        <w:t xml:space="preserve">DOI: </w:t>
      </w:r>
      <w:hyperlink r:id="rId114">
        <w:r>
          <w:rPr>
            <w:color w:val="1155CC"/>
            <w:u w:val="single"/>
          </w:rPr>
          <w:t>10.1016/j.joule.2026.102530</w:t>
        </w:r>
      </w:hyperlink>
    </w:p>
    <w:p>
      <w:pPr>
        <w:spacing w:before="0" w:after="120"/>
      </w:pPr>
      <w:r>
        <w:rPr>
          <w:b/>
        </w:rPr>
        <w:t xml:space="preserve">Notes: </w:t>
      </w:r>
      <w:r>
        <w:t>abstract_source=rss_cell</w:t>
      </w:r>
    </w:p>
    <w:p>
      <w:pPr>
        <w:spacing w:before="0" w:after="80" w:lineRule="auto" w:line="276"/>
      </w:pPr>
      <w:r>
        <w:rPr>
          <w:b/>
        </w:rPr>
        <w:t xml:space="preserve">摘要（ZH）: </w:t>
      </w:r>
      <w:r>
        <w:t>确保脱碳能源技术的关键材料面临着越来越大的供应风险。作者评估了非传统水源以实现生产多样化，确定了有前景的回收目标（例如镁和锂）以及采出水和酸性矿山排水等水流，并概述了技术和地理考虑因素以指导未来的回收研究。</w:t>
      </w:r>
    </w:p>
    <w:p>
      <w:pPr>
        <w:spacing w:before="0" w:after="200" w:lineRule="auto" w:line="276"/>
      </w:pPr>
      <w:r>
        <w:rPr>
          <w:b/>
        </w:rPr>
        <w:t xml:space="preserve">Abstract (EN): </w:t>
      </w:r>
      <w:r>
        <w:t>Securing critical materials for decarbonized energy technologies faces growing supply risks. The authors assess nontraditional water sources to diversify production, identifying promising recovery targets such as magnesium and lithium, and streams such as produced water and acid mine drainage, and outline technological and geographic considerations to guide future recovery research.</w:t>
      </w:r>
    </w:p>
    <w:p>
      <w:pPr>
        <w:spacing w:before="120" w:after="120"/>
      </w:pPr>
      <w:r>
        <w:rPr>
          <w:sz w:val="18"/>
        </w:rPr>
        <w:t>——————————————————————————————————————————————————————————————————————</w:t>
      </w:r>
    </w:p>
    <w:p>
      <w:pPr>
        <w:spacing w:before="160" w:after="40" w:line="240" w:lineRule="auto"/>
      </w:pPr>
      <w:r>
        <w:rPr>
          <w:b/>
        </w:rPr>
        <w:t xml:space="preserve">[7] </w:t>
      </w:r>
      <w:hyperlink r:id="rId115">
        <w:r>
          <w:rPr>
            <w:color w:val="1155CC"/>
            <w:u w:val="single"/>
          </w:rPr>
          <w:t>通过传感创新照亮提高电池安全性的道路</w:t>
        </w:r>
      </w:hyperlink>
    </w:p>
    <w:p>
      <w:pPr>
        <w:spacing w:before="0" w:after="80"/>
      </w:pPr>
      <w:r>
        <w:rPr>
          <w:i/>
          <w:sz w:val="20"/>
        </w:rPr>
        <w:t>EN: Lighting the way to improve battery safety with sensing innovations</w:t>
      </w:r>
    </w:p>
    <w:p>
      <w:pPr>
        <w:spacing w:before="0" w:after="120"/>
      </w:pPr>
      <w:r>
        <w:rPr>
          <w:b/>
        </w:rPr>
        <w:t xml:space="preserve">Source: </w:t>
      </w:r>
      <w:r>
        <w:t>Joule</w:t>
      </w:r>
      <w:r>
        <w:t xml:space="preserve">    </w:t>
      </w:r>
      <w:r>
        <w:rPr>
          <w:b/>
        </w:rPr>
        <w:t xml:space="preserve">Pub date: </w:t>
      </w:r>
      <w:r>
        <w:t>2026-06-22 00:00:00+00:00</w:t>
      </w:r>
      <w:r>
        <w:t xml:space="preserve">    </w:t>
      </w:r>
      <w:r>
        <w:rPr>
          <w:b/>
        </w:rPr>
        <w:t xml:space="preserve">DOI: </w:t>
      </w:r>
      <w:hyperlink r:id="rId116">
        <w:r>
          <w:rPr>
            <w:color w:val="1155CC"/>
            <w:u w:val="single"/>
          </w:rPr>
          <w:t>10.1016/j.joule.2026.102524</w:t>
        </w:r>
      </w:hyperlink>
    </w:p>
    <w:p>
      <w:pPr>
        <w:spacing w:before="0" w:after="120"/>
      </w:pPr>
      <w:r>
        <w:rPr>
          <w:b/>
        </w:rPr>
        <w:t xml:space="preserve">Notes: </w:t>
      </w:r>
      <w:r>
        <w:t>abstract_source=rss_cell</w:t>
      </w:r>
    </w:p>
    <w:p>
      <w:pPr>
        <w:spacing w:before="0" w:after="80" w:lineRule="auto" w:line="276"/>
      </w:pPr>
      <w:r>
        <w:rPr>
          <w:b/>
        </w:rPr>
        <w:t xml:space="preserve">摘要（ZH）: </w:t>
      </w:r>
      <w:r>
        <w:t>随着电池在现代社会中发挥着越来越重要的作用，确保其可靠性和安全性变得至关重要。虽然风险永远无法完全消除，但这一观点讨论了商用电池诊断的最新进展如何帮助我们更早地发现故障、提高性能并建立对这种快速发展的储能技术的信任。</w:t>
      </w:r>
    </w:p>
    <w:p>
      <w:pPr>
        <w:spacing w:before="0" w:after="200" w:lineRule="auto" w:line="276"/>
      </w:pPr>
      <w:r>
        <w:rPr>
          <w:b/>
        </w:rPr>
        <w:t xml:space="preserve">Abstract (EN): </w:t>
      </w:r>
      <w:r>
        <w:t>As batteries play an increasingly important role in modern society, ensuring their reliability and safety has become essential. While risk can never be completely eliminated, this perspective discusses how recent advances in diagnostics for commercial battery cells can help us detect failures earlier, improve performance, and build trust in this rapidly evolving energy storage technology.</w:t>
      </w:r>
    </w:p>
    <w:p>
      <w:pPr>
        <w:spacing w:before="120" w:after="120"/>
      </w:pPr>
      <w:r>
        <w:rPr>
          <w:sz w:val="18"/>
        </w:rPr>
        <w:t>——————————————————————————————————————————————————————————————————————</w:t>
      </w:r>
    </w:p>
    <w:p>
      <w:pPr>
        <w:spacing w:before="160" w:after="40" w:line="240" w:lineRule="auto"/>
      </w:pPr>
      <w:r>
        <w:rPr>
          <w:b/>
        </w:rPr>
        <w:t xml:space="preserve">[8] </w:t>
      </w:r>
      <w:hyperlink r:id="rId46">
        <w:r>
          <w:rPr>
            <w:color w:val="1155CC"/>
            <w:u w:val="single"/>
          </w:rPr>
          <w:t>从废旧钠离子电池中回收普鲁士白的闭环直接回收工艺</w:t>
        </w:r>
      </w:hyperlink>
    </w:p>
    <w:p>
      <w:pPr>
        <w:spacing w:before="0" w:after="80"/>
      </w:pPr>
      <w:r>
        <w:rPr>
          <w:i/>
          <w:sz w:val="20"/>
        </w:rPr>
        <w:t>EN: A Closed‐Loop Direct Recycling Process for Prussian White From Scrap and End‐of‐Life Sodium‐Ion Batteries</w:t>
      </w:r>
    </w:p>
    <w:p>
      <w:pPr>
        <w:spacing w:before="0" w:after="120"/>
      </w:pPr>
      <w:r>
        <w:rPr>
          <w:b/>
        </w:rPr>
        <w:t xml:space="preserve">Source: </w:t>
      </w:r>
      <w:r>
        <w:t>Wiley: Advanced Energy Materials: Table of Contents</w:t>
      </w:r>
      <w:r>
        <w:t xml:space="preserve">    </w:t>
      </w:r>
      <w:r>
        <w:rPr>
          <w:b/>
        </w:rPr>
        <w:t xml:space="preserve">Pub date: </w:t>
      </w:r>
      <w:r>
        <w:t>2026-06-22 10:57:25+00:00</w:t>
      </w:r>
      <w:r>
        <w:t xml:space="preserve">    </w:t>
      </w:r>
      <w:r>
        <w:rPr>
          <w:b/>
        </w:rPr>
        <w:t xml:space="preserve">DOI: </w:t>
      </w:r>
      <w:hyperlink r:id="rId47">
        <w:r>
          <w:rPr>
            <w:color w:val="1155CC"/>
            <w:u w:val="single"/>
          </w:rPr>
          <w:t>10.1002/aenm.71225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普鲁士白（PW、Na</w:t>
      </w:r>
      <w:r>
        <w:rPr>
          <w:vertAlign w:val="subscript"/>
        </w:rPr>
        <w:t>2</w:t>
      </w:r>
      <w:r>
        <w:t>铁[铁(CN)</w:t>
      </w:r>
      <w:r>
        <w:rPr>
          <w:vertAlign w:val="subscript"/>
        </w:rPr>
        <w:t>6</w:t>
      </w:r>
      <w:r>
        <w:t>】·</w:t>
      </w:r>
      <w:r>
        <w:t xml:space="preserve"> </w:t>
      </w:r>
      <w:r>
        <w:t>x</w:t>
      </w:r>
      <w:r>
        <w:t xml:space="preserve"> </w:t>
      </w:r>
      <w:r>
        <w:t>H</w:t>
      </w:r>
      <w:r>
        <w:rPr>
          <w:vertAlign w:val="subscript"/>
        </w:rPr>
        <w:t>2</w:t>
      </w:r>
      <w:r>
        <w:t>O) 是一种领先的低成本钠离子电池正极材料。然而，由于传统的火法冶金和湿法冶金路线与其氰基金属酸盐骨架不相容，回收利用在很大程度上仍未得到解决。本文报道了一种用于制造废料和报废 (EOL) 钠离子电池的 PW 阴极的闭环直接回收工艺。使用低能冰剥离技术对电极进行分层，回收的粉末通过温和的 80°C 水溶液再生，无需煅烧或腐蚀性溶剂。再辐射过程同时重新插入 Na</w:t>
      </w:r>
      <w:r>
        <w:t xml:space="preserve"> </w:t>
      </w:r>
      <w:r>
        <w:t>+</w:t>
      </w:r>
      <w:r>
        <w:t xml:space="preserve"> </w:t>
      </w:r>
      <w:r>
        <w:t>离子，还原Fe</w:t>
      </w:r>
      <w:r>
        <w:t xml:space="preserve"> </w:t>
      </w:r>
      <w:r>
        <w:t>3+</w:t>
      </w:r>
      <w:r>
        <w:t xml:space="preserve"> </w:t>
      </w:r>
      <w:r>
        <w:t>至铁</w:t>
      </w:r>
      <w:r>
        <w:t xml:space="preserve"> </w:t>
      </w:r>
      <w:r>
        <w:t>2+</w:t>
      </w:r>
      <w:r>
        <w:t xml:space="preserve"> </w:t>
      </w:r>
      <w:r>
        <w:t>，并通过温度和阴离子激活的“表面愈合”促进表面再生，这一机制得到了控制实验的支持，并得到了 XRD、Fe K-edge XAS、XPS、拉曼光谱和电子显微镜的证实。经过修复的 PW 可恢复 96%–97% 的原始半电池容量，并且在与硬碳配对的全电池配置中，在 300 次循环后保留约 80% 的初始容量，优于约 60% 的原始基准。 80°C 下再反应的总能量输入为 ∼0.50 kWh，低于新鲜 PW 合成的估计值（∼3.98 kWh）。这</w:t>
      </w:r>
    </w:p>
    <w:p>
      <w:pPr>
        <w:spacing w:before="0" w:after="200" w:lineRule="auto" w:line="276"/>
      </w:pPr>
      <w:r>
        <w:rPr>
          <w:b/>
        </w:rPr>
        <w:t xml:space="preserve">Abstract (EN): </w:t>
      </w:r>
      <w:r>
        <w:t>Prussian White (PW, Na</w:t>
      </w:r>
      <w:r>
        <w:rPr>
          <w:vertAlign w:val="subscript"/>
        </w:rPr>
        <w:t>2</w:t>
      </w:r>
      <w:r>
        <w:t>Fe[Fe(CN)</w:t>
      </w:r>
      <w:r>
        <w:rPr>
          <w:vertAlign w:val="subscript"/>
        </w:rPr>
        <w:t>6</w:t>
      </w:r>
      <w:r>
        <w:t>]·</w:t>
      </w:r>
      <w:r>
        <w:t xml:space="preserve"> </w:t>
      </w:r>
      <w:r>
        <w:t>x</w:t>
      </w:r>
      <w:r>
        <w:t xml:space="preserve"> </w:t>
      </w:r>
      <w:r>
        <w:t>H</w:t>
      </w:r>
      <w:r>
        <w:rPr>
          <w:vertAlign w:val="subscript"/>
        </w:rPr>
        <w:t>2</w:t>
      </w:r>
      <w:r>
        <w:t>O) is a leading low‐cost cathode material for sodium‐ion batteries. Yet, recycling remains largely unaddressed due to the incompatibility of conventional pyrometallurgical and hydrometallurgical routes with its cyanometallate framework. Here, a closed‐loop direct recycling process for PW cathodes is reported, for both manufacturing scrap and end‐of‐life (EOL) sodium‐ion cells. Electrodes were delaminated using a low‐energy ice‐stripping technique, and the recovered powder was regenerated via mild, 80°C aqueous resodiation without calcination or corrosive solvents. The resodiation process simultaneously reinserts Na</w:t>
      </w:r>
      <w:r>
        <w:t xml:space="preserve"> </w:t>
      </w:r>
      <w:r>
        <w:t>+</w:t>
      </w:r>
      <w:r>
        <w:t xml:space="preserve"> </w:t>
      </w:r>
      <w:r>
        <w:t>ions, reduces Fe</w:t>
      </w:r>
      <w:r>
        <w:t xml:space="preserve"> </w:t>
      </w:r>
      <w:r>
        <w:t>3+</w:t>
      </w:r>
      <w:r>
        <w:t xml:space="preserve"> </w:t>
      </w:r>
      <w:r>
        <w:t>to Fe</w:t>
      </w:r>
      <w:r>
        <w:t xml:space="preserve"> </w:t>
      </w:r>
      <w:r>
        <w:t>2+</w:t>
      </w:r>
      <w:r>
        <w:t xml:space="preserve"> </w:t>
      </w:r>
      <w:r>
        <w:t>, and promotes surface regeneration through temperature and anion‐activated ‘surface healing’, a mechanism supported by control experiments and confirmed by XRD, Fe K‐edge XAS, XPS, Raman spectroscopy, and electron microscopy. Resodiated PW recovers 96%–97% of pristine half‐cell capacity and, in full‐cell configurations paired with hard carbon, retains ∼80% of initial capacity after 300 cycles, outperforming the pristine benchmark of ∼60%. The total energy input for resodiation at 80°C is ∼0.50 kWh, lower than that estimated for fresh PW synthesis (∼3.98 kWh). This work provides an experimentally validated pathway for closed‐loop recovery of Prussian White cathodes, with direct relevance to sustainable scale‐up of sodium‐ion battery technology.</w:t>
      </w:r>
    </w:p>
    <w:p>
      <w:pPr>
        <w:spacing w:before="120" w:after="120"/>
      </w:pPr>
      <w:r>
        <w:rPr>
          <w:sz w:val="18"/>
        </w:rPr>
        <w:t>——————————————————————————————————————————————————————————————————————</w:t>
      </w:r>
    </w:p>
    <w:p>
      <w:pPr>
        <w:spacing w:before="160" w:after="40" w:line="240" w:lineRule="auto"/>
      </w:pPr>
      <w:r>
        <w:rPr>
          <w:b/>
        </w:rPr>
        <w:t xml:space="preserve">[9] </w:t>
      </w:r>
      <w:hyperlink r:id="rId117">
        <w:r>
          <w:rPr>
            <w:color w:val="1155CC"/>
            <w:u w:val="single"/>
          </w:rPr>
          <w:t>使用电化学阻抗谱预测锂离子电池的自适应容量轨迹</w:t>
        </w:r>
      </w:hyperlink>
    </w:p>
    <w:p>
      <w:pPr>
        <w:spacing w:before="0" w:after="80"/>
      </w:pPr>
      <w:r>
        <w:rPr>
          <w:i/>
          <w:sz w:val="20"/>
        </w:rPr>
        <w:t>EN: Adaptive capacity trajectory prediction for lithium-ion batteries using electrochemical impedance spectroscopy</w:t>
      </w:r>
    </w:p>
    <w:p>
      <w:pPr>
        <w:spacing w:before="0" w:after="120"/>
      </w:pPr>
      <w:r>
        <w:rPr>
          <w:b/>
        </w:rPr>
        <w:t xml:space="preserve">Source: </w:t>
      </w:r>
      <w:r>
        <w:t>ScienceDirect Publication: Applied Energy</w:t>
      </w:r>
      <w:r>
        <w:t xml:space="preserve">    </w:t>
      </w:r>
      <w:r>
        <w:rPr>
          <w:b/>
        </w:rPr>
        <w:t xml:space="preserve">Pub date: </w:t>
      </w:r>
      <w:r>
        <w:t>2026-06-23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70">
        <w:r>
          <w:rPr>
            <w:color w:val="1155CC"/>
            <w:u w:val="single"/>
          </w:rPr>
          <w:t>通过耐用高能量密度电池的板载材料诊断来管理硅烧毁</w:t>
        </w:r>
      </w:hyperlink>
    </w:p>
    <w:p>
      <w:pPr>
        <w:spacing w:before="0" w:after="80"/>
      </w:pPr>
      <w:r>
        <w:rPr>
          <w:i/>
          <w:sz w:val="20"/>
        </w:rPr>
        <w:t>EN: Managing silicon burn-out via onboard material diagnostics for durable high-energy density batteries</w:t>
      </w:r>
    </w:p>
    <w:p>
      <w:pPr>
        <w:spacing w:before="0" w:after="120"/>
      </w:pPr>
      <w:r>
        <w:rPr>
          <w:b/>
        </w:rPr>
        <w:t xml:space="preserve">Source: </w:t>
      </w:r>
      <w:r>
        <w:t>Joule</w:t>
      </w:r>
      <w:r>
        <w:t xml:space="preserve">    </w:t>
      </w:r>
      <w:r>
        <w:rPr>
          <w:b/>
        </w:rPr>
        <w:t xml:space="preserve">Pub date: </w:t>
      </w:r>
      <w:r>
        <w:t>2026-06-23 00:00:00+00:00</w:t>
      </w:r>
      <w:r>
        <w:t xml:space="preserve">    </w:t>
      </w:r>
      <w:r>
        <w:rPr>
          <w:b/>
        </w:rPr>
        <w:t xml:space="preserve">DOI: </w:t>
      </w:r>
      <w:hyperlink r:id="rId71">
        <w:r>
          <w:rPr>
            <w:color w:val="1155CC"/>
            <w:u w:val="single"/>
          </w:rPr>
          <w:t>10.1016/j.joule.2026.102531</w:t>
        </w:r>
      </w:hyperlink>
    </w:p>
    <w:p>
      <w:pPr>
        <w:spacing w:before="0" w:after="120"/>
      </w:pPr>
      <w:r>
        <w:rPr>
          <w:b/>
        </w:rPr>
        <w:t xml:space="preserve">Notes: </w:t>
      </w:r>
      <w:r>
        <w:t>abstract_source=rss_cell</w:t>
      </w:r>
    </w:p>
    <w:p>
      <w:pPr>
        <w:spacing w:before="0" w:after="80" w:lineRule="auto" w:line="276"/>
      </w:pPr>
      <w:r>
        <w:rPr>
          <w:b/>
        </w:rPr>
        <w:t xml:space="preserve">摘要（ZH）: </w:t>
      </w:r>
      <w:r>
        <w:t>在石墨阳极中添加硅可以帮助电池存储更多能量，但硅的快速老化往往会迫使保守的操作限制，导致容量无法使用。万等人。研究表明，常规充电数据可以识别硅主导的充电状态窗口并跟踪它如何随着电池老化而变化。这种诊断使电池管理系统能够在硅处于活动状态时应用基于老化的热控制，从而在不牺牲可用容量的情况下保护高能材料。</w:t>
      </w:r>
    </w:p>
    <w:p>
      <w:pPr>
        <w:spacing w:before="0" w:after="200" w:lineRule="auto" w:line="276"/>
      </w:pPr>
      <w:r>
        <w:rPr>
          <w:b/>
        </w:rPr>
        <w:t xml:space="preserve">Abstract (EN): </w:t>
      </w:r>
      <w:r>
        <w:t>Adding silicon to graphite anodes can help batteries store more energy, but silicon’s rapid aging often forces conservative operating limits that leave capacity unused. Wan et al. show that routine charging data can identify the silicon-dominant state-of-charge window and track how it shifts as batteries age. This diagnosis enables battery management systems to apply aging-informed thermal control when silicon is active, protecting high-energy materials without sacrificing usable capacity.</w:t>
      </w:r>
    </w:p>
    <w:p>
      <w:pPr>
        <w:spacing w:before="120" w:after="120"/>
      </w:pPr>
      <w:r>
        <w:rPr>
          <w:sz w:val="18"/>
        </w:rPr>
        <w:t>——————————————————————————————————————————————————————————————————————</w:t>
      </w:r>
    </w:p>
    <w:p>
      <w:pPr>
        <w:spacing w:before="160" w:after="40" w:line="240" w:lineRule="auto"/>
      </w:pPr>
      <w:r>
        <w:rPr>
          <w:b/>
        </w:rPr>
        <w:t xml:space="preserve">[11] </w:t>
      </w:r>
      <w:hyperlink r:id="rId118">
        <w:r>
          <w:rPr>
            <w:color w:val="1155CC"/>
            <w:u w:val="single"/>
          </w:rPr>
          <w:t>揭示废磷酸铁锂再生的关键：碳点的形成和作用</w:t>
        </w:r>
      </w:hyperlink>
    </w:p>
    <w:p>
      <w:pPr>
        <w:spacing w:before="0" w:after="80"/>
      </w:pPr>
      <w:r>
        <w:rPr>
          <w:i/>
          <w:sz w:val="20"/>
        </w:rPr>
        <w:t>EN: Unveiling the Key to Spent LiFePO4 Regeneration: Formation and Action of Carbon Dots</w:t>
      </w:r>
    </w:p>
    <w:p>
      <w:pPr>
        <w:spacing w:before="0" w:after="120"/>
      </w:pPr>
      <w:r>
        <w:rPr>
          <w:b/>
        </w:rPr>
        <w:t xml:space="preserve">Source: </w:t>
      </w:r>
      <w:r>
        <w:t>Wiley: Advanced Materials: Table of Contents</w:t>
      </w:r>
      <w:r>
        <w:t xml:space="preserve">    </w:t>
      </w:r>
      <w:r>
        <w:rPr>
          <w:b/>
        </w:rPr>
        <w:t xml:space="preserve">Pub date: </w:t>
      </w:r>
      <w:r>
        <w:t>2026-06-23 16:45:01+00:00</w:t>
      </w:r>
      <w:r>
        <w:t xml:space="preserve">    </w:t>
      </w:r>
      <w:r>
        <w:rPr>
          <w:b/>
        </w:rPr>
        <w:t xml:space="preserve">DOI: </w:t>
      </w:r>
      <w:hyperlink r:id="rId119">
        <w:r>
          <w:rPr>
            <w:color w:val="1155CC"/>
            <w:u w:val="single"/>
          </w:rPr>
          <w:t>10.1002/adma.73827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通过水热处理引入有机分子来修复结构缺陷已成为直接再生废磷酸铁锂的一种有前景的策略</w:t>
      </w:r>
      <w:r>
        <w:rPr>
          <w:vertAlign w:val="subscript"/>
        </w:rPr>
        <w:t>4</w:t>
      </w:r>
      <w:r>
        <w:t>（SLFP）。在这里，我们发现了一个普遍规律，即在直接再生过程中，各种有机分子会产生丰富的碳点（CD），在SLFP的再生中发挥着关键作用。通过使用纯化的CD来再生SLFP，我们证明CD不仅可以在水热过程中表现出还原作用，而且可以在随后的烧结阶段重建不均匀的碳层。正如预期的那样，再生 LiFePO 表现出优异的电化学性能</w:t>
      </w:r>
      <w:r>
        <w:rPr>
          <w:vertAlign w:val="subscript"/>
        </w:rPr>
        <w:t>4</w:t>
      </w:r>
      <w:r>
        <w:t>(RLFP)，提供140.1 mAh g的高放电比容量</w:t>
      </w:r>
      <w:r>
        <w:t xml:space="preserve"> </w:t>
      </w:r>
      <w:r>
        <w:t>−1</w:t>
      </w:r>
      <w:r>
        <w:t xml:space="preserve"> </w:t>
      </w:r>
      <w:r>
        <w:t>在1C倍率下，1000次长期循环后容量保持率保持在91%。系统分析了LiFePO的结构和电化学性能</w:t>
      </w:r>
      <w:r>
        <w:rPr>
          <w:vertAlign w:val="subscript"/>
        </w:rPr>
        <w:t>4</w:t>
      </w:r>
      <w:r>
        <w:t>(LFP)用CD及其相应的前驱体再生，我们提出了SLFP再生过程中有机分子的选择原则：在水热条件下容易形成CD的有机分子最适合SLFP的再生。这项工作为 LFP 的再生机制提供了重要的见解，并为还原剂的选择提供了关键指导。</w:t>
      </w:r>
    </w:p>
    <w:p>
      <w:pPr>
        <w:spacing w:before="0" w:after="200" w:lineRule="auto" w:line="276"/>
      </w:pPr>
      <w:r>
        <w:rPr>
          <w:b/>
        </w:rPr>
        <w:t xml:space="preserve">Abstract (EN): </w:t>
      </w:r>
      <w:r>
        <w:t>Introducing organic molecules to repair structure defects through hydrothermal treatment has emerged as a promising strategy for the direct regeneration of spent LiFePO</w:t>
      </w:r>
      <w:r>
        <w:rPr>
          <w:vertAlign w:val="subscript"/>
        </w:rPr>
        <w:t>4</w:t>
      </w:r>
      <w:r>
        <w:t>(SLFP). Here, we find a universal rule that abundant carbon dots (CDs) are generated from various organic molecules during the direct regeneration process, playing a key role in the regeneration of SLFP. By employing purified CDs to regenerate SLFP, we demonstrated that CDs can not only manifest a reduction effect during the hydrothermal process but also reconstruct the uneven carbon layer in the subsequent sintering stage. As expected, excellent electrochemical performances are exhibited by the regenerated LiFePO</w:t>
      </w:r>
      <w:r>
        <w:rPr>
          <w:vertAlign w:val="subscript"/>
        </w:rPr>
        <w:t>4</w:t>
      </w:r>
      <w:r>
        <w:t>(RLFP), delivering a high discharge specific capacity of 140.1 mAh g</w:t>
      </w:r>
      <w:r>
        <w:t xml:space="preserve"> </w:t>
      </w:r>
      <w:r>
        <w:t>−1</w:t>
      </w:r>
      <w:r>
        <w:t xml:space="preserve"> </w:t>
      </w:r>
      <w:r>
        <w:t>at a 1 C rate and maintaining a capacity retention rate of 91% after 1000 long‐term cycles. After systematically analyzing the structure and electrochemical performance of LiFePO</w:t>
      </w:r>
      <w:r>
        <w:rPr>
          <w:vertAlign w:val="subscript"/>
        </w:rPr>
        <w:t>4</w:t>
      </w:r>
      <w:r>
        <w:t>(LFP) regenerated with CDs and their corresponding precursors, we propose the selection principle of organic molecules in the regeneration process of SLFP: organic molecules prone to form CDs under the hydrothermal condition are the most suitable for the regeneration of SLFP. This work offers important insights into the regeneration mechanisms of LFP and provides key guidelines for the selection of reducing agents.</w:t>
      </w:r>
    </w:p>
    <w:p>
      <w:pPr>
        <w:spacing w:before="120" w:after="120"/>
      </w:pPr>
      <w:r>
        <w:rPr>
          <w:sz w:val="18"/>
        </w:rPr>
        <w:t>——————————————————————————————————————————————————————————————————————</w:t>
      </w:r>
    </w:p>
    <w:p>
      <w:pPr>
        <w:spacing w:before="160" w:after="40" w:line="240" w:lineRule="auto"/>
      </w:pPr>
      <w:r>
        <w:rPr>
          <w:b/>
        </w:rPr>
        <w:t xml:space="preserve">[12] </w:t>
      </w:r>
      <w:hyperlink r:id="rId120">
        <w:r>
          <w:rPr>
            <w:color w:val="1155CC"/>
            <w:u w:val="single"/>
          </w:rPr>
          <w:t>无阳极锂金属​​电池集电器工程的实际前景和能量密度标准</w:t>
        </w:r>
      </w:hyperlink>
    </w:p>
    <w:p>
      <w:pPr>
        <w:spacing w:before="0" w:after="80"/>
      </w:pPr>
      <w:r>
        <w:rPr>
          <w:i/>
          <w:sz w:val="20"/>
        </w:rPr>
        <w:t>EN: Practical Perspectives and Energy Density Criteria for Current Collector Engineering in Anode‐Free Li‐Metal Batteries</w:t>
      </w:r>
    </w:p>
    <w:p>
      <w:pPr>
        <w:spacing w:before="0" w:after="120"/>
      </w:pPr>
      <w:r>
        <w:rPr>
          <w:b/>
        </w:rPr>
        <w:t xml:space="preserve">Source: </w:t>
      </w:r>
      <w:r>
        <w:t>Wiley: Advanced Energy Materials: Table of Contents</w:t>
      </w:r>
      <w:r>
        <w:t xml:space="preserve">    </w:t>
      </w:r>
      <w:r>
        <w:rPr>
          <w:b/>
        </w:rPr>
        <w:t xml:space="preserve">Pub date: </w:t>
      </w:r>
      <w:r>
        <w:t>2026-06-24 10:39:45+00:00</w:t>
      </w:r>
      <w:r>
        <w:t xml:space="preserve">    </w:t>
      </w:r>
      <w:r>
        <w:rPr>
          <w:b/>
        </w:rPr>
        <w:t xml:space="preserve">DOI: </w:t>
      </w:r>
      <w:hyperlink r:id="rId121">
        <w:r>
          <w:rPr>
            <w:color w:val="1155CC"/>
            <w:u w:val="single"/>
          </w:rPr>
          <w:t>10.1002/aenm.71220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这篇综述对锂金属电池的集电器工程进行了实用而深入的讨论，强调了修改引入的质量和体积，以及电化学过程中锂库存的变化如何影响实际电池配置中可实现的能量指标。我们比较了主要的工程方法，包括合金化和涂层、晶体取向控制以及从平面到三维结构的转变，检查它们对初始能量密度和长期保留的影响。通过这些比较，我们阐明了关键的失效机制，并确定了限制无阳极锂金属​​电池的堆级约束，包括质量负载、体积占用、电解质需求和限制的锂库存。为了确定实际相关性，我们引入了定量能量密度评估，该评估针对受限锂库存电池对代表性修改策略进行了基准测试。分析表明，尽管最近的策略增强了局部电镀和剥离行为，但一旦考虑到与体积、质量和锂消耗相关的现实惩罚，它们通常会降低可实现的能量密度。这些结果为识别提供真正实际效益的修改建立了明确的标准。最后，我们提出了减少几何和材料负担同时提高锂库存保留的研究方向，提供了支持无阳极锂元的实用集流体设计开发的视角。</w:t>
      </w:r>
    </w:p>
    <w:p>
      <w:pPr>
        <w:spacing w:before="0" w:after="200" w:lineRule="auto" w:line="276"/>
      </w:pPr>
      <w:r>
        <w:rPr>
          <w:b/>
        </w:rPr>
        <w:t xml:space="preserve">Abstract (EN): </w:t>
      </w:r>
      <w:r>
        <w:t>This review provides a practical and in‐depth discussion of current collector engineering for Li‐metal batteries, emphasizing how the mass and volume introduced by modifications, together with the changes in Li inventory accompanying electrochemical processes, affect achievable energy metrics in realistic cell configurations. We compare major engineering approaches, including alloying and coating, crystallographic orientation control, and transitions from planar to three‐dimensional architectures, examining their impact on both initial energy density and long‐term retention. From these comparisons, we clarify key failure mechanisms and identify the stack‐level constraints that limit anode‐free Li‐metal batteries, including mass loading, volume occupation, electrolyte demand, and restricted Li inventory. To determine practical relevance, we introduce a quantitative energy density evaluation that benchmarks representative modification strategies against restricted Li inventory batteries. The analysis shows that although recent strategies enhance local plating and stripping behavior, they often reduce achievable energy density once realistic penalties related to volume, mass, and Li consumption are considered. These results establish clear criteria for identifying modifications that provide genuine practical benefit. Finally, we propose research directions that reduce geometric and material burdens while enhancing Li inventory retention, offering a perspective that supports the development of practical current collector designs for anode‐free Li‐metal batteries.</w:t>
      </w:r>
    </w:p>
    <w:p>
      <w:pPr>
        <w:spacing w:before="120" w:after="120"/>
      </w:pPr>
      <w:r>
        <w:rPr>
          <w:sz w:val="18"/>
        </w:rPr>
        <w:t>——————————————————————————————————————————————————————————————————————</w:t>
      </w:r>
    </w:p>
    <w:p>
      <w:pPr>
        <w:spacing w:before="160" w:after="40" w:line="240" w:lineRule="auto"/>
      </w:pPr>
      <w:r>
        <w:rPr>
          <w:b/>
        </w:rPr>
        <w:t xml:space="preserve">[13] </w:t>
      </w:r>
      <w:hyperlink r:id="rId122">
        <w:r>
          <w:rPr>
            <w:color w:val="1155CC"/>
            <w:u w:val="single"/>
          </w:rPr>
          <w:t>通过水性锌离子电池隔膜的重复界面组装通过围绕细菌纤维素纳米纤维的阴离子纳米通道的 3D 互连锌离子通路（Adv. Energy Mater. 24/2026）</w:t>
        </w:r>
      </w:hyperlink>
    </w:p>
    <w:p>
      <w:pPr>
        <w:spacing w:before="0" w:after="80"/>
      </w:pPr>
      <w:r>
        <w:rPr>
          <w:i/>
          <w:sz w:val="20"/>
        </w:rPr>
        <w:t>EN: 3D Interconnected Zn‐Ion Pathways Through Anionic Nanochannels Surrounding Bacterial Cellulose Nanofibers by Repetitive Interfacial Assembly for Aqueous Zn‐Ion Battery Separators (Adv. Energy Mater. 24/2026)</w:t>
      </w:r>
    </w:p>
    <w:p>
      <w:pPr>
        <w:spacing w:before="0" w:after="120"/>
      </w:pPr>
      <w:r>
        <w:rPr>
          <w:b/>
        </w:rPr>
        <w:t xml:space="preserve">Source: </w:t>
      </w:r>
      <w:r>
        <w:t>Wiley: Advanced Energy Materials: Table of Contents</w:t>
      </w:r>
      <w:r>
        <w:t xml:space="preserve">    </w:t>
      </w:r>
      <w:r>
        <w:rPr>
          <w:b/>
        </w:rPr>
        <w:t xml:space="preserve">Pub date: </w:t>
      </w:r>
      <w:r>
        <w:t>2026-06-24 13:52:06+00:00</w:t>
      </w:r>
      <w:r>
        <w:t xml:space="preserve">    </w:t>
      </w:r>
      <w:r>
        <w:rPr>
          <w:b/>
        </w:rPr>
        <w:t xml:space="preserve">DOI: </w:t>
      </w:r>
      <w:hyperlink r:id="rId123">
        <w:r>
          <w:rPr>
            <w:color w:val="1155CC"/>
            <w:u w:val="single"/>
          </w:rPr>
          <w:t>10.1002/aenm.71121</w:t>
        </w:r>
      </w:hyperlink>
    </w:p>
    <w:p>
      <w:pPr>
        <w:spacing w:before="0" w:after="120"/>
      </w:pPr>
      <w:r>
        <w:rPr>
          <w:b/>
        </w:rPr>
        <w:t xml:space="preserve">Notes: </w:t>
      </w:r>
      <w:r>
        <w:t>abstract_source=openalex</w:t>
      </w:r>
    </w:p>
    <w:p>
      <w:pPr>
        <w:spacing w:before="0" w:after="80" w:lineRule="auto" w:line="276"/>
      </w:pPr>
      <w:r>
        <w:rPr>
          <w:b/>
        </w:rPr>
        <w:t xml:space="preserve">摘要（ZH）: </w:t>
      </w:r>
      <w:r>
        <w:t>水系锌离子电池隔膜 在文章编号 e70929 中，Hyung-Kyu Lim、Bongjun Yeom 及其同事报道了一种细菌纤维素纳米纤维隔膜，该隔膜具有连续的阴离子纳米通道，通过用于水系锌离子电池的新型重复界面组装而制造。互连的纳米通道能够实现 Zn2+ 的快速传输和水化壳的部分去溶剂化，促进锌的轻松均匀沉积，抑制枝晶生长，并显着增强电化学性能。</w:t>
      </w:r>
    </w:p>
    <w:p>
      <w:pPr>
        <w:spacing w:before="0" w:after="200" w:lineRule="auto" w:line="276"/>
      </w:pPr>
      <w:r>
        <w:rPr>
          <w:b/>
        </w:rPr>
        <w:t xml:space="preserve">Abstract (EN): </w:t>
      </w:r>
      <w:r>
        <w:t>Aqueous Zn-Ion Battery Separators In article number e70929, Hyung-Kyu Lim, Bongjun Yeom, and co-workers report a bacterial cellulose nanofiber separator with continuous anionic nanochannels fabricated via a novel repetitive interfacial assembly for aqueous Zn-ion batteries. The interconnected nanochannels enable rapid Zn2+ transport and partial desolvation of the hydration shell, promoting facile and uniform Zn deposition, suppressing dendrite growth, and significantly enhancing electrochemical performance.</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24">
        <w:r>
          <w:rPr>
            <w:color w:val="1155CC"/>
            <w:u w:val="single"/>
          </w:rPr>
          <w:t>通过 Li-CO2 电池中合金-载体相互作用设计 CO2 减排途径</w:t>
        </w:r>
      </w:hyperlink>
    </w:p>
    <w:p>
      <w:pPr>
        <w:spacing w:before="0" w:after="80"/>
      </w:pPr>
      <w:r>
        <w:rPr>
          <w:i/>
          <w:sz w:val="20"/>
        </w:rPr>
        <w:t>EN: Engineering CO2 Reduction Pathways via Alloy‐Support Interactions in Li‐CO2 Batteries</w:t>
      </w:r>
    </w:p>
    <w:p>
      <w:pPr>
        <w:spacing w:before="0" w:after="120"/>
      </w:pPr>
      <w:r>
        <w:rPr>
          <w:b/>
        </w:rPr>
        <w:t xml:space="preserve">Source: </w:t>
      </w:r>
      <w:r>
        <w:t>Wiley: Advanced Materials: Table of Contents</w:t>
      </w:r>
      <w:r>
        <w:t xml:space="preserve">    </w:t>
      </w:r>
      <w:r>
        <w:rPr>
          <w:b/>
        </w:rPr>
        <w:t xml:space="preserve">Pub date: </w:t>
      </w:r>
      <w:r>
        <w:t>2026-06-20 16:13:42+00:00</w:t>
      </w:r>
      <w:r>
        <w:t xml:space="preserve">    </w:t>
      </w:r>
      <w:r>
        <w:rPr>
          <w:b/>
        </w:rPr>
        <w:t xml:space="preserve">DOI: </w:t>
      </w:r>
      <w:hyperlink r:id="rId125">
        <w:r>
          <w:rPr>
            <w:color w:val="1155CC"/>
            <w:u w:val="single"/>
          </w:rPr>
          <w:t>10.1002/adma.73809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可充电Li-CO</w:t>
      </w:r>
      <w:r>
        <w:rPr>
          <w:vertAlign w:val="subscript"/>
        </w:rPr>
        <w:t>2</w:t>
      </w:r>
      <w:r>
        <w:t>电池（LCB）在双功能二氧化碳方面前景广阔</w:t>
      </w:r>
      <w:r>
        <w:rPr>
          <w:vertAlign w:val="subscript"/>
        </w:rPr>
        <w:t>2</w:t>
      </w:r>
      <w:r>
        <w:t>利用和储能，但其实际应用受到传统锂缓慢动力学的阻碍</w:t>
      </w:r>
      <w:r>
        <w:rPr>
          <w:vertAlign w:val="subscript"/>
        </w:rPr>
        <w:t>2</w:t>
      </w:r>
      <w:r>
        <w:t>一氧化碳</w:t>
      </w:r>
      <w:r>
        <w:rPr>
          <w:vertAlign w:val="subscript"/>
        </w:rPr>
        <w:t>3</w:t>
      </w:r>
      <w:r>
        <w:t>路径，导致低放电电压（低于 2.0 V）和大过电势（超过 1.0 V）。在此，我们提出了CO策略</w:t>
      </w:r>
      <w:r>
        <w:rPr>
          <w:vertAlign w:val="subscript"/>
        </w:rPr>
        <w:t>2</w:t>
      </w:r>
      <w:r>
        <w:t>通过合金-载体相互作用进行还原途径工程以释放高性能LCB。我们设计了一个Ru</w:t>
      </w:r>
      <w:r>
        <w:rPr>
          <w:vertAlign w:val="subscript"/>
        </w:rPr>
        <w:t>2</w:t>
      </w:r>
      <w:r>
        <w:t>铜</w:t>
      </w:r>
      <w:r>
        <w:rPr>
          <w:vertAlign w:val="subscript"/>
        </w:rPr>
        <w:t>4</w:t>
      </w:r>
      <w:r>
        <w:t>/NC</w:t>
      </w:r>
      <w:r>
        <w:rPr>
          <w:vertAlign w:val="subscript"/>
        </w:rPr>
        <w:t>1000</w:t>
      </w:r>
      <w:r>
        <w:t>催化剂，光谱证实了由 Ru 之间的强配位驱动的明显电荷重新分布</w:t>
      </w:r>
      <w:r>
        <w:rPr>
          <w:vertAlign w:val="subscript"/>
        </w:rPr>
        <w:t>2</w:t>
      </w:r>
      <w:r>
        <w:t>铜</w:t>
      </w:r>
      <w:r>
        <w:rPr>
          <w:vertAlign w:val="subscript"/>
        </w:rPr>
        <w:t>4</w:t>
      </w:r>
      <w:r>
        <w:t>合金和氮掺杂载体。理论模拟验证了这种相互作用将Ru和Cu的d带中心移向费米能级并引起界面电荷重新分布，从而优化了CO的Ru-Cu活性位点的电子结构</w:t>
      </w:r>
      <w:r>
        <w:rPr>
          <w:vertAlign w:val="subscript"/>
        </w:rPr>
        <w:t>2</w:t>
      </w:r>
      <w:r>
        <w:t>减少。更重要的是，这种电子重组在热力学上有利于亚稳态锂的形成</w:t>
      </w:r>
      <w:r>
        <w:rPr>
          <w:vertAlign w:val="subscript"/>
        </w:rPr>
        <w:t>2</w:t>
      </w:r>
      <w:r>
        <w:t>C</w:t>
      </w:r>
      <w:r>
        <w:rPr>
          <w:vertAlign w:val="subscript"/>
        </w:rPr>
        <w:t>2</w:t>
      </w:r>
      <w:r>
        <w:t>氧</w:t>
      </w:r>
      <w:r>
        <w:rPr>
          <w:vertAlign w:val="subscript"/>
        </w:rPr>
        <w:t>4</w:t>
      </w:r>
      <w:r>
        <w:t>过度胰岛素</w:t>
      </w:r>
    </w:p>
    <w:p>
      <w:pPr>
        <w:spacing w:before="0" w:after="200" w:lineRule="auto" w:line="276"/>
      </w:pPr>
      <w:r>
        <w:rPr>
          <w:b/>
        </w:rPr>
        <w:t xml:space="preserve">Abstract (EN): </w:t>
      </w:r>
      <w:r>
        <w:t>Rechargeable Li‐CO</w:t>
      </w:r>
      <w:r>
        <w:rPr>
          <w:vertAlign w:val="subscript"/>
        </w:rPr>
        <w:t>2</w:t>
      </w:r>
      <w:r>
        <w:t>batteries (LCBs) hold great promise for dual‐function CO</w:t>
      </w:r>
      <w:r>
        <w:rPr>
          <w:vertAlign w:val="subscript"/>
        </w:rPr>
        <w:t>2</w:t>
      </w:r>
      <w:r>
        <w:t>utilization and energy storage, yet their practical application is hindered by the sluggish kinetics of the conventional Li</w:t>
      </w:r>
      <w:r>
        <w:rPr>
          <w:vertAlign w:val="subscript"/>
        </w:rPr>
        <w:t>2</w:t>
      </w:r>
      <w:r>
        <w:t>CO</w:t>
      </w:r>
      <w:r>
        <w:rPr>
          <w:vertAlign w:val="subscript"/>
        </w:rPr>
        <w:t>3</w:t>
      </w:r>
      <w:r>
        <w:t>pathway, resulting in low discharge voltages (below 2.0 V) and large overpotentials (over 1.0 V). Herein, we propose a strategy of CO</w:t>
      </w:r>
      <w:r>
        <w:rPr>
          <w:vertAlign w:val="subscript"/>
        </w:rPr>
        <w:t>2</w:t>
      </w:r>
      <w:r>
        <w:t>reduction pathway engineering via alloy‐support interaction to unlock high‐performance LCBs. We designed a Ru</w:t>
      </w:r>
      <w:r>
        <w:rPr>
          <w:vertAlign w:val="subscript"/>
        </w:rPr>
        <w:t>2</w:t>
      </w:r>
      <w:r>
        <w:t>Cu</w:t>
      </w:r>
      <w:r>
        <w:rPr>
          <w:vertAlign w:val="subscript"/>
        </w:rPr>
        <w:t>4</w:t>
      </w:r>
      <w:r>
        <w:t>/NC</w:t>
      </w:r>
      <w:r>
        <w:rPr>
          <w:vertAlign w:val="subscript"/>
        </w:rPr>
        <w:t>1000</w:t>
      </w:r>
      <w:r>
        <w:t>catalyst, where spectroscopy confirms distinct charge redistribution driven by strong coordination between the Ru</w:t>
      </w:r>
      <w:r>
        <w:rPr>
          <w:vertAlign w:val="subscript"/>
        </w:rPr>
        <w:t>2</w:t>
      </w:r>
      <w:r>
        <w:t>Cu</w:t>
      </w:r>
      <w:r>
        <w:rPr>
          <w:vertAlign w:val="subscript"/>
        </w:rPr>
        <w:t>4</w:t>
      </w:r>
      <w:r>
        <w:t>alloy and N‐doped support. Theoretical simulations validate that this interaction shifts the Ru and Cu d‐band centers toward the Fermi level and induces interfacial charge redistribution, thus optimizing the electronic structure of the Ru‐Cu active sites for CO</w:t>
      </w:r>
      <w:r>
        <w:rPr>
          <w:vertAlign w:val="subscript"/>
        </w:rPr>
        <w:t>2</w:t>
      </w:r>
      <w:r>
        <w:t>reduction. More importantly, this electronic restructuring thermodynamically favors the formation of metastable Li</w:t>
      </w:r>
      <w:r>
        <w:rPr>
          <w:vertAlign w:val="subscript"/>
        </w:rPr>
        <w:t>2</w:t>
      </w:r>
      <w:r>
        <w:t>C</w:t>
      </w:r>
      <w:r>
        <w:rPr>
          <w:vertAlign w:val="subscript"/>
        </w:rPr>
        <w:t>2</w:t>
      </w:r>
      <w:r>
        <w:t>O</w:t>
      </w:r>
      <w:r>
        <w:rPr>
          <w:vertAlign w:val="subscript"/>
        </w:rPr>
        <w:t>4</w:t>
      </w:r>
      <w:r>
        <w:t>over insulating Li</w:t>
      </w:r>
      <w:r>
        <w:rPr>
          <w:vertAlign w:val="subscript"/>
        </w:rPr>
        <w:t>2</w:t>
      </w:r>
      <w:r>
        <w:t>CO</w:t>
      </w:r>
      <w:r>
        <w:rPr>
          <w:vertAlign w:val="subscript"/>
        </w:rPr>
        <w:t>3</w:t>
      </w:r>
      <w:r>
        <w:t>, thus significantly reducing the activation energy barrier for the rate‐determining step by 0.56 eV. As a result, the cell achieves a minimal overpotential of 0.50 V, an exceptional discharge voltage of 3.23 V, and a high specific capacity of 33 922 mAh g</w:t>
      </w:r>
      <w:r>
        <w:t xml:space="preserve"> </w:t>
      </w:r>
      <w:r>
        <w:t>−1</w:t>
      </w:r>
      <w:r>
        <w:t xml:space="preserve"> </w:t>
      </w:r>
      <w:r>
        <w:t>(at 100 mA g</w:t>
      </w:r>
      <w:r>
        <w:t xml:space="preserve"> </w:t>
      </w:r>
      <w:r>
        <w:t>−1</w:t>
      </w:r>
      <w:r>
        <w:t xml:space="preserve"> </w:t>
      </w:r>
      <w:r>
        <w:t>). Our work establishes electron‐state engineering via alloy‐support interactions as a protocol for directing reaction pathways and achieving high‐voltage and durable LCBs.</w:t>
      </w:r>
    </w:p>
    <w:p>
      <w:pPr>
        <w:spacing w:before="120" w:after="120"/>
      </w:pPr>
      <w:r>
        <w:rPr>
          <w:sz w:val="18"/>
        </w:rPr>
        <w:t>——————————————————————————————————————————————————————————————————————</w:t>
      </w:r>
    </w:p>
    <w:p>
      <w:pPr>
        <w:spacing w:before="160" w:after="40" w:line="240" w:lineRule="auto"/>
      </w:pPr>
      <w:r>
        <w:rPr>
          <w:b/>
        </w:rPr>
        <w:t xml:space="preserve">[2] </w:t>
      </w:r>
      <w:hyperlink r:id="rId126">
        <w:r>
          <w:rPr>
            <w:color w:val="1155CC"/>
            <w:u w:val="single"/>
          </w:rPr>
          <w:t>山东德州含水层压缩空气储能日循环井筒-含水层耦合模型多井效应分析</w:t>
        </w:r>
      </w:hyperlink>
    </w:p>
    <w:p>
      <w:pPr>
        <w:spacing w:before="0" w:after="80"/>
      </w:pPr>
      <w:r>
        <w:rPr>
          <w:i/>
          <w:sz w:val="20"/>
        </w:rPr>
        <w:t>EN: Analysis on multi-well effects with the wellbore-aquifer coupled model on compressed air energy storage in aquifers with daily cycles in Dezhou, Shandong of China</w:t>
      </w:r>
    </w:p>
    <w:p>
      <w:pPr>
        <w:spacing w:before="0" w:after="120"/>
      </w:pPr>
      <w:r>
        <w:rPr>
          <w:b/>
        </w:rPr>
        <w:t xml:space="preserve">Source: </w:t>
      </w:r>
      <w:r>
        <w:t>ScienceDirect Publication: Applied Energy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27">
        <w:r>
          <w:rPr>
            <w:color w:val="1155CC"/>
            <w:u w:val="single"/>
          </w:rPr>
          <w:t>锂氮电池：前景与发展路线图</w:t>
        </w:r>
      </w:hyperlink>
    </w:p>
    <w:p>
      <w:pPr>
        <w:spacing w:before="0" w:after="80"/>
      </w:pPr>
      <w:r>
        <w:rPr>
          <w:i/>
          <w:sz w:val="20"/>
        </w:rPr>
        <w:t>EN: Lithium–Nitrogen Battery: Promise and Development Roadmap</w:t>
      </w:r>
    </w:p>
    <w:p>
      <w:pPr>
        <w:spacing w:before="0" w:after="120"/>
      </w:pPr>
      <w:r>
        <w:rPr>
          <w:b/>
        </w:rPr>
        <w:t xml:space="preserve">Source: </w:t>
      </w:r>
      <w:r>
        <w:t>Wiley: Angewandte Chemie International Edition: Table of Contents</w:t>
      </w:r>
      <w:r>
        <w:t xml:space="preserve">    </w:t>
      </w:r>
      <w:r>
        <w:rPr>
          <w:b/>
        </w:rPr>
        <w:t xml:space="preserve">Pub date: </w:t>
      </w:r>
      <w:r>
        <w:t>2026-06-21 15:43:06+00:00</w:t>
      </w:r>
      <w:r>
        <w:t xml:space="preserve">    </w:t>
      </w:r>
      <w:r>
        <w:rPr>
          <w:b/>
        </w:rPr>
        <w:t xml:space="preserve">DOI: </w:t>
      </w:r>
      <w:hyperlink r:id="rId128">
        <w:r>
          <w:rPr>
            <w:color w:val="1155CC"/>
            <w:u w:val="single"/>
          </w:rPr>
          <w:t>10.1002/anie.4624830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锂-氮（Li-N</w:t>
      </w:r>
      <w:r>
        <w:rPr>
          <w:vertAlign w:val="subscript"/>
        </w:rPr>
        <w:t>2</w:t>
      </w:r>
      <w:r>
        <w:t>）电池提供了独特的电化学范例，将本质安全的能量存储与可持续的 N</w:t>
      </w:r>
      <w:r>
        <w:rPr>
          <w:vertAlign w:val="subscript"/>
        </w:rPr>
        <w:t>2</w:t>
      </w:r>
      <w:r>
        <w:t>转化为增值化学品。第一份突破性报告发布大约十年后，Li-N 的实际开发</w:t>
      </w:r>
      <w:r>
        <w:rPr>
          <w:vertAlign w:val="subscript"/>
        </w:rPr>
        <w:t>2</w:t>
      </w:r>
      <w:r>
        <w:t>电池仍然受到可逆性差和循环稳定性有限的限制。在这里，我们首先介绍这种极具创新性和前景的Li-N</w:t>
      </w:r>
      <w:r>
        <w:rPr>
          <w:vertAlign w:val="subscript"/>
        </w:rPr>
        <w:t>2</w:t>
      </w:r>
      <w:r>
        <w:t>电池技术，然后指出 Li-N 可逆性差所面临的主要挑战</w:t>
      </w:r>
      <w:r>
        <w:rPr>
          <w:vertAlign w:val="subscript"/>
        </w:rPr>
        <w:t>2</w:t>
      </w:r>
      <w:r>
        <w:t>从反应机制、表征技术和电池配置来了解电池。我们进一步强调了流场辅助的“流动型”电池配置，它为实现可逆 Li-N 提供了令人兴奋的未来机会</w:t>
      </w:r>
      <w:r>
        <w:rPr>
          <w:vertAlign w:val="subscript"/>
        </w:rPr>
        <w:t>2</w:t>
      </w:r>
      <w:r>
        <w:t>电池。此外，我们还讨论了电解质、电极材料和隔膜方面的多样性是建立长期Li-N电池的关键。</w:t>
      </w:r>
      <w:r>
        <w:rPr>
          <w:vertAlign w:val="subscript"/>
        </w:rPr>
        <w:t>2</w:t>
      </w:r>
      <w:r>
        <w:t>电池。 N的可能机制途径</w:t>
      </w:r>
      <w:r>
        <w:rPr>
          <w:vertAlign w:val="subscript"/>
        </w:rPr>
        <w:t>2</w:t>
      </w:r>
      <w:r>
        <w:t>还讨论了非均相电催化剂的还原和锂化。我们推荐采用严格的实验方案来评估 Li-N</w:t>
      </w:r>
      <w:r>
        <w:rPr>
          <w:vertAlign w:val="subscript"/>
        </w:rPr>
        <w:t>2</w:t>
      </w:r>
      <w:r>
        <w:t>电池以确保可重复性和可靠的性能比较</w:t>
      </w:r>
    </w:p>
    <w:p>
      <w:pPr>
        <w:spacing w:before="0" w:after="200" w:lineRule="auto" w:line="276"/>
      </w:pPr>
      <w:r>
        <w:rPr>
          <w:b/>
        </w:rPr>
        <w:t xml:space="preserve">Abstract (EN): </w:t>
      </w:r>
      <w:r>
        <w:t>Lithium–nitrogen (Li–N</w:t>
      </w:r>
      <w:r>
        <w:rPr>
          <w:vertAlign w:val="subscript"/>
        </w:rPr>
        <w:t>2</w:t>
      </w:r>
      <w:r>
        <w:t>) batteries offer a unique electrochemical paradigm that combines intrinsically safe energy storage with sustainable N</w:t>
      </w:r>
      <w:r>
        <w:rPr>
          <w:vertAlign w:val="subscript"/>
        </w:rPr>
        <w:t>2</w:t>
      </w:r>
      <w:r>
        <w:t>conversion to value‐added chemicals. About ten years after the first ground‐breaking report, the practical development of Li–N</w:t>
      </w:r>
      <w:r>
        <w:rPr>
          <w:vertAlign w:val="subscript"/>
        </w:rPr>
        <w:t>2</w:t>
      </w:r>
      <w:r>
        <w:t>batteries is still restricted by poor reversibility and limited cycling stability. Here, we first introduce this highly innovative and promising Li–N</w:t>
      </w:r>
      <w:r>
        <w:rPr>
          <w:vertAlign w:val="subscript"/>
        </w:rPr>
        <w:t>2</w:t>
      </w:r>
      <w:r>
        <w:t>battery technology and then specify the key challenges ahead for the poor reversibility of Li–N</w:t>
      </w:r>
      <w:r>
        <w:rPr>
          <w:vertAlign w:val="subscript"/>
        </w:rPr>
        <w:t>2</w:t>
      </w:r>
      <w:r>
        <w:t>batteries from reaction mechanisms, characterization technologies, and the battery configurations. We further highlight a flow field‐assisted “flow‐type” cell configuration that presents exciting future opportunities to realize reversible Li–N</w:t>
      </w:r>
      <w:r>
        <w:rPr>
          <w:vertAlign w:val="subscript"/>
        </w:rPr>
        <w:t>2</w:t>
      </w:r>
      <w:r>
        <w:t>batteries. Besides, we discuss that the diversity in terms of electrolytes, electrode materials, and separators is key to establishing long‐term Li–N</w:t>
      </w:r>
      <w:r>
        <w:rPr>
          <w:vertAlign w:val="subscript"/>
        </w:rPr>
        <w:t>2</w:t>
      </w:r>
      <w:r>
        <w:t>batteries. The possible mechanistic pathways of N</w:t>
      </w:r>
      <w:r>
        <w:rPr>
          <w:vertAlign w:val="subscript"/>
        </w:rPr>
        <w:t>2</w:t>
      </w:r>
      <w:r>
        <w:t>reduction and lithiation over heterogeneous electrocatalysts are also discussed. We recommend a rigorous experimental protocol for evaluating Li–N</w:t>
      </w:r>
      <w:r>
        <w:rPr>
          <w:vertAlign w:val="subscript"/>
        </w:rPr>
        <w:t>2</w:t>
      </w:r>
      <w:r>
        <w:t>batteries to ensure reproducibility and reliable performance comparison across studies. Overall, this perspective aims to inspire future generations of researchers to advance both fundamental understanding and practical breakthroughs, thereby engineering a paradigm shift in Li–N</w:t>
      </w:r>
      <w:r>
        <w:rPr>
          <w:vertAlign w:val="subscript"/>
        </w:rPr>
        <w:t>2</w:t>
      </w:r>
      <w:r>
        <w:t>chemistry research.</w:t>
      </w:r>
    </w:p>
    <w:p>
      <w:pPr>
        <w:spacing w:before="120" w:after="120"/>
      </w:pPr>
      <w:r>
        <w:rPr>
          <w:sz w:val="18"/>
        </w:rPr>
        <w:t>——————————————————————————————————————————————————————————————————————</w:t>
      </w:r>
    </w:p>
    <w:p>
      <w:pPr>
        <w:spacing w:before="160" w:after="40" w:line="240" w:lineRule="auto"/>
      </w:pPr>
      <w:r>
        <w:rPr>
          <w:b/>
        </w:rPr>
        <w:t xml:space="preserve">[4] </w:t>
      </w:r>
      <w:hyperlink r:id="rId129">
        <w:r>
          <w:rPr>
            <w:color w:val="1155CC"/>
            <w:u w:val="single"/>
          </w:rPr>
          <w:t>用于大量渗透能量收集的高通量二维粘土纳米流体</w:t>
        </w:r>
      </w:hyperlink>
    </w:p>
    <w:p>
      <w:pPr>
        <w:spacing w:before="0" w:after="80"/>
      </w:pPr>
      <w:r>
        <w:rPr>
          <w:i/>
          <w:sz w:val="20"/>
        </w:rPr>
        <w:t>EN: High‐Flux 2D Clay Nanofluidics for Substantial Osmotic Energy Harvesting</w:t>
      </w:r>
    </w:p>
    <w:p>
      <w:pPr>
        <w:spacing w:before="0" w:after="120"/>
      </w:pPr>
      <w:r>
        <w:rPr>
          <w:b/>
        </w:rPr>
        <w:t xml:space="preserve">Source: </w:t>
      </w:r>
      <w:r>
        <w:t>Wiley: Advanced Energy Materials: Table of Contents</w:t>
      </w:r>
      <w:r>
        <w:t xml:space="preserve">    </w:t>
      </w:r>
      <w:r>
        <w:rPr>
          <w:b/>
        </w:rPr>
        <w:t xml:space="preserve">Pub date: </w:t>
      </w:r>
      <w:r>
        <w:t>2026-06-22 10:51:56+00:00</w:t>
      </w:r>
      <w:r>
        <w:t xml:space="preserve">    </w:t>
      </w:r>
      <w:r>
        <w:rPr>
          <w:b/>
        </w:rPr>
        <w:t xml:space="preserve">DOI: </w:t>
      </w:r>
      <w:hyperlink r:id="rId130">
        <w:r>
          <w:rPr>
            <w:color w:val="1155CC"/>
            <w:u w:val="single"/>
          </w:rPr>
          <w:t>10.1002/aenm.71217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虽然为蓝色能源生产提供了广阔的前景，但通过反向电渗析 (RED) 的渗透能面临着低离子电流和瓦特级浓差电池显着性能衰减的挑战。在此，我们提出了一种制备高通量二维粘土纳米流体膜的策略，该膜具有高密度垂直传输通道以实现快速离子渗透和大量表面电荷以实现离子选择性。因此，膜的最大输出高达 20.8 W m</w:t>
      </w:r>
      <w:r>
        <w:t xml:space="preserve"> </w:t>
      </w:r>
      <w:r>
        <w:t>−2</w:t>
      </w:r>
      <w:r>
        <w:t xml:space="preserve"> </w:t>
      </w:r>
      <w:r>
        <w:t>根据天然海水和河水之间的盐度梯度。此外，基于无机纳米片和有机交联剂之间牢固结合的强大纳米流体配置有助于持续稳定的渗透能输出超过 18 天。通过包含平行膜穿孔的浓差池组件的合理结构设计，我们证明尽管渗透面积增加，仍可以保持恒定的功率密度。这有效地解决了与膜面积扩张相关的能量输出减少的固有挑战，同时建立了浓缩池配置的优化集成策略。集成储能模块的浓差电池组成功为电致变色显示器和风扇等商用电子产品供电，验证了现实世界的适用性。</w:t>
      </w:r>
    </w:p>
    <w:p>
      <w:pPr>
        <w:spacing w:before="0" w:after="200" w:lineRule="auto" w:line="276"/>
      </w:pPr>
      <w:r>
        <w:rPr>
          <w:b/>
        </w:rPr>
        <w:t xml:space="preserve">Abstract (EN): </w:t>
      </w:r>
      <w:r>
        <w:t>While offering great promises for blue energy production, osmotic energy via reverse electrodialysis (RED) is challenged by low ion current and significant performance decay in watt‐scale concentration cells. Herein, we propose a strategy to prepare high‐flux 2D clay nanofluidic membranes with high density of vertical transport channels for fast ion permeation and substantial surface charges for ion selectivity. Thus, the membranes demonstrate a maximum output of up to 20.8 W m</w:t>
      </w:r>
      <w:r>
        <w:t xml:space="preserve"> </w:t>
      </w:r>
      <w:r>
        <w:t>−2</w:t>
      </w:r>
      <w:r>
        <w:t xml:space="preserve"> </w:t>
      </w:r>
      <w:r>
        <w:t>from the salinity gradient between natural seawater and river water. Furthermore, the robust nanofluidic configuration based on strong bonding between inorganic nanosheets and organic crosslinkers contributes to continuous and stable osmotic energy output for over 18 days. Through rational structural design of a concentration cell assembly incorporating parallel membrane perforations, we demonstrate that constant power density can be preserved despite increasing permeation area. This effectively addresses the inherent challenge of diminishing energy output associated with membrane area expansion, while establishing an optimized integration strategy for concentration cell configuration. A concentration cell pack integrating an energy storage module successfully powers commercial electronics such as electrochromic displays and fans, validating real‐world applicability.</w:t>
      </w:r>
    </w:p>
    <w:p>
      <w:pPr>
        <w:spacing w:before="120" w:after="120"/>
      </w:pPr>
      <w:r>
        <w:rPr>
          <w:sz w:val="18"/>
        </w:rPr>
        <w:t>——————————————————————————————————————————————————————————————————————</w:t>
      </w:r>
    </w:p>
    <w:p>
      <w:pPr>
        <w:spacing w:before="160" w:after="40" w:line="240" w:lineRule="auto"/>
      </w:pPr>
      <w:r>
        <w:rPr>
          <w:b/>
        </w:rPr>
        <w:t xml:space="preserve">[5] </w:t>
      </w:r>
      <w:hyperlink r:id="rId131">
        <w:r>
          <w:rPr>
            <w:color w:val="1155CC"/>
            <w:u w:val="single"/>
          </w:rPr>
          <w:t>用于锌空气电池和水电解槽的具有精确表面重构的三功能电催化剂</w:t>
        </w:r>
      </w:hyperlink>
    </w:p>
    <w:p>
      <w:pPr>
        <w:spacing w:before="0" w:after="80"/>
      </w:pPr>
      <w:r>
        <w:rPr>
          <w:i/>
          <w:sz w:val="20"/>
        </w:rPr>
        <w:t>EN: Trifunctional electrocatalyst with accurate surface reconstruction for zinc-air batteries and water electrolyzers</w:t>
      </w:r>
    </w:p>
    <w:p>
      <w:pPr>
        <w:spacing w:before="0" w:after="120"/>
      </w:pPr>
      <w:r>
        <w:rPr>
          <w:b/>
        </w:rPr>
        <w:t xml:space="preserve">Source: </w:t>
      </w:r>
      <w:r>
        <w:t>Physical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利用经济高效的三功能电催化剂进行析氧反应、析氢反应和氧还原反应对于可持续能源转换和存储设备非常重要，但也具有挑战性。在这里，我们报道了一种单相三功能电催化剂Sr2CoRuO6-δ，具有明确的超交换双钙钛矿结构，可以在碱性条件下有效催化析氧、析氢和氧还原。作为空气电极，Sr2CoRuO6-δ可为液体可充电锌空气电池提供216 mW cm−2的高峰值功率密度、748 mAh g−1的高比容量和长达1000小时的长寿命，以及固态柔性锌空气电池的广泛温度和变形适应性。此外，采用Sr2CoRuO6-δ作为阴极和阳极的阴离子交换膜水电解槽在电流密度为1 A cm−2时需要1.90 V的电池电压，并且在与波动的太阳能电力耦合时表现出稳定和快速的响应。结合互补的原位和显微技术，全面研究了 Sr2CoRuO6-δ 在不同反应下的时空表面重构行为，并鉴定了真正的活性成分。</w:t>
      </w:r>
    </w:p>
    <w:p>
      <w:pPr>
        <w:spacing w:before="0" w:after="200" w:lineRule="auto" w:line="276"/>
      </w:pPr>
      <w:r>
        <w:rPr>
          <w:b/>
        </w:rPr>
        <w:t xml:space="preserve">Abstract (EN): </w:t>
      </w:r>
      <w:r>
        <w:t>Exploiting cost-effective trifunctional electrocatalysts toward oxygen evolution reaction, hydrogen evolution reaction and oxygen reduction reaction is important for sustainable energy conversion and storage devices yet challenging. Here, we report a single-phase trifunctional electrocatalyst Sr2CoRuO6-δ with well-defined super-exchange double perovskite structure, which can efficiently catalyze oxygen evolution, hydrogen evolution and oxygen reduction under alkaline conditions. As an air electrode, Sr2CoRuO6-δ delivers high peak power density of 216 mW cm−2, high specific capacity of 748 mAh g−1 and long lifespan up to 1000 h for liquid rechargeable zinc-air batteries, as well as broad temperature and deformation adaptability for solid-state flexible zinc-air batteries. Furthermore, an anion exchange membrane water electrolyzer employing Sr2CoRuO6-δ as both cathode and anode requires a cell voltage of 1.90 V at the current density of 1 A cm−2 and shows a stable and rapid response when coupled with fluctuating solar electricity. Combining complementary in-situ and microscopic techniques, spatiotemporal surface reconstruction behavior of Sr2CoRuO6-δ under varied reactions is comprehensively investigated and true active components are identified.</w:t>
      </w:r>
    </w:p>
    <w:p>
      <w:pPr>
        <w:spacing w:before="120" w:after="120"/>
      </w:pPr>
      <w:r>
        <w:rPr>
          <w:sz w:val="18"/>
        </w:rPr>
        <w:t>——————————————————————————————————————————————————————————————————————</w:t>
      </w:r>
    </w:p>
    <w:p>
      <w:pPr>
        <w:spacing w:before="160" w:after="40" w:line="240" w:lineRule="auto"/>
      </w:pPr>
      <w:r>
        <w:rPr>
          <w:b/>
        </w:rPr>
        <w:t xml:space="preserve">[6] </w:t>
      </w:r>
      <w:hyperlink r:id="rId132">
        <w:r>
          <w:rPr>
            <w:color w:val="1155CC"/>
            <w:u w:val="single"/>
          </w:rPr>
          <w:t>用于长期储能的扩展钒液流电池</w:t>
        </w:r>
      </w:hyperlink>
    </w:p>
    <w:p>
      <w:pPr>
        <w:spacing w:before="0" w:after="80"/>
      </w:pPr>
      <w:r>
        <w:rPr>
          <w:i/>
          <w:sz w:val="20"/>
        </w:rPr>
        <w:t>EN: Scaling vanadium flow battery for long-duration energy storage</w:t>
      </w:r>
    </w:p>
    <w:p>
      <w:pPr>
        <w:spacing w:before="0" w:after="120"/>
      </w:pPr>
      <w:r>
        <w:rPr>
          <w:b/>
        </w:rPr>
        <w:t xml:space="preserve">Source: </w:t>
      </w:r>
      <w:r>
        <w:t>Nature Energy</w:t>
      </w:r>
      <w:r>
        <w:t xml:space="preserve">    </w:t>
      </w:r>
      <w:r>
        <w:rPr>
          <w:b/>
        </w:rPr>
        <w:t xml:space="preserve">Pub date: </w:t>
      </w:r>
      <w:r>
        <w:t>2026-06-23 00:00:00+00:00</w:t>
      </w:r>
      <w:r>
        <w:t xml:space="preserve">    </w:t>
      </w:r>
      <w:r>
        <w:rPr>
          <w:b/>
        </w:rPr>
        <w:t xml:space="preserve">DOI: </w:t>
      </w:r>
      <w:hyperlink r:id="rId133">
        <w:r>
          <w:rPr>
            <w:color w:val="1155CC"/>
            <w:u w:val="single"/>
          </w:rPr>
          <w:t>10.1038/s41560-026-02053-2</w:t>
        </w:r>
      </w:hyperlink>
    </w:p>
    <w:p>
      <w:pPr>
        <w:spacing w:before="0" w:after="120"/>
      </w:pPr>
      <w:r>
        <w:rPr>
          <w:b/>
        </w:rPr>
        <w:t xml:space="preserve">Notes: </w:t>
      </w:r>
      <w:r>
        <w:t>abstract_source=nature_html</w:t>
      </w:r>
    </w:p>
    <w:p>
      <w:pPr>
        <w:spacing w:before="0" w:after="80" w:lineRule="auto" w:line="276"/>
      </w:pPr>
      <w:r>
        <w:rPr>
          <w:b/>
        </w:rPr>
        <w:t xml:space="preserve">摘要（ZH）: </w:t>
      </w:r>
      <w:r>
        <w:t>尽管早有承诺，但由于大规模出现的瓶颈，钒液流电池仍难以超越试点项目。李先锋及其同事讨论了如何克服这些障碍，以实现数百兆瓦规模的可靠、经济高效的长期储能。</w:t>
      </w:r>
    </w:p>
    <w:p>
      <w:pPr>
        <w:spacing w:before="0" w:after="200" w:lineRule="auto" w:line="276"/>
      </w:pPr>
      <w:r>
        <w:rPr>
          <w:b/>
        </w:rPr>
        <w:t xml:space="preserve">Abstract (EN): </w:t>
      </w:r>
      <w:r>
        <w:t>Despite early promise, vanadium flow batteries struggled to move beyond pilot projects due to bottlenecks that emerged at scale. Overcoming these barriers to enable reliable, cost-effective long-duration energy storage at multi-hundred-megawatt scale is discussed by Xianfeng Li and colleagues.</w:t>
      </w:r>
    </w:p>
    <w:p>
      <w:pPr>
        <w:spacing w:before="120" w:after="120"/>
      </w:pPr>
      <w:r>
        <w:rPr>
          <w:sz w:val="18"/>
        </w:rPr>
        <w:t>——————————————————————————————————————————————————————————————————————</w:t>
      </w:r>
    </w:p>
    <w:p>
      <w:pPr>
        <w:spacing w:before="160" w:after="40" w:line="240" w:lineRule="auto"/>
      </w:pPr>
      <w:r>
        <w:rPr>
          <w:b/>
        </w:rPr>
        <w:t xml:space="preserve">[7] </w:t>
      </w:r>
      <w:hyperlink r:id="rId134">
        <w:r>
          <w:rPr>
            <w:color w:val="1155CC"/>
            <w:u w:val="single"/>
          </w:rPr>
          <w:t>偶极玻璃聚酰亚胺电介质同时实现超高能量密度和高效率</w:t>
        </w:r>
      </w:hyperlink>
    </w:p>
    <w:p>
      <w:pPr>
        <w:spacing w:before="0" w:after="80"/>
      </w:pPr>
      <w:r>
        <w:rPr>
          <w:i/>
          <w:sz w:val="20"/>
        </w:rPr>
        <w:t>EN: Simultaneous Ultrahigh Energy Density and High Efficiency Achieved in Dipole‐Glass Polyimide Dielectrics</w:t>
      </w:r>
    </w:p>
    <w:p>
      <w:pPr>
        <w:spacing w:before="0" w:after="120"/>
      </w:pPr>
      <w:r>
        <w:rPr>
          <w:b/>
        </w:rPr>
        <w:t xml:space="preserve">Source: </w:t>
      </w:r>
      <w:r>
        <w:t>Wiley: Advanced Materials: Table of Contents</w:t>
      </w:r>
      <w:r>
        <w:t xml:space="preserve">    </w:t>
      </w:r>
      <w:r>
        <w:rPr>
          <w:b/>
        </w:rPr>
        <w:t xml:space="preserve">Pub date: </w:t>
      </w:r>
      <w:r>
        <w:t>2026-06-23 16:53:48+00:00</w:t>
      </w:r>
      <w:r>
        <w:t xml:space="preserve">    </w:t>
      </w:r>
      <w:r>
        <w:rPr>
          <w:b/>
        </w:rPr>
        <w:t xml:space="preserve">DOI: </w:t>
      </w:r>
      <w:hyperlink r:id="rId135">
        <w:r>
          <w:rPr>
            <w:color w:val="1155CC"/>
            <w:u w:val="single"/>
          </w:rPr>
          <w:t>10.1002/adma.73808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薄膜电容器是现代电子设备和先进脉冲功率系统的关键组件，但其性能从根本上受到高能量密度和高充放电效率之间长期权衡的限制。在这里，引入了偶极玻璃聚合物设计，其中活性偶极侧基通过柔性间隔物结合到刚性聚酰亚胺主链中。刚性聚酰亚胺主链提供宽带隙和玻璃基体，可抑制漏电流并实现 964 MV m 的超高击穿强度</w:t>
      </w:r>
      <w:r>
        <w:t xml:space="preserve"> </w:t>
      </w:r>
      <w:r>
        <w:t>−1</w:t>
      </w:r>
      <w:r>
        <w:t xml:space="preserve"> </w:t>
      </w:r>
      <w:r>
        <w:t>，而活性乙酰基侧基可提供简单且可逆的取向极化，且空间位阻最小。结果，优化后的 DGPI-Ac 薄膜实现了 15.3 J cm-2 的创纪录高放电能量密度</w:t>
      </w:r>
      <w:r>
        <w:t xml:space="preserve"> </w:t>
      </w:r>
      <w:r>
        <w:t>−3</w:t>
      </w:r>
      <w:r>
        <w:t xml:space="preserve"> </w:t>
      </w:r>
      <w:r>
        <w:t>室温充放电效率高于95%，在高达200°C的高温下也表现出优异的电容性能。这项工作将合理的侧链工程确立为一种有效的策略，从而释放聚合物电介质固有的储能潜力并推进高功率静电储能技术。</w:t>
      </w:r>
    </w:p>
    <w:p>
      <w:pPr>
        <w:spacing w:before="0" w:after="200" w:lineRule="auto" w:line="276"/>
      </w:pPr>
      <w:r>
        <w:rPr>
          <w:b/>
        </w:rPr>
        <w:t xml:space="preserve">Abstract (EN): </w:t>
      </w:r>
      <w:r>
        <w:t>Polymer‐based film capacitors are crucial components for modern electronic devices and advanced pulse power systems, but their performance is fundamentally constrained by the long‐standing trade‐off between high energy density and high charge–discharge efficiency. Here, a dipole‐glass polymer design is introduced, in which the active dipolar side groups are incorporated into a rigid polyimide backbone through flexible spacers. The rigid polyimide backbone provides a wide bandgap and a glassy matrix that suppresses leakage current and enables an ultrahigh breakdown strength of 964 MV m</w:t>
      </w:r>
      <w:r>
        <w:t xml:space="preserve"> </w:t>
      </w:r>
      <w:r>
        <w:t>−1</w:t>
      </w:r>
      <w:r>
        <w:t xml:space="preserve"> </w:t>
      </w:r>
      <w:r>
        <w:t>, while the active acetyl side groups deliver easy and reversible orientational polarization with minimal steric hindrance. As a result, the optimized DGPI‐Ac film achieves a record‐high discharged energy density of 15.3 J cm</w:t>
      </w:r>
      <w:r>
        <w:t xml:space="preserve"> </w:t>
      </w:r>
      <w:r>
        <w:t>−3</w:t>
      </w:r>
      <w:r>
        <w:t xml:space="preserve"> </w:t>
      </w:r>
      <w:r>
        <w:t>with a charge–discharge efficiency higher than 95% at room temperature, and it also shows excellent high‐temperature capacitive performance up to 200°C. This work establishes rational side‐chain engineering as an effective strategy, thereby unlocking the inherent energy storage potential of polymer dielectrics and advancing high‐power electrostatic energy storage technologies.</w:t>
      </w:r>
    </w:p>
    <w:p>
      <w:pPr>
        <w:spacing w:before="120" w:after="120"/>
      </w:pPr>
      <w:r>
        <w:rPr>
          <w:sz w:val="18"/>
        </w:rPr>
        <w:t>——————————————————————————————————————————————————————————————————————</w:t>
      </w:r>
    </w:p>
    <w:p>
      <w:pPr>
        <w:spacing w:before="160" w:after="40" w:line="240" w:lineRule="auto"/>
      </w:pPr>
      <w:r>
        <w:rPr>
          <w:b/>
        </w:rPr>
        <w:t xml:space="preserve">[8] </w:t>
      </w:r>
      <w:hyperlink r:id="rId136">
        <w:r>
          <w:rPr>
            <w:color w:val="1155CC"/>
            <w:u w:val="single"/>
          </w:rPr>
          <w:t>用于高温电容储能的聚合物电介质的机器学习驱动设计</w:t>
        </w:r>
      </w:hyperlink>
    </w:p>
    <w:p>
      <w:pPr>
        <w:spacing w:before="0" w:after="80"/>
      </w:pPr>
      <w:r>
        <w:rPr>
          <w:i/>
          <w:sz w:val="20"/>
        </w:rPr>
        <w:t>EN: Machine Learning Driven Design of Polymer Dielectrics for High Temperature Capacitive Energy Storage</w:t>
      </w:r>
    </w:p>
    <w:p>
      <w:pPr>
        <w:spacing w:before="0" w:after="120"/>
      </w:pPr>
      <w:r>
        <w:rPr>
          <w:b/>
        </w:rPr>
        <w:t xml:space="preserve">Source: </w:t>
      </w:r>
      <w:r>
        <w:t>RSC - Energy Environ. Sci. latest articles</w:t>
      </w:r>
      <w:r>
        <w:t xml:space="preserve">    </w:t>
      </w:r>
      <w:r>
        <w:rPr>
          <w:b/>
        </w:rPr>
        <w:t xml:space="preserve">Pub date: </w:t>
      </w:r>
      <w:r>
        <w:t>2026-06-23 23:00:00+00:00</w:t>
      </w:r>
    </w:p>
    <w:p>
      <w:pPr>
        <w:spacing w:before="0" w:after="120"/>
      </w:pPr>
      <w:r>
        <w:rPr>
          <w:b/>
        </w:rPr>
        <w:t xml:space="preserve">Notes: </w:t>
      </w:r>
      <w:r>
        <w:t>abstract_source=rsc_html</w:t>
      </w:r>
    </w:p>
    <w:p>
      <w:pPr>
        <w:spacing w:before="0" w:after="80" w:lineRule="auto" w:line="276"/>
      </w:pPr>
      <w:r>
        <w:rPr>
          <w:b/>
        </w:rPr>
        <w:t xml:space="preserve">摘要（ZH）: </w:t>
      </w:r>
      <w:r>
        <w:t>能够在极端条件下稳定运行的聚合物介电电容器对于推进电气化至关重要，但传统的试错方法效率低下，严重阻碍了材料的发现。在此，我们提出了一种机器学习驱动的高通量筛选框架，以加速用于高温应用的高性能电容储能材料的开发。我们的研究表明，引入脂环族单元可以调节短程有序结构的形成，从而显着抑制通过电子局域化的电荷传输。实验和模拟结果表明，半芳香聚酰亚胺薄膜表现出优异的储能性能，200℃时放电能量密度为6.74Jcm -3 ，250℃时放电能量密度为4.45Jcm -3 ，同时效率保持在90%以上。此外，半芳香族聚酰亚胺薄膜表现出出色的自清洁能力和循环可靠性，​​在250℃和300MVm -1 的恶劣条件下能承受超过10 5 个循环。这项工作阐释了开发高温电容储能的机器学习辅助策略。</w:t>
      </w:r>
    </w:p>
    <w:p>
      <w:pPr>
        <w:spacing w:before="0" w:after="200" w:lineRule="auto" w:line="276"/>
      </w:pPr>
      <w:r>
        <w:rPr>
          <w:b/>
        </w:rPr>
        <w:t xml:space="preserve">Abstract (EN): </w:t>
      </w:r>
      <w:r>
        <w:t>Polymer dielectric capacitors capable of stable operation under extreme conditions are essential for advancing electrification, yet conventional trial-and-error approaches are inefficient and severely hinder material discovery. Herein, we propose a machine learning driven high-throughput screening framework to accelerate the development of high performance capacitive energy storage materials for high temperature applications. Our studies demonstrate that introducing alicyclic units to modulates the formation of short-range ordered structures, which significantly suppress charge transport via electron localization. Experimental and simulation results demonstrate that the semi-aromatic polyimide film exhibits remarkable energy storage performance, with discharge energy density of 6.74 J cm -3 at 200 °C, and 4.45 J cm -3 at 250 °C while maintaining an efficiency of 90%. Furthermore, the semi-aromatic polyimide film exhibits outstanding selfcleaning capability and cycling reliability, enduring over 10 5 cycles under harsh conditions of 250 °C and 300 MV m -1 . This work illustrates a machine learning assisted strategy for developing high-temperature capacitive energy storage.</w:t>
      </w:r>
    </w:p>
    <w:p>
      <w:pPr>
        <w:spacing w:before="120" w:after="120"/>
      </w:pPr>
      <w:r>
        <w:rPr>
          <w:sz w:val="18"/>
        </w:rPr>
        <w:t>——————————————————————————————————————————————————————————————————————</w:t>
      </w:r>
    </w:p>
    <w:p>
      <w:pPr>
        <w:spacing w:before="160" w:after="40" w:line="240" w:lineRule="auto"/>
      </w:pPr>
      <w:r>
        <w:rPr>
          <w:b/>
        </w:rPr>
        <w:t xml:space="preserve">[9] </w:t>
      </w:r>
      <w:hyperlink r:id="rId137">
        <w:r>
          <w:rPr>
            <w:color w:val="1155CC"/>
            <w:u w:val="single"/>
          </w:rPr>
          <w:t>用于超高倍率光辅助锂空气电池的强电子推拉效应和低跃迁势垒升压非金属COFs光电极</w:t>
        </w:r>
      </w:hyperlink>
    </w:p>
    <w:p>
      <w:pPr>
        <w:spacing w:before="0" w:after="80"/>
      </w:pPr>
      <w:r>
        <w:rPr>
          <w:i/>
          <w:sz w:val="20"/>
        </w:rPr>
        <w:t>EN: Strong electron push–pull effect and low transition barrier boosting non-metallic COFs photoelectrode for ultrahigh-rate photo-assisted Li–air batteries</w:t>
      </w:r>
    </w:p>
    <w:p>
      <w:pPr>
        <w:spacing w:before="0" w:after="120"/>
      </w:pPr>
      <w:r>
        <w:rPr>
          <w:b/>
        </w:rPr>
        <w:t xml:space="preserve">Source: </w:t>
      </w:r>
      <w:r>
        <w:t>RSC - Energy Environ. Sci. latest articles</w:t>
      </w:r>
      <w:r>
        <w:t xml:space="preserve">    </w:t>
      </w:r>
      <w:r>
        <w:rPr>
          <w:b/>
        </w:rPr>
        <w:t xml:space="preserve">Pub date: </w:t>
      </w:r>
      <w:r>
        <w:t>2026-06-23 23:00:00+00:00</w:t>
      </w:r>
    </w:p>
    <w:p>
      <w:pPr>
        <w:spacing w:before="0" w:after="120"/>
      </w:pPr>
      <w:r>
        <w:rPr>
          <w:b/>
        </w:rPr>
        <w:t xml:space="preserve">Notes: </w:t>
      </w:r>
      <w:r>
        <w:t>abstract_source=rsc_html</w:t>
      </w:r>
    </w:p>
    <w:p>
      <w:pPr>
        <w:spacing w:before="0" w:after="80" w:lineRule="auto" w:line="276"/>
      </w:pPr>
      <w:r>
        <w:rPr>
          <w:b/>
        </w:rPr>
        <w:t xml:space="preserve">摘要（ZH）: </w:t>
      </w:r>
      <w:r>
        <w:t>光辅助锂气电池已被认为是通过将光电极整合到传统气体阴极中来降低充电/放电过电势的最有效策略之一。然而，目前的光电极仍然面临太阳能吸收窄、载流子分离不充分等问题，严重限制了其倍率性能和在复杂的锂空气电池中的应用。在此，通过优化分子内电子分布，设计并合成了一系列具有可调内建电场和低载流子复合率的功能化D-A构型COF-n化合物。优化的苯醌基COF-2表现出最低的光子生载流子跃迁势垒，具有令人印象深刻的光吸收、激子解离和电荷分离，同时其大的D-A电位差构建了超强的电子推挽效应，从而产生最强且分布均匀的内建电场。因此，组装的基于COF-2的光辅助锂空气电池实现了创纪录的98%的往返效率，在200 mA g−1时放电电势高达3.34 V。值得注意的是，即使在 1000 mA g−1 的高电流密度下，该电池仍保持着出色的倍率性能，往返效率为 72%，证明了 Li2O2、Li2CO3 和 Li3N 的可逆转换。这些发现凸显了光辅助锂空气电池中超强电子推拉效应和低跃迁势垒的重要性。</w:t>
      </w:r>
    </w:p>
    <w:p>
      <w:pPr>
        <w:spacing w:before="0" w:after="200" w:lineRule="auto" w:line="276"/>
      </w:pPr>
      <w:r>
        <w:rPr>
          <w:b/>
        </w:rPr>
        <w:t xml:space="preserve">Abstract (EN): </w:t>
      </w:r>
      <w:r>
        <w:t>Photo-assisted Li–gas batteries have been recognized as one of the most effective strategies for reducing charge/discharge overpotential by incorporating photoelectrodes into conventional gas cathodes. However, the current photo-electrodes have still faced several issues, including narrow solar absorption, inadequate charge carrier separation, etc., which seriously restricted their rate capability and application in complicated Li–Air batteries. Herein, a series of the functionalized D–A configuration COF-n compounds with tunable built-in electric field and low charge-carrier recombination rates were designed and synthesized by optimizing the intramolecular electron distribution. The optimized benzoquinone-based COF-2 exhibited the lowest transition barrier of photon-generated carriers for impressive light absorption, exciton dissociation and charge separation, meanwhile its large D–A potential difference constructed ultra-strong electron push–pull effect, resulting in the strongest and even-distributed built-in electric field. Therefore, the assembled COF-2 based photo-assisted Li–Air battery delivered a record round-trip efficiency of 98% with discharge potential up to 3.34 V at 200 mA g−1. Remarkably, the battery maintained prominent rate capability with a round-trip efficiency of 72% even at a high current density of 1000 mA g−1, demonstrating reversible conversion of Li2O2, Li2CO3 and Li3N. These findings highlight the significance of ultra-strong electron push–pull effect and low transition barrier in photo-assisted Li–Air batteries.</w:t>
      </w:r>
    </w:p>
    <w:p>
      <w:pPr>
        <w:spacing w:before="120" w:after="120"/>
      </w:pPr>
      <w:r>
        <w:rPr>
          <w:sz w:val="18"/>
        </w:rPr>
        <w:t>——————————————————————————————————————————————————————————————————————</w:t>
      </w:r>
    </w:p>
    <w:p>
      <w:pPr>
        <w:spacing w:before="160" w:after="40" w:line="240" w:lineRule="auto"/>
      </w:pPr>
      <w:r>
        <w:rPr>
          <w:b/>
        </w:rPr>
        <w:t xml:space="preserve">[10] </w:t>
      </w:r>
      <w:hyperlink r:id="rId138">
        <w:r>
          <w:rPr>
            <w:color w:val="1155CC"/>
            <w:u w:val="single"/>
          </w:rPr>
          <w:t>用于长期储能的流动锌浆</w:t>
        </w:r>
      </w:hyperlink>
    </w:p>
    <w:p>
      <w:pPr>
        <w:spacing w:before="0" w:after="80"/>
      </w:pPr>
      <w:r>
        <w:rPr>
          <w:i/>
          <w:sz w:val="20"/>
        </w:rPr>
        <w:t>EN: Flowing zinc slurry for long-duration energy storage</w:t>
      </w:r>
    </w:p>
    <w:p>
      <w:pPr>
        <w:spacing w:before="0" w:after="120"/>
      </w:pPr>
      <w:r>
        <w:rPr>
          <w:b/>
        </w:rPr>
        <w:t xml:space="preserve">Source: </w:t>
      </w:r>
      <w:r>
        <w:t>Nature Energy</w:t>
      </w:r>
      <w:r>
        <w:t xml:space="preserve">    </w:t>
      </w:r>
      <w:r>
        <w:rPr>
          <w:b/>
        </w:rPr>
        <w:t xml:space="preserve">Pub date: </w:t>
      </w:r>
      <w:r>
        <w:t>2026-06-24 00:00:00+00:00</w:t>
      </w:r>
      <w:r>
        <w:t xml:space="preserve">    </w:t>
      </w:r>
      <w:r>
        <w:rPr>
          <w:b/>
        </w:rPr>
        <w:t xml:space="preserve">DOI: </w:t>
      </w:r>
      <w:hyperlink r:id="rId139">
        <w:r>
          <w:rPr>
            <w:color w:val="1155CC"/>
            <w:u w:val="single"/>
          </w:rPr>
          <w:t>10.1038/s41560-026-02091-w</w:t>
        </w:r>
      </w:hyperlink>
    </w:p>
    <w:p>
      <w:pPr>
        <w:spacing w:before="0" w:after="120"/>
      </w:pPr>
      <w:r>
        <w:rPr>
          <w:b/>
        </w:rPr>
        <w:t xml:space="preserve">Notes: </w:t>
      </w:r>
      <w:r>
        <w:t>abstract_source=nature_html</w:t>
      </w:r>
    </w:p>
    <w:p>
      <w:pPr>
        <w:spacing w:before="0" w:after="80" w:lineRule="auto" w:line="276"/>
      </w:pPr>
      <w:r>
        <w:rPr>
          <w:b/>
        </w:rPr>
        <w:t xml:space="preserve">摘要（ZH）: </w:t>
      </w:r>
      <w:r>
        <w:t>长时间储能对于整合可再生能源至关重要，但很少有技术能够同时实现低成本、长循环寿命和高安全性。在这里，我们报道了一种流动锌浆料（FZS）电池，其中分散在导电网络中的纳米级锌颗粒进行可逆的 Zn/Zn2+ 氧化还原转化，稳定性增强。配体辅助限制配位到锌纳米颗粒表面，抑制锌的过度生长和寄生反应，从而实现整个浆料中均匀、单分散的锌纳米晶体沉积。在FZS | |Cu 非对称电池在 8 mA cm−2 下，库仑效率达到 99.94%，而对称电池在 22.5 mA cm−2、135 mAh cm−2 连续流动下可逆运行 5,128 小时。从这些结果出发，FZS | |MnO2 全电池在 10 A g−1 和 FZS 下循环 5,500 次后仍保留 81.1% 的容量 | | O2 全电池在 1.35 mA cm−2 下可在 100 小时内提供 1.65 Ah 电流。这项工作证明了 FZS 在长期储能方面的可行性，为可扩展、稳定的基于金属浆料的液流电池系统提供了框架。</w:t>
      </w:r>
    </w:p>
    <w:p>
      <w:pPr>
        <w:spacing w:before="0" w:after="200" w:lineRule="auto" w:line="276"/>
      </w:pPr>
      <w:r>
        <w:rPr>
          <w:b/>
        </w:rPr>
        <w:t xml:space="preserve">Abstract (EN): </w:t>
      </w:r>
      <w:r>
        <w:t>Long-duration energy storage is critical for integrating renewable energy, yet few technologies simultaneously achieve low cost, long cycle life and high safety. Here we report a flowing Zn slurry (FZS) battery in which nanoscale Zn particles dispersed within a conductive network undergo reversible Zn/Zn2+ redox conversion with enhanced stability. Ligand-assisted confinement coordinates onto Zn nanoparticle surfaces, suppressing excessive Zn growth and parasitic reactions, enabling uniform, monodisperse Zn nanocrystal deposition throughout the slurry. In FZS | |Cu asymmetric cells at 8 mA cm−2, it achieves a Coulombic efficiency of 99.94%, whereas symmetric cells operate reversibly for 5,128 h at 22.5 mA cm−2, 135 mAh cm−2 under continuous flow. Extending from these results, FZS | |MnO2 full cells retain 81.1% capacity after 5,500 cycles at 10 A g−1, and FZS | | O2 full cells deliver 1.65 Ah over 100 h at 1.35 mA cm−2. This work demonstrates the viability of FZS for long-duration energy storage, providing a framework for scalable, stable metal-slurry-based flow battery systems.</w:t>
      </w:r>
    </w:p>
    <w:p>
      <w:pPr>
        <w:spacing w:before="120" w:after="120"/>
      </w:pPr>
      <w:r>
        <w:rPr>
          <w:sz w:val="18"/>
        </w:rPr>
        <w:t>——————————————————————————————————————————————————————————————————————</w:t>
      </w:r>
    </w:p>
    <w:p>
      <w:pPr>
        <w:spacing w:before="160" w:after="40" w:line="240" w:lineRule="auto"/>
      </w:pPr>
      <w:r>
        <w:rPr>
          <w:b/>
        </w:rPr>
        <w:t xml:space="preserve">[11] </w:t>
      </w:r>
      <w:hyperlink r:id="rId140">
        <w:r>
          <w:rPr>
            <w:color w:val="1155CC"/>
            <w:u w:val="single"/>
          </w:rPr>
          <w:t>通过抑制载流子传输突破高温介电储能限制</w:t>
        </w:r>
      </w:hyperlink>
    </w:p>
    <w:p>
      <w:pPr>
        <w:spacing w:before="0" w:after="80"/>
      </w:pPr>
      <w:r>
        <w:rPr>
          <w:i/>
          <w:sz w:val="20"/>
        </w:rPr>
        <w:t>EN: Breaking high-temperature dielectric energy storage limits through suppression of charge carrier transport</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芳香族聚合物具有优异的热稳定性，使其成为高温聚合物电容器的有希望的候选者。然而，它们在高温和电场下会遭受严重的链内和链间电荷传输，导致电容性能恶化。虽然已经尝试了共混和交联策略，但聚合物主链中固有的共轭平面结构和链间供体-受体堆叠限制了它们的有效性。在此，通过将强路易斯酸三(五氟苯基)硼烷掺入路易斯碱性芳香族聚醚酰亚胺中，实现了严格的电子迁移锁定策略。三(五氟苯基)硼烷与聚醚酰亚胺的羰基氧之间的配位、氢键以及三(五氟苯基)硼烷的空间位阻的协同作用，诱导分子链之间的短程受体-受体和供体-供体有序排列，以及扭曲的分子构象。因此，含有4%重量三（五氟苯基）硼烷的聚醚酰亚胺复合材料在7300 kV cm-1和150 °C下表现出10.2 J cm-3的超高放电能量密度，在6300 kV cm-1和200 °C下表现出7.42 J cm-3的超高放电能量密度，效率高于90%，优于现有的聚合物复合材料。</w:t>
      </w:r>
    </w:p>
    <w:p>
      <w:pPr>
        <w:spacing w:before="0" w:after="200" w:lineRule="auto" w:line="276"/>
      </w:pPr>
      <w:r>
        <w:rPr>
          <w:b/>
        </w:rPr>
        <w:t xml:space="preserve">Abstract (EN): </w:t>
      </w:r>
      <w:r>
        <w:t>Aromatic polymers possess superior thermal stability, rendering them promising candidates for high-temperature polymer capacitors. However, they suffer from severe intra-and inter-chain charge transport under high temperatures and fields, leading to deteriorated capacitive performances. While blending and crosslinking strategies have been attempted, inherent conjugated planar structures in the polymer backbone and interchain donor-acceptor stacking limit their effectiveness. Herein, a strict electron migration locking strategy is enabled by incorporating strong Lewis acid tris(pentafluorophenyl)borane into the Lewis-basic aromatic polyetherimide. The synergistic effects of the coordination between tris(pentafluorophenyl)borane and the carbonyl oxygen of polyetherimide, hydrogen bonding, and steric hindrance of tris(pentafluorophenyl)borane, induce short-range acceptor-acceptor and donor-donor ordered arrangements between molecular chains, and twisted molecular conformation. Consequently, the polyetherimide composite with 4% by weight tris(pentafluorophenyl)borane exhibits an ultra-high discharged energy density of 10.2 J cm−3 at 7300 kV cm−1 and 150 °C, and 7.42 J cm−3 at 6300 kV cm−1 and 200 °C with an efficiency higher than 90%, outperforming existing polymer composites.</w:t>
      </w:r>
    </w:p>
    <w:p>
      <w:pPr>
        <w:spacing w:before="120" w:after="120"/>
      </w:pPr>
      <w:r>
        <w:rPr>
          <w:sz w:val="18"/>
        </w:rPr>
        <w:t>——————————————————————————————————————————————————————————————————————</w:t>
      </w:r>
    </w:p>
    <w:p>
      <w:pPr>
        <w:spacing w:before="160" w:after="40" w:line="240" w:lineRule="auto"/>
      </w:pPr>
      <w:r>
        <w:rPr>
          <w:b/>
        </w:rPr>
        <w:t xml:space="preserve">[12] </w:t>
      </w:r>
      <w:hyperlink r:id="rId141">
        <w:r>
          <w:rPr>
            <w:color w:val="1155CC"/>
            <w:u w:val="single"/>
          </w:rPr>
          <w:t>通过缺乏 Pd 配位和多轨道杂化的纳米孪生高熵气凝胶促进氧还原，用于锌空气电池应用</w:t>
        </w:r>
      </w:hyperlink>
    </w:p>
    <w:p>
      <w:pPr>
        <w:spacing w:before="0" w:after="80"/>
      </w:pPr>
      <w:r>
        <w:rPr>
          <w:i/>
          <w:sz w:val="20"/>
        </w:rPr>
        <w:t>EN: Boosting Oxygen Reduction via Nanotwinned High‐Entropy Aerogels With Deficient Pd Coordination and Multi‐d‐Orbital Hybridization for Zinc‐Air Battery Applications</w:t>
      </w:r>
    </w:p>
    <w:p>
      <w:pPr>
        <w:spacing w:before="0" w:after="120"/>
      </w:pPr>
      <w:r>
        <w:rPr>
          <w:b/>
        </w:rPr>
        <w:t xml:space="preserve">Source: </w:t>
      </w:r>
      <w:r>
        <w:t>Wiley: Advanced Energy Materials: Table of Contents</w:t>
      </w:r>
      <w:r>
        <w:t xml:space="preserve">    </w:t>
      </w:r>
      <w:r>
        <w:rPr>
          <w:b/>
        </w:rPr>
        <w:t xml:space="preserve">Pub date: </w:t>
      </w:r>
      <w:r>
        <w:t>2026-06-24 10:35:36+00:00</w:t>
      </w:r>
      <w:r>
        <w:t xml:space="preserve">    </w:t>
      </w:r>
      <w:r>
        <w:rPr>
          <w:b/>
        </w:rPr>
        <w:t xml:space="preserve">DOI: </w:t>
      </w:r>
      <w:hyperlink r:id="rId142">
        <w:r>
          <w:rPr>
            <w:color w:val="1155CC"/>
            <w:u w:val="single"/>
          </w:rPr>
          <w:t>10.1002/aenm.71223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熵合金（HEA）为电催化应用提供了绝佳的机会，但实现对其原子级缺陷和电子性能的精确控制仍然是一个巨大的挑战。在此，通过系统的热力学和电子结构分析结合颗粒自组装技术，成功构建了具有分级多孔结构的高熵合金气凝胶（HEAA）。晶格畸变产生局部微应变场和纳米孪晶界，破坏了典型的原子周期性并导致不饱和的Pd配位环境，从而增加了活性位点的密度。此外，我们观察到电子从 3d（Cu、Ni、Co）到 4d（Pd）和 5d（Pt）元素的转移，证明了有效的多轨道电子调节。优化的 HEAA 表现出优异的双功能特性，电位差为 0.64 V，高动电流密度为 27.9 mA·cm</w:t>
      </w:r>
      <w:r>
        <w:t xml:space="preserve"> </w:t>
      </w:r>
      <w:r>
        <w:t>−2</w:t>
      </w:r>
      <w:r>
        <w:t xml:space="preserve"> </w:t>
      </w:r>
      <w:r>
        <w:t>，比商业催化剂要好得多。当应用于锌空气电池时，它表现出超过600小时的长循环稳定性。理论计算表明，PdPtCuNiCo HEAAs的强反键作用减弱了OOH*的吸附，其高自旋电子构型促进了电子向中间O 2p轨道的转移，两者均提高了ORR活性。</w:t>
      </w:r>
    </w:p>
    <w:p>
      <w:pPr>
        <w:spacing w:before="0" w:after="200" w:lineRule="auto" w:line="276"/>
      </w:pPr>
      <w:r>
        <w:rPr>
          <w:b/>
        </w:rPr>
        <w:t xml:space="preserve">Abstract (EN): </w:t>
      </w:r>
      <w:r>
        <w:t>High‐entropy alloys (HEAs) offer exceptional opportunities for electrocatalytic applications, yet achieving precise control over their atomic‐scale defects and electronic properties remains a substantial challenge. Herein, high‐entropy alloy aerogels (HEAAs) with a hierarchical porous structure are successfully constructed through systematic thermodynamic and electronic structure analysis combined with particle self‐assembly technology. The lattice distortion produces a local micro‐strain field and nano‐twin boundaries, which destroy the typical atomic periodicity and lead to an unsaturated Pd coordination environment, thereby increasing the density of active sites. In addition, we observe electron transfer from 3d (Cu, Ni, Co) to 4d (Pd) and 5d (Pt) elements, demonstrating effective multi‐orbital electron regulation. The optimized HEAAs exhibit excellent bifunctional properties, with a potential difference of 0.64 V and a high kinetic current density of 27.9 mA·cm</w:t>
      </w:r>
      <w:r>
        <w:t xml:space="preserve"> </w:t>
      </w:r>
      <w:r>
        <w:t>−2</w:t>
      </w:r>
      <w:r>
        <w:t xml:space="preserve"> </w:t>
      </w:r>
      <w:r>
        <w:t>, which are much better than those of commercial catalysts. When applied to the zinc‐air battery, it exhibits long cycle stability of over 600 h. Theoretical calculations show that the strong anti‐bonding effect of PdPtCuNiCo HEAAs weakens the adsorption of OOH*, and its high‐spin electronic configuration promotes the electron transfer to the intermediate O 2p orbital, both of which improve the ORR activity.</w:t>
      </w:r>
    </w:p>
    <w:p>
      <w:pPr>
        <w:spacing w:before="120" w:after="120"/>
      </w:pPr>
      <w:r>
        <w:rPr>
          <w:sz w:val="18"/>
        </w:rPr>
        <w:t>——————————————————————————————————————————————————————————————————————</w:t>
      </w:r>
    </w:p>
    <w:p>
      <w:pPr>
        <w:spacing w:before="160" w:after="40" w:line="240" w:lineRule="auto"/>
      </w:pPr>
      <w:r>
        <w:rPr>
          <w:b/>
        </w:rPr>
        <w:t xml:space="preserve">[13] </w:t>
      </w:r>
      <w:hyperlink r:id="rId143">
        <w:r>
          <w:rPr>
            <w:color w:val="1155CC"/>
            <w:u w:val="single"/>
          </w:rPr>
          <w:t>控制高性能锂氧电池中Li2O2的沉积</w:t>
        </w:r>
      </w:hyperlink>
    </w:p>
    <w:p>
      <w:pPr>
        <w:spacing w:before="0" w:after="80"/>
      </w:pPr>
      <w:r>
        <w:rPr>
          <w:i/>
          <w:sz w:val="20"/>
        </w:rPr>
        <w:t>EN: Controlling the deposition of Li2O2 for high-performance lithium-oxygen batteries</w:t>
      </w:r>
    </w:p>
    <w:p>
      <w:pPr>
        <w:spacing w:before="0" w:after="120"/>
      </w:pPr>
      <w:r>
        <w:rPr>
          <w:b/>
        </w:rPr>
        <w:t xml:space="preserve">Source: </w:t>
      </w:r>
      <w:r>
        <w:t>Matter</w:t>
      </w:r>
      <w:r>
        <w:t xml:space="preserve">    </w:t>
      </w:r>
      <w:r>
        <w:rPr>
          <w:b/>
        </w:rPr>
        <w:t xml:space="preserve">Pub date: </w:t>
      </w:r>
      <w:r>
        <w:t>2026-06-25 00:00:00+00:00</w:t>
      </w:r>
      <w:r>
        <w:t xml:space="preserve">    </w:t>
      </w:r>
      <w:r>
        <w:rPr>
          <w:b/>
        </w:rPr>
        <w:t xml:space="preserve">DOI: </w:t>
      </w:r>
      <w:hyperlink r:id="rId144">
        <w:r>
          <w:rPr>
            <w:color w:val="1155CC"/>
            <w:u w:val="single"/>
          </w:rPr>
          <w:t>10.1016/j.matt.2026.102905</w:t>
        </w:r>
      </w:hyperlink>
    </w:p>
    <w:p>
      <w:pPr>
        <w:spacing w:before="0" w:after="120"/>
      </w:pPr>
      <w:r>
        <w:rPr>
          <w:b/>
        </w:rPr>
        <w:t xml:space="preserve">Notes: </w:t>
      </w:r>
      <w:r>
        <w:t>abstract_source=rss_cell</w:t>
      </w:r>
    </w:p>
    <w:p>
      <w:pPr>
        <w:spacing w:before="0" w:after="80" w:lineRule="auto" w:line="276"/>
      </w:pPr>
      <w:r>
        <w:rPr>
          <w:b/>
        </w:rPr>
        <w:t xml:space="preserve">摘要（ZH）: </w:t>
      </w:r>
      <w:r>
        <w:t>光辅助Li-O2电池仍然受到光生载流子和Li2O2化学之间低效耦合的限制。在这里，我们开发了氟取代石墨二炔（FGDY）作为光响应阴极，在sp-sp2碳框架内具有光诱导的分子内电荷重新分布，它调节Li +和氧中间体的吸附，使膜状Li2O2沿着纤维状FGDY网络生长，而不是绝缘盘状晶体。这种路径选择性调节增强了反应的可逆性，抑制了寄生反应，并提供了光照下往返效率为 97.5% 的 Li-O2 电池。</w:t>
      </w:r>
    </w:p>
    <w:p>
      <w:pPr>
        <w:spacing w:before="0" w:after="200" w:lineRule="auto" w:line="276"/>
      </w:pPr>
      <w:r>
        <w:rPr>
          <w:b/>
        </w:rPr>
        <w:t xml:space="preserve">Abstract (EN): </w:t>
      </w:r>
      <w:r>
        <w:t>Light-assisted Li-O2 batteries remain limited by inefficient coupling between photogenerated carriers and Li2O2 chemistry. Here, we develop fluorine-substituted graphdiyne (FGDY) as a photo-responsive cathode, with light-induced intramolecular charge redistribution within the sp–sp2 carbon framework, it regulates the adsorption of Li+ and oxygen intermediates, enabling membrane-like Li2O2 growth along the fibrous FGDY network rather than insulating disk-like crystals. This pathway-selective regulation enhances reaction reversibility, suppresses parasitic reactions, and delivers a Li-O2 battery with 97.5% round-trip efficiency under illumination.</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45">
        <w:r>
          <w:rPr>
            <w:color w:val="1155CC"/>
            <w:u w:val="single"/>
          </w:rPr>
          <w:t>利用地热驱动的有机朗肯循环改造废弃油气井发电</w:t>
        </w:r>
      </w:hyperlink>
    </w:p>
    <w:p>
      <w:pPr>
        <w:spacing w:before="0" w:after="80"/>
      </w:pPr>
      <w:r>
        <w:rPr>
          <w:i/>
          <w:sz w:val="20"/>
        </w:rPr>
        <w:t>EN: Electricity generation from retrofitted abandoned oil and gas wells using a geothermal-driven organic rankine cycle</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46">
        <w:r>
          <w:rPr>
            <w:color w:val="1155CC"/>
            <w:u w:val="single"/>
          </w:rPr>
          <w:t>类碳网络 (TPMS) 的焓驱动拓扑规划</w:t>
        </w:r>
      </w:hyperlink>
    </w:p>
    <w:p>
      <w:pPr>
        <w:spacing w:before="0" w:after="80"/>
      </w:pPr>
      <w:r>
        <w:rPr>
          <w:i/>
          <w:sz w:val="20"/>
        </w:rPr>
        <w:t>EN: Enthalpy‐Driven Topological Programming of (TPMS)‐Like Carbon Networks</w:t>
      </w:r>
    </w:p>
    <w:p>
      <w:pPr>
        <w:spacing w:before="0" w:after="120"/>
      </w:pPr>
      <w:r>
        <w:rPr>
          <w:b/>
        </w:rPr>
        <w:t xml:space="preserve">Source: </w:t>
      </w:r>
      <w:r>
        <w:t>Wiley: Advanced Materials: Table of Contents</w:t>
      </w:r>
      <w:r>
        <w:t xml:space="preserve">    </w:t>
      </w:r>
      <w:r>
        <w:rPr>
          <w:b/>
        </w:rPr>
        <w:t xml:space="preserve">Pub date: </w:t>
      </w:r>
      <w:r>
        <w:t>2026-06-20 05:32:34+00:00</w:t>
      </w:r>
      <w:r>
        <w:t xml:space="preserve">    </w:t>
      </w:r>
      <w:r>
        <w:rPr>
          <w:b/>
        </w:rPr>
        <w:t xml:space="preserve">DOI: </w:t>
      </w:r>
      <w:hyperlink r:id="rId147">
        <w:r>
          <w:rPr>
            <w:color w:val="1155CC"/>
            <w:u w:val="single"/>
          </w:rPr>
          <w:t>10.1002/adma.73743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对孔隙拓扑结构的确定性控制仍然是多孔碳的中心瓶颈，限制了将分子设计转化为可预测的电磁衰减和耦合热函数的能力。在这里，我们引入了一种焓驱动的拓扑编程范式，其中高能 N-N' 片段的键焓充当定量刻度盘，引导协调框架的自传播重建成连续序列（TPMS）的双连续结构。这种可编程拓扑同时为波进入建立阻抗匹配的多散射路径，并集中异质界面，通过类涡旋磁性纹理和界面电荷积累促进耦合介电和磁耗散。因此，优化后的 Co@1,2,3,4-NC 在 15 wt% 负载下的反射损耗最小为 -53.97 dB，有效吸收带宽为 7.84 GHz。除了电磁性能之外，相同的双连续拓扑还通过增强跨层次边界的声子散射来抑制热传输，从而实现将电磁屏蔽与隔热相结合的超轻疏水气凝胶原型。更广泛地说，键焓编码拓扑控制提供了一种可转移的途径来编程跨材料化学的双连续多孔网络，将热力学驱动力与多功能物质的拓扑不变量联系起来。</w:t>
      </w:r>
    </w:p>
    <w:p>
      <w:pPr>
        <w:spacing w:before="0" w:after="200" w:lineRule="auto" w:line="276"/>
      </w:pPr>
      <w:r>
        <w:rPr>
          <w:b/>
        </w:rPr>
        <w:t xml:space="preserve">Abstract (EN): </w:t>
      </w:r>
      <w:r>
        <w:t>Deterministic control over pore topology remains a central bottleneck in porous carbons, limiting the ability to translate molecular design into predictable electromagnetic attenuation and coupled thermal functions. Herein, we introduce an enthalpy‐driven topological programming paradigm in which the bond‐enthalpy of energetic N‐N’ fragments acts as a quantitative dial to steer self‐propagating reconstruction of coordination frameworks into a continuous sequence of (TPMS)‐like bicontinuous architectures. This programmable topology simultaneously establishes impedance‐matched, multi‐scattering pathways for wave ingress and concentrates heterogeneous interfaces that promote coupled dielectric and magnetic dissipation via vortex‐like magnetic textures and interfacial charge accumulation. As a result, the optimized Co@1,2,3,4‐NC delivers a minimum reflection loss of −53.97 dB with an effective absorption bandwidth of 7.84 GHz at 15 wt% loading. Beyond electromagnetic performance, the same bicontinuous topology suppresses heat transport by intensifying phonon scattering across hierarchical boundaries, enabling an ultralight and hydrophobic aerogel prototype that integrates electromagnetic shielding with thermal insulation. More broadly, bond‐enthalpy‐encoded topology control provides a transferable route to program bicontinuous porous networks across material chemistries, bridging thermodynamic driving forces with topological invariants for multifunctional matter.</w:t>
      </w:r>
    </w:p>
    <w:p>
      <w:pPr>
        <w:spacing w:before="120" w:after="120"/>
      </w:pPr>
      <w:r>
        <w:rPr>
          <w:sz w:val="18"/>
        </w:rPr>
        <w:t>——————————————————————————————————————————————————————————————————————</w:t>
      </w:r>
    </w:p>
    <w:p>
      <w:pPr>
        <w:spacing w:before="160" w:after="40" w:line="240" w:lineRule="auto"/>
      </w:pPr>
      <w:r>
        <w:rPr>
          <w:b/>
        </w:rPr>
        <w:t xml:space="preserve">[3] </w:t>
      </w:r>
      <w:hyperlink r:id="rId148">
        <w:r>
          <w:rPr>
            <w:color w:val="1155CC"/>
            <w:u w:val="single"/>
          </w:rPr>
          <w:t>温度和光调节液晶智能窗，可在全天候条件下动态控制日光和太阳能热</w:t>
        </w:r>
      </w:hyperlink>
    </w:p>
    <w:p>
      <w:pPr>
        <w:spacing w:before="0" w:after="80"/>
      </w:pPr>
      <w:r>
        <w:rPr>
          <w:i/>
          <w:sz w:val="20"/>
        </w:rPr>
        <w:t>EN: Temperature‐ and Light‐Regulated Liquid Crystal Smart Window for Dynamic Control of Daylight and Solar Heat in All‐Weather Conditions</w:t>
      </w:r>
    </w:p>
    <w:p>
      <w:pPr>
        <w:spacing w:before="0" w:after="120"/>
      </w:pPr>
      <w:r>
        <w:rPr>
          <w:b/>
        </w:rPr>
        <w:t xml:space="preserve">Source: </w:t>
      </w:r>
      <w:r>
        <w:t>Wiley: Angewandte Chemie International Edition: Table of Contents</w:t>
      </w:r>
      <w:r>
        <w:t xml:space="preserve">    </w:t>
      </w:r>
      <w:r>
        <w:rPr>
          <w:b/>
        </w:rPr>
        <w:t xml:space="preserve">Pub date: </w:t>
      </w:r>
      <w:r>
        <w:t>2026-06-20 09:07:13+00:00</w:t>
      </w:r>
      <w:r>
        <w:t xml:space="preserve">    </w:t>
      </w:r>
      <w:r>
        <w:rPr>
          <w:b/>
        </w:rPr>
        <w:t xml:space="preserve">DOI: </w:t>
      </w:r>
      <w:hyperlink r:id="rId149">
        <w:r>
          <w:rPr>
            <w:color w:val="1155CC"/>
            <w:u w:val="single"/>
          </w:rPr>
          <w:t>10.1002/anie.7998291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智能窗户能够响应外部条件，为减少供暖、通风和空调能耗提供了一种有前景的方法。然而，开发一种具有环境适应性、多种工作状态的智能窗户仍然是一个重大挑战，最重要的是，具有简单且通用的分子设计材料动态管理太阳光和热的能力。在这里，我们提出了一种基于光驱动分子马达和液晶（LC）聚合物相互作用的温度和光调节智能窗户。该窗户可以根据环境温度和太阳光强度在三种不同的工作状态之间动态切换：透明、反射和散射。工作状态的快速切换实现了可见光透过率（Δ</w:t>
      </w:r>
      <w:r>
        <w:t xml:space="preserve"> </w:t>
      </w:r>
      <w:r>
        <w:t>时间</w:t>
      </w:r>
      <w:r>
        <w:t xml:space="preserve"> </w:t>
      </w:r>
      <w:r>
        <w:t>卢姆</w:t>
      </w:r>
      <w:r>
        <w:t xml:space="preserve"> </w:t>
      </w:r>
      <w:r>
        <w:t>= 75.2%）和近红外光透过率（Δ</w:t>
      </w:r>
      <w:r>
        <w:t xml:space="preserve"> </w:t>
      </w:r>
      <w:r>
        <w:t>时间</w:t>
      </w:r>
      <w:r>
        <w:t xml:space="preserve"> </w:t>
      </w:r>
      <w:r>
        <w:t>近红外</w:t>
      </w:r>
      <w:r>
        <w:t xml:space="preserve"> </w:t>
      </w:r>
      <w:r>
        <w:t>= 49.3%），显示了对室内日光和太阳得热的有效管理。能源调控模拟表明，智能窗显着降低了室内制冷的能源需求，适合不同气候条件的城市。我们的系统提供了一种有吸引力的方法，为可持续和节能的绿色建筑提供更有效的智能窗户。</w:t>
      </w:r>
    </w:p>
    <w:p>
      <w:pPr>
        <w:spacing w:before="0" w:after="200" w:lineRule="auto" w:line="276"/>
      </w:pPr>
      <w:r>
        <w:rPr>
          <w:b/>
        </w:rPr>
        <w:t xml:space="preserve">Abstract (EN): </w:t>
      </w:r>
      <w:r>
        <w:t>Smart windows that function in response to external conditions provide a promising approach to reduce heating, ventilation, and air conditioning energy consumption. However, it remains a major challenge to develop a smart window with environmental adaptability, multiple working states, and most importantly, the ability of dynamic management of solar light and heat with a simple and versatile molecular‐designed material. Here, we present a temperature‐ and light‐regulated smart window based on the interplay of light‐driven molecular motors and liquid crystal (LC) polymers. The window can dynamically switch among three distinct working states: transparent, reflective, and scattering, depending on ambient temperature and solar light intensity. The fast switching of working states enables excellent modulation of visible light transmittance (Δ</w:t>
      </w:r>
      <w:r>
        <w:t xml:space="preserve"> </w:t>
      </w:r>
      <w:r>
        <w:t>T</w:t>
      </w:r>
      <w:r>
        <w:t xml:space="preserve"> </w:t>
      </w:r>
      <w:r>
        <w:t>lum</w:t>
      </w:r>
      <w:r>
        <w:t xml:space="preserve"> </w:t>
      </w:r>
      <w:r>
        <w:t>= 75.2%) and near‐infrared light transmittance (Δ</w:t>
      </w:r>
      <w:r>
        <w:t xml:space="preserve"> </w:t>
      </w:r>
      <w:r>
        <w:t>T</w:t>
      </w:r>
      <w:r>
        <w:t xml:space="preserve"> </w:t>
      </w:r>
      <w:r>
        <w:t>NIR</w:t>
      </w:r>
      <w:r>
        <w:t xml:space="preserve"> </w:t>
      </w:r>
      <w:r>
        <w:t>= 49.3%), showing effective management of daylight and solar heat gain indoors. Simulation of energy regulation demonstrates that the smart window significantly reduces energy demand for indoor cooling and, therefore, is suitable for cities with different climate conditions. Our system provides an attractive approach toward more effective smart windows for sustainable and energy‐efficient green buildings.</w:t>
      </w:r>
    </w:p>
    <w:p>
      <w:pPr>
        <w:spacing w:before="120" w:after="120"/>
      </w:pPr>
      <w:r>
        <w:rPr>
          <w:sz w:val="18"/>
        </w:rPr>
        <w:t>——————————————————————————————————————————————————————————————————————</w:t>
      </w:r>
    </w:p>
    <w:p>
      <w:pPr>
        <w:spacing w:before="160" w:after="40" w:line="240" w:lineRule="auto"/>
      </w:pPr>
      <w:r>
        <w:rPr>
          <w:b/>
        </w:rPr>
        <w:t xml:space="preserve">[4] </w:t>
      </w:r>
      <w:hyperlink r:id="rId18">
        <w:r>
          <w:rPr>
            <w:color w:val="1155CC"/>
            <w:u w:val="single"/>
          </w:rPr>
          <w:t>基于吸附蒸发的太阳能光伏板出汗被动冷却：批判性评论</w:t>
        </w:r>
      </w:hyperlink>
    </w:p>
    <w:p>
      <w:pPr>
        <w:spacing w:before="0" w:after="80"/>
      </w:pPr>
      <w:r>
        <w:rPr>
          <w:i/>
          <w:sz w:val="20"/>
        </w:rPr>
        <w:t>EN: Sorption-evaporation-based sweating passive cooling of solar PV panels: A critical review</w:t>
      </w:r>
    </w:p>
    <w:p>
      <w:pPr>
        <w:spacing w:before="0" w:after="120"/>
      </w:pPr>
      <w:r>
        <w:rPr>
          <w:b/>
        </w:rPr>
        <w:t xml:space="preserve">Source: </w:t>
      </w:r>
      <w:r>
        <w:t>ScienceDirect Publication: Applied Energy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50">
        <w:r>
          <w:rPr>
            <w:color w:val="1155CC"/>
            <w:u w:val="single"/>
          </w:rPr>
          <w:t>热电制冷技术的进展、挑战与前景</w:t>
        </w:r>
      </w:hyperlink>
    </w:p>
    <w:p>
      <w:pPr>
        <w:spacing w:before="0" w:after="80"/>
      </w:pPr>
      <w:r>
        <w:rPr>
          <w:i/>
          <w:sz w:val="20"/>
        </w:rPr>
        <w:t>EN: Advances, challenges and prospects in thermoelectric cooling technology</w:t>
      </w:r>
    </w:p>
    <w:p>
      <w:pPr>
        <w:spacing w:before="0" w:after="120"/>
      </w:pPr>
      <w:r>
        <w:rPr>
          <w:b/>
        </w:rPr>
        <w:t xml:space="preserve">Source: </w:t>
      </w:r>
      <w:r>
        <w:t>ScienceDirect Publication: Applied Energy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51">
        <w:r>
          <w:rPr>
            <w:color w:val="1155CC"/>
            <w:u w:val="single"/>
          </w:rPr>
          <w:t>联锁稳定 3D 光热纳米结构实现分布式太阳能海水淡化</w:t>
        </w:r>
      </w:hyperlink>
    </w:p>
    <w:p>
      <w:pPr>
        <w:spacing w:before="0" w:after="80"/>
      </w:pPr>
      <w:r>
        <w:rPr>
          <w:i/>
          <w:sz w:val="20"/>
        </w:rPr>
        <w:t>EN: Interlocking Stabilized 3D Photothermal Nano‐Architectures Enables Distributed Solar Desalination</w:t>
      </w:r>
    </w:p>
    <w:p>
      <w:pPr>
        <w:spacing w:before="0" w:after="120"/>
      </w:pPr>
      <w:r>
        <w:rPr>
          <w:b/>
        </w:rPr>
        <w:t xml:space="preserve">Source: </w:t>
      </w:r>
      <w:r>
        <w:t>Wiley: Advanced Materials: Table of Contents</w:t>
      </w:r>
      <w:r>
        <w:t xml:space="preserve">    </w:t>
      </w:r>
      <w:r>
        <w:rPr>
          <w:b/>
        </w:rPr>
        <w:t xml:space="preserve">Pub date: </w:t>
      </w:r>
      <w:r>
        <w:t>2026-06-21 17:19:58+00:00</w:t>
      </w:r>
      <w:r>
        <w:t xml:space="preserve">    </w:t>
      </w:r>
      <w:r>
        <w:rPr>
          <w:b/>
        </w:rPr>
        <w:t xml:space="preserve">DOI: </w:t>
      </w:r>
      <w:hyperlink r:id="rId152">
        <w:r>
          <w:rPr>
            <w:color w:val="1155CC"/>
            <w:u w:val="single"/>
          </w:rPr>
          <w:t>10.1002/adma.73756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解决全球水资源短缺问题需要在水-能源-粮食关系中发挥作用的可持续技术。太阳能驱动蒸发是一种很有前途的方法，但其实际部署往往因难以协同整合性能、稳健性和经济可行性而受到阻碍。在这里，利用中空多壳结构（HoMS）的固有特性，我们通过将聚合物分子链联锁到HoMS的多孔壳中，建立了一种可扩展的策略，研究了一种经济且简便的方法来构建三维（3D）光热结构。为了实现丰富的负载量，我们根据汉森溶解度参数选择溶剂，通过HoMS实现精确的聚合物穿线，从而实现均匀的纳米材料负载并创建分层的“纳米森林”形态。该结构表现出 90.2% 的宽带太阳能吸收率，蒸发能耗降低 45.7%，蒸发率达到创纪录的 38.14 ± 0.57 kg m</w:t>
      </w:r>
      <w:r>
        <w:t xml:space="preserve"> </w:t>
      </w:r>
      <w:r>
        <w:t>−2</w:t>
      </w:r>
      <w:r>
        <w:t xml:space="preserve"> </w:t>
      </w:r>
      <w:r>
        <w:t>小时</w:t>
      </w:r>
      <w:r>
        <w:t xml:space="preserve"> </w:t>
      </w:r>
      <w:r>
        <w:t>−1</w:t>
      </w:r>
      <w:r>
        <w:t xml:space="preserve"> </w:t>
      </w:r>
      <w:r>
        <w:t>具有长达一年的稳定性。我们将这种材料集成到 0.75 m</w:t>
      </w:r>
      <w:r>
        <w:rPr>
          <w:vertAlign w:val="subscript"/>
        </w:rPr>
        <w:t>2</w:t>
      </w:r>
      <w:r>
        <w:t>主动冷凝式太阳能海水淡化装置，在自然阳光下每天可生产20.16升淡水，符合世界卫生组织的饮用标准。产出水成功支持了 5 m 范围内各种作物的完整生长周期</w:t>
      </w:r>
      <w:r>
        <w:rPr>
          <w:vertAlign w:val="subscript"/>
        </w:rPr>
        <w:t>2</w:t>
      </w:r>
      <w:r>
        <w:t>示范地成本较低。我们的</w:t>
      </w:r>
    </w:p>
    <w:p>
      <w:pPr>
        <w:spacing w:before="0" w:after="200" w:lineRule="auto" w:line="276"/>
      </w:pPr>
      <w:r>
        <w:rPr>
          <w:b/>
        </w:rPr>
        <w:t xml:space="preserve">Abstract (EN): </w:t>
      </w:r>
      <w:r>
        <w:t>Tackling global water scarcity requires sustainable technologies that operate at the water‐energy‐food nexus. Solar‐driven evaporation is a promising approach, but its practical deployment is often hampered by the difficulty in synergistically integrating performance, robustness, and economic viability. Here, by using the intrinsic property of hollow multishelled structure (HoMS), we established a scalable strategy by interlocking the polymer molecular chain into the porous shell of HoMS, investigating an economical and faci le approach to construct three‐dimensional (3D) photothermal architectures. To achieve an abundant loading amount, we selected the solvents based on Hansen solubility parameters, achieving precise polymer threading through HoMS, leading to uniform nanomaterial loading and creating the hierarchical “nanoforest” morphology. This structure exhibits 90.2% broadband solar absorption and reduces the energy consumption of evaporation by 45.7%, achieving a record‐high evaporation rate of 38.14 ± 0.57 kg m</w:t>
      </w:r>
      <w:r>
        <w:t xml:space="preserve"> </w:t>
      </w:r>
      <w:r>
        <w:t>−2</w:t>
      </w:r>
      <w:r>
        <w:t xml:space="preserve"> </w:t>
      </w:r>
      <w:r>
        <w:t>h</w:t>
      </w:r>
      <w:r>
        <w:t xml:space="preserve"> </w:t>
      </w:r>
      <w:r>
        <w:t>−1</w:t>
      </w:r>
      <w:r>
        <w:t xml:space="preserve"> </w:t>
      </w:r>
      <w:r>
        <w:t>with year‐long stability. We integrated this material into a 0.75 m</w:t>
      </w:r>
      <w:r>
        <w:rPr>
          <w:vertAlign w:val="subscript"/>
        </w:rPr>
        <w:t>2</w:t>
      </w:r>
      <w:r>
        <w:t>active‐condensation solar desalination device, which produces 20.16 L of freshwater per day under natural sunlight, meeting WHO drinking standards. The produced water successfully supported the full‐growth cycles of various crops in a 5 m</w:t>
      </w:r>
      <w:r>
        <w:rPr>
          <w:vertAlign w:val="subscript"/>
        </w:rPr>
        <w:t>2</w:t>
      </w:r>
      <w:r>
        <w:t>demonstration plot with lower cost. Our work provides a feasible and sustainable route for solar‐driven water solutions.</w:t>
      </w:r>
    </w:p>
    <w:p>
      <w:pPr>
        <w:spacing w:before="120" w:after="120"/>
      </w:pPr>
      <w:r>
        <w:rPr>
          <w:sz w:val="18"/>
        </w:rPr>
        <w:t>——————————————————————————————————————————————————————————————————————</w:t>
      </w:r>
    </w:p>
    <w:p>
      <w:pPr>
        <w:spacing w:before="160" w:after="40" w:line="240" w:lineRule="auto"/>
      </w:pPr>
      <w:r>
        <w:rPr>
          <w:b/>
        </w:rPr>
        <w:t xml:space="preserve">[7] </w:t>
      </w:r>
      <w:hyperlink r:id="rId153">
        <w:r>
          <w:rPr>
            <w:color w:val="1155CC"/>
            <w:u w:val="single"/>
          </w:rPr>
          <w:t>用于个人热管理的可持续全丝纺织品</w:t>
        </w:r>
      </w:hyperlink>
    </w:p>
    <w:p>
      <w:pPr>
        <w:spacing w:before="0" w:after="80"/>
      </w:pPr>
      <w:r>
        <w:rPr>
          <w:i/>
          <w:sz w:val="20"/>
        </w:rPr>
        <w:t>EN: Sustainable all-silk textiles for personal thermal management</w:t>
      </w:r>
    </w:p>
    <w:p>
      <w:pPr>
        <w:spacing w:before="0" w:after="120"/>
      </w:pPr>
      <w:r>
        <w:rPr>
          <w:b/>
        </w:rPr>
        <w:t xml:space="preserve">Source: </w:t>
      </w:r>
      <w:r>
        <w:t>Nature Sustainability</w:t>
      </w:r>
      <w:r>
        <w:t xml:space="preserve">    </w:t>
      </w:r>
      <w:r>
        <w:rPr>
          <w:b/>
        </w:rPr>
        <w:t xml:space="preserve">Pub date: </w:t>
      </w:r>
      <w:r>
        <w:t>2026-06-22 00:00:00+00:00</w:t>
      </w:r>
      <w:r>
        <w:t xml:space="preserve">    </w:t>
      </w:r>
      <w:r>
        <w:rPr>
          <w:b/>
        </w:rPr>
        <w:t xml:space="preserve">DOI: </w:t>
      </w:r>
      <w:hyperlink r:id="rId154">
        <w:r>
          <w:rPr>
            <w:color w:val="1155CC"/>
            <w:u w:val="single"/>
          </w:rPr>
          <w:t>10.1038/s41893-026-01887-8</w:t>
        </w:r>
      </w:hyperlink>
    </w:p>
    <w:p>
      <w:pPr>
        <w:spacing w:before="0" w:after="120"/>
      </w:pPr>
      <w:r>
        <w:rPr>
          <w:b/>
        </w:rPr>
        <w:t xml:space="preserve">Notes: </w:t>
      </w:r>
      <w:r>
        <w:t>abstract_source=nature_html</w:t>
      </w:r>
    </w:p>
    <w:p>
      <w:pPr>
        <w:spacing w:before="0" w:after="80" w:lineRule="auto" w:line="276"/>
      </w:pPr>
      <w:r>
        <w:rPr>
          <w:b/>
        </w:rPr>
        <w:t xml:space="preserve">摘要（ZH）: </w:t>
      </w:r>
      <w:r>
        <w:t>包含孔隙或纳米颗粒的分层结构合成纺织品已在日间辐射冷却方面展现出巨大的前景。然而，它们的广泛采用受到对环境和人类健康的巨大风险的限制，包括微塑料脱落和纳米颗粒毒性。在此，我们报告了一种全丝纳米纺织品 (SilkNT)，它可提供高性能辐射冷却，同时完全不含合成聚合物和有毒添加剂。 SilkNT 采用费马螺旋加捻技术将丝纳米纤维缠绕在丝纱上制成，利用分层结构和材料固有的光学特性，实现了 94.8% 的显着太阳反射率和 8.19% 的紫外线吸收率降低。在实际应用中，SilkNT覆盖的皮肤温度比传统丝织物覆盖的皮肤温度低4.3°C。全面的实验表征和生命周期评估证实了该材料卓越的生物降解性、可回收性、生物相容性和减少的环境影响。这项工作为具有最小生态足迹的下一代高性能冷却纺织品建立了可持续的工程范例。</w:t>
      </w:r>
    </w:p>
    <w:p>
      <w:pPr>
        <w:spacing w:before="0" w:after="200" w:lineRule="auto" w:line="276"/>
      </w:pPr>
      <w:r>
        <w:rPr>
          <w:b/>
        </w:rPr>
        <w:t xml:space="preserve">Abstract (EN): </w:t>
      </w:r>
      <w:r>
        <w:t>Hierarchically structured synthetic textiles incorporating pores or nanoparticles have demonstrated considerable promise for daytime radiative cooling. However, their widespread adoption is constrained by substantial risks to environmental and human health, including microplastic shedding and nanoparticle toxicity. Here we report an all-silk nanotextile (SilkNT) that delivers high-performance radiative cooling while remaining entirely free of synthetic polymers and toxic additives. Fabricated by wrapping silk nanofibres around silk yarns using a Fermat-spiral twisting technique, SilkNT leverages hierarchical architecture and inherent optical properties of the material to achieve a remarkable solar reflectance of 94.8% and a reduced UV absorption of 8.19%. Under practical applications, skin covered by SilkNT exhibits a 4.3 °C lower temperature than that covered with conventional silk fabric. Comprehensive experimental characterizations and life cycle assessment confirm the material’s exceptional biodegradability, recyclability, biocompatibility and reduced environmental impact. This work establishes a sustainable engineering paradigm for next-generation high-performance cooling textiles with a minimal ecological footprint.</w:t>
      </w:r>
    </w:p>
    <w:p>
      <w:pPr>
        <w:spacing w:before="120" w:after="120"/>
      </w:pPr>
      <w:r>
        <w:rPr>
          <w:sz w:val="18"/>
        </w:rPr>
        <w:t>——————————————————————————————————————————————————————————————————————</w:t>
      </w:r>
    </w:p>
    <w:p>
      <w:pPr>
        <w:spacing w:before="160" w:after="40" w:line="240" w:lineRule="auto"/>
      </w:pPr>
      <w:r>
        <w:rPr>
          <w:b/>
        </w:rPr>
        <w:t xml:space="preserve">[8] </w:t>
      </w:r>
      <w:hyperlink r:id="rId155">
        <w:r>
          <w:rPr>
            <w:color w:val="1155CC"/>
            <w:u w:val="single"/>
          </w:rPr>
          <w:t>用于自适应智能系统的液晶弹性体：从分子设计到多功能应用</w:t>
        </w:r>
      </w:hyperlink>
    </w:p>
    <w:p>
      <w:pPr>
        <w:spacing w:before="0" w:after="80"/>
      </w:pPr>
      <w:r>
        <w:rPr>
          <w:i/>
          <w:sz w:val="20"/>
        </w:rPr>
        <w:t>EN: Liquid Crystal Elastomers for Adaptive Intelligent Systems: From Molecular Design to Multifunctional Applications</w:t>
      </w:r>
    </w:p>
    <w:p>
      <w:pPr>
        <w:spacing w:before="0" w:after="120"/>
      </w:pPr>
      <w:r>
        <w:rPr>
          <w:b/>
        </w:rPr>
        <w:t xml:space="preserve">Source: </w:t>
      </w:r>
      <w:r>
        <w:t>Wiley: Angewandte Chemie International Edition: Table of Contents</w:t>
      </w:r>
      <w:r>
        <w:t xml:space="preserve">    </w:t>
      </w:r>
      <w:r>
        <w:rPr>
          <w:b/>
        </w:rPr>
        <w:t xml:space="preserve">Pub date: </w:t>
      </w:r>
      <w:r>
        <w:t>2026-06-22 13:54:25+00:00</w:t>
      </w:r>
      <w:r>
        <w:t xml:space="preserve">    </w:t>
      </w:r>
      <w:r>
        <w:rPr>
          <w:b/>
        </w:rPr>
        <w:t xml:space="preserve">DOI: </w:t>
      </w:r>
      <w:hyperlink r:id="rId156">
        <w:r>
          <w:rPr>
            <w:color w:val="1155CC"/>
            <w:u w:val="single"/>
          </w:rPr>
          <w:t>10.1002/anie.2777553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液晶弹性体（LCE），特别是向列型和胆甾型变体，由于其独特的能力将微观分子重新取向可逆地转化为宏观变形和光学响应，已成为关键的自适应智能材料。这篇综述全面概述了基于 LCE 的自适应系统的最新突破，系统地研究了其基本刺激响应机制、网络架构工程、先进制造技术和前沿应用。特别强调通过化学成分调制、动态共价适应性网络和混合冷却 3D 打印等创新处理方法将驱动阈值降低到接近环境温度或体温的策略。我们进一步强调将LCE集成到多功能平台中，用于动态热管理、多光谱伪装、高密度信息加密、可变形能量存储和具有内在传感功能的闭环软执行器。尽管取得了重大进展，但大规模制造、长期循环稳定性和精确时空控制方面的挑战仍然存在。通过综合当前的设计原则并识别关键技术瓶颈，本综述旨在指导下一代可编程、多功能和环境弹性LCE系统的合理开发，最终加速其从实验室原型到现实世界自适应智能应用的转变。</w:t>
      </w:r>
    </w:p>
    <w:p>
      <w:pPr>
        <w:spacing w:before="0" w:after="200" w:lineRule="auto" w:line="276"/>
      </w:pPr>
      <w:r>
        <w:rPr>
          <w:b/>
        </w:rPr>
        <w:t xml:space="preserve">Abstract (EN): </w:t>
      </w:r>
      <w:r>
        <w:t>Liquid crystal elastomers (LCEs), particularly nematic and cholesteric variants, have emerged as pivotal adaptive intelligent materials due to their unique capacity to reversibly translate microscopic molecular reorientation into macroscopic deformation and optical responses. This review provides a comprehensive overview of recent breakthroughs in LCE‐based adaptive systems, systematically examining their fundamental stimulus‐response mechanisms, network architecture engineering, advanced fabrication techniques, and cutting‐edge applications. Special emphasis is placed on strategies for lowering actuation thresholds to near‐ambient or body temperatures through chemical composition modulation, dynamic covalent adaptable networks, and innovative processing methods such as hybrid cooling 3D printing. We further highlight the integration of LCEs into multifunctional platforms for dynamic thermal management, multispectral camouflage, high‐density information encryption, deformable energy storage, and closed‐loop soft actuators with intrinsic sensing capabilities. Despite significant progress, challenges regarding large‐scale manufacturing, long‐term cyclic stability, and precise spatiotemporal control remain. By synthesizing current design principles and identifying critical technological bottlenecks, this review aims to guide the rational development of next‐generation programmable, multifunctional, and environmentally resilient LCE systems, ultimately accelerating their transition from laboratory prototypes to real‐world adaptive intelligent applications.</w:t>
      </w:r>
    </w:p>
    <w:p>
      <w:pPr>
        <w:spacing w:before="120" w:after="120"/>
      </w:pPr>
      <w:r>
        <w:rPr>
          <w:sz w:val="18"/>
        </w:rPr>
        <w:t>——————————————————————————————————————————————————————————————————————</w:t>
      </w:r>
    </w:p>
    <w:p>
      <w:pPr>
        <w:spacing w:before="160" w:after="40" w:line="240" w:lineRule="auto"/>
      </w:pPr>
      <w:r>
        <w:rPr>
          <w:b/>
        </w:rPr>
        <w:t xml:space="preserve">[9] </w:t>
      </w:r>
      <w:hyperlink r:id="rId157">
        <w:r>
          <w:rPr>
            <w:color w:val="1155CC"/>
            <w:u w:val="single"/>
          </w:rPr>
          <w:t>电子振动耦合的分子工程实现了有机材料的高温光热转换</w:t>
        </w:r>
      </w:hyperlink>
    </w:p>
    <w:p>
      <w:pPr>
        <w:spacing w:before="0" w:after="80"/>
      </w:pPr>
      <w:r>
        <w:rPr>
          <w:i/>
          <w:sz w:val="20"/>
        </w:rPr>
        <w:t>EN: Molecular Engineering of Vibronic Coupling Enables High‐Temperature Solar–Thermal Conversion in an Organic Material</w:t>
      </w:r>
    </w:p>
    <w:p>
      <w:pPr>
        <w:spacing w:before="0" w:after="120"/>
      </w:pPr>
      <w:r>
        <w:rPr>
          <w:b/>
        </w:rPr>
        <w:t xml:space="preserve">Source: </w:t>
      </w:r>
      <w:r>
        <w:t>Wiley: Angewandte Chemie International Edition: Table of Contents</w:t>
      </w:r>
      <w:r>
        <w:t xml:space="preserve">    </w:t>
      </w:r>
      <w:r>
        <w:rPr>
          <w:b/>
        </w:rPr>
        <w:t xml:space="preserve">Pub date: </w:t>
      </w:r>
      <w:r>
        <w:t>2026-06-22 13:56:35+00:00</w:t>
      </w:r>
      <w:r>
        <w:t xml:space="preserve">    </w:t>
      </w:r>
      <w:r>
        <w:rPr>
          <w:b/>
        </w:rPr>
        <w:t xml:space="preserve">DOI: </w:t>
      </w:r>
      <w:hyperlink r:id="rId158">
        <w:r>
          <w:rPr>
            <w:color w:val="1155CC"/>
            <w:u w:val="single"/>
          </w:rPr>
          <w:t>10.1002/anie.9694160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光热转换为收集太阳能提供了直接途径，但大多数报道的有机材料仅限于中等温度和低温应用。在这里，我们报告了 BTDyA，一种设计用于高温太阳热转换的有机材料，通过乙炔基键桥接三苯胺供体与[1,2,5]噻二唑并[3,4-f]苯并三唑受体来实现。 BTDyA表现出高摩尔吸收系数和宽带固态吸收，使其在室外集中阳光下能够达到高达330°C的温度，这是有机光热材料报道的最高值。而且，在1064nm激光照射下，温度可进一步升高至377℃。瞬态吸收和光诱导拉曼光谱表明，BTDyA 在激发态下经历超快非辐射衰变，并伴有显着的振动激活。这些促进光子能量有效转化为分子振动能量和热量，同时抑制辐射损失并增强光热性能。 BTDyA 的高温能力使其成为太阳能收集和热存储的有前途的候选者。这些发现为高温太阳热应用有机材料的设计原理和光热机制提供了重要的见解，为其未来在可再生能源技术中的应用铺平了道路。</w:t>
      </w:r>
    </w:p>
    <w:p>
      <w:pPr>
        <w:spacing w:before="0" w:after="200" w:lineRule="auto" w:line="276"/>
      </w:pPr>
      <w:r>
        <w:rPr>
          <w:b/>
        </w:rPr>
        <w:t xml:space="preserve">Abstract (EN): </w:t>
      </w:r>
      <w:r>
        <w:t>Solar–thermal conversion offers a direct route for harvesting solar energy, yet most organic materials reported are limited to moderate temperatures and low‐temperature applications. Here, we report BTDyA, an organic material designed for high‐temperature solar–thermal conversion, achieved by bridging triphenylamine donors with [1,2,5]thiadiazolo[3,4‐f]benzotriazole acceptor via ethynyl linkages. BTDyA demonstrates a high molar absorption coefficient and broadband solid‐state absorption, enabled it to reach a temperature as high as 330 °C under concentrated outdoor sunlight, the highest reported value for organic solar–thermal materials. Moreover, under 1064 nm laser irradiation, the temperature could be further elevated to 377 °C. The transient absorption and photoinduced Raman spectroscopies reveal that BTDyA undergoes ultrafast nonradiative decay in the excited‐state, coupled with significant vibronic activation. These promote efficient conversion of photon energy into molecular vibronic energy and heat, while suppressing radiative losses and enhancing photothermal performance. The high‐temperature capability of BTDyA positions it as a promising candidate for solar energy harvesting and thermal storage. These findings offer critical insights into the design principles and photothermal mechanisms of organic materials for high‐temperature solar–thermal applications, paving the way for their future use in renewable energy technologies.</w:t>
      </w:r>
    </w:p>
    <w:p>
      <w:pPr>
        <w:spacing w:before="120" w:after="120"/>
      </w:pPr>
      <w:r>
        <w:rPr>
          <w:sz w:val="18"/>
        </w:rPr>
        <w:t>——————————————————————————————————————————————————————————————————————</w:t>
      </w:r>
    </w:p>
    <w:p>
      <w:pPr>
        <w:spacing w:before="160" w:after="40" w:line="240" w:lineRule="auto"/>
      </w:pPr>
      <w:r>
        <w:rPr>
          <w:b/>
        </w:rPr>
        <w:t xml:space="preserve">[10] </w:t>
      </w:r>
      <w:hyperlink r:id="rId159">
        <w:r>
          <w:rPr>
            <w:color w:val="1155CC"/>
            <w:u w:val="single"/>
          </w:rPr>
          <w:t>通过液晶弹性体中的光驱动热机械耦合实现高性能柔性热释电能量收集系统（Adv. Mater. 35/2026）</w:t>
        </w:r>
      </w:hyperlink>
    </w:p>
    <w:p>
      <w:pPr>
        <w:spacing w:before="0" w:after="80"/>
      </w:pPr>
      <w:r>
        <w:rPr>
          <w:i/>
          <w:sz w:val="20"/>
        </w:rPr>
        <w:t>EN: High‐Performance Flexible Pyroelectric Energy Harvesting System Enabled by Light‐Driven Thermomechanical Coupling in Liquid Crystal Elastomer (Adv. Mater. 35/2026)</w:t>
      </w:r>
    </w:p>
    <w:p>
      <w:pPr>
        <w:spacing w:before="0" w:after="120"/>
      </w:pPr>
      <w:r>
        <w:rPr>
          <w:b/>
        </w:rPr>
        <w:t xml:space="preserve">Source: </w:t>
      </w:r>
      <w:r>
        <w:t>Wiley: Advanced Materials: Table of Contents</w:t>
      </w:r>
      <w:r>
        <w:t xml:space="preserve">    </w:t>
      </w:r>
      <w:r>
        <w:rPr>
          <w:b/>
        </w:rPr>
        <w:t xml:space="preserve">Pub date: </w:t>
      </w:r>
      <w:r>
        <w:t>2026-06-23 07:28:09+00:00</w:t>
      </w:r>
      <w:r>
        <w:t xml:space="preserve">    </w:t>
      </w:r>
      <w:r>
        <w:rPr>
          <w:b/>
        </w:rPr>
        <w:t xml:space="preserve">DOI: </w:t>
      </w:r>
      <w:hyperlink r:id="rId160">
        <w:r>
          <w:rPr>
            <w:color w:val="1155CC"/>
            <w:u w:val="single"/>
          </w:rPr>
          <w:t>10.1002/adma.73707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61">
        <w:r>
          <w:rPr>
            <w:color w:val="1155CC"/>
            <w:u w:val="single"/>
          </w:rPr>
          <w:t>通过增长驱动的域动力学解锁高介电可调谐性和卓越的电热性能</w:t>
        </w:r>
      </w:hyperlink>
    </w:p>
    <w:p>
      <w:pPr>
        <w:spacing w:before="0" w:after="80"/>
      </w:pPr>
      <w:r>
        <w:rPr>
          <w:i/>
          <w:sz w:val="20"/>
        </w:rPr>
        <w:t>EN: Unlocking High Dielectric Tunability and Exceptional Electrocaloric Performance via Growth‐Driven Domain Dynamics</w:t>
      </w:r>
    </w:p>
    <w:p>
      <w:pPr>
        <w:spacing w:before="0" w:after="120"/>
      </w:pPr>
      <w:r>
        <w:rPr>
          <w:b/>
        </w:rPr>
        <w:t xml:space="preserve">Source: </w:t>
      </w:r>
      <w:r>
        <w:t>Wiley: Advanced Materials: Table of Contents</w:t>
      </w:r>
      <w:r>
        <w:t xml:space="preserve">    </w:t>
      </w:r>
      <w:r>
        <w:rPr>
          <w:b/>
        </w:rPr>
        <w:t xml:space="preserve">Pub date: </w:t>
      </w:r>
      <w:r>
        <w:t>2026-06-23 16:34:03+00:00</w:t>
      </w:r>
      <w:r>
        <w:t xml:space="preserve">    </w:t>
      </w:r>
      <w:r>
        <w:rPr>
          <w:b/>
        </w:rPr>
        <w:t xml:space="preserve">DOI: </w:t>
      </w:r>
      <w:hyperlink r:id="rId162">
        <w:r>
          <w:rPr>
            <w:color w:val="1155CC"/>
            <w:u w:val="single"/>
          </w:rPr>
          <w:t>10.1002/adma.73824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同时实现高介电可调谐性、热稳定性和频率稳定性以及高效的电热性能仍然是无铅铁电薄膜中尚未解决的主要挑战。这些限制限制了环境友好型可调组件和固态制冷技术的实际部署。为了解决这一差距，我们调查了 Ba</w:t>
      </w:r>
      <w:r>
        <w:rPr>
          <w:vertAlign w:val="subscript"/>
        </w:rPr>
        <w:t>0</w:t>
      </w:r>
      <w:r>
        <w:t>。</w:t>
      </w:r>
      <w:r>
        <w:rPr>
          <w:vertAlign w:val="subscript"/>
        </w:rPr>
        <w:t>7</w:t>
      </w:r>
      <w:r>
        <w:t>钙</w:t>
      </w:r>
      <w:r>
        <w:rPr>
          <w:vertAlign w:val="subscript"/>
        </w:rPr>
        <w:t>0</w:t>
      </w:r>
      <w:r>
        <w:t>。</w:t>
      </w:r>
      <w:r>
        <w:rPr>
          <w:vertAlign w:val="subscript"/>
        </w:rPr>
        <w:t>3</w:t>
      </w:r>
      <w:r>
        <w:t>二氧化钛</w:t>
      </w:r>
      <w:r>
        <w:rPr>
          <w:vertAlign w:val="subscript"/>
        </w:rPr>
        <w:t>3</w:t>
      </w:r>
      <w:r>
        <w:t>在 630°C、670°C 和 700°C 下生长的薄膜，建立了定量的生长-结构-性能相关性，从而能够共同优化这些功能。通过集成介电谱、瑞利分析、相场模拟和电热测量，我们理清了控制介电和电热行为的内在和外在贡献。在 630°C 下生长的薄膜表现出最高的可调性（~90%），主要由 a/c 纳米域混合的外在机制主导，而在 670°C 下生长的薄膜则具有稳定的可调性（~85%）、低介电损耗（&lt;0.05）、高累积品质因数（</w:t>
      </w:r>
      <w:r>
        <w:t xml:space="preserve"> </w:t>
      </w:r>
      <w:r>
        <w:t>合格质量框架</w:t>
      </w:r>
      <w:r>
        <w:t xml:space="preserve"> </w:t>
      </w:r>
      <w:r>
        <w:t>∼1.6 × 10</w:t>
      </w:r>
      <w:r>
        <w:rPr>
          <w:vertAlign w:val="subscript"/>
        </w:rPr>
        <w:t>4</w:t>
      </w:r>
      <w:r>
        <w:t>）以及出色的热稳定性 (300–420 K) 和频率稳定性 (10 kHz–1 MHz)。相比之下，在 700°C 下生长的薄膜表现出最佳的电热系数性能 (xi ∼0.025 K cm kV</w:t>
      </w:r>
      <w:r>
        <w:t xml:space="preserve"> </w:t>
      </w:r>
      <w:r>
        <w:t>-</w:t>
      </w:r>
    </w:p>
    <w:p>
      <w:pPr>
        <w:spacing w:before="0" w:after="200" w:lineRule="auto" w:line="276"/>
      </w:pPr>
      <w:r>
        <w:rPr>
          <w:b/>
        </w:rPr>
        <w:t xml:space="preserve">Abstract (EN): </w:t>
      </w:r>
      <w:r>
        <w:t>Achieving simultaneously high dielectric tunability, thermal and frequency stability, and efficient electrocaloric performance remains a major unresolved challenge in lead‐free ferroelectric films. These constraints limit the practical deployment of environmentally benign tunable components and solid‐state refrigeration technologies. To address this gap, we investigate Ba</w:t>
      </w:r>
      <w:r>
        <w:rPr>
          <w:vertAlign w:val="subscript"/>
        </w:rPr>
        <w:t>0</w:t>
      </w:r>
      <w:r>
        <w:t>.</w:t>
      </w:r>
      <w:r>
        <w:rPr>
          <w:vertAlign w:val="subscript"/>
        </w:rPr>
        <w:t>7</w:t>
      </w:r>
      <w:r>
        <w:t>Ca</w:t>
      </w:r>
      <w:r>
        <w:rPr>
          <w:vertAlign w:val="subscript"/>
        </w:rPr>
        <w:t>0</w:t>
      </w:r>
      <w:r>
        <w:t>.</w:t>
      </w:r>
      <w:r>
        <w:rPr>
          <w:vertAlign w:val="subscript"/>
        </w:rPr>
        <w:t>3</w:t>
      </w:r>
      <w:r>
        <w:t>TiO</w:t>
      </w:r>
      <w:r>
        <w:rPr>
          <w:vertAlign w:val="subscript"/>
        </w:rPr>
        <w:t>3</w:t>
      </w:r>
      <w:r>
        <w:t>thin films grown at 630, 670, and 700°C, establishing quantitative growth–structure–property correlations that enable co‐optimization of these functionalities. By integrating dielectric spectroscopy, Rayleigh analysis, phase‐field simulations, and electrocaloric measurements, we disentangle intrinsic and extrinsic contributions governing dielectric and electrocaloric behaviour. Film grown at 630°C exhibit the highest tunability (∼90%), dominated by extrinsic mechanisms with mixture of a/c nano‐domains, whereas film grown at 670°C yields a stable tunability (∼85%), low dielectric loss (&amp;lt;0.05), high cumulative quality factor (</w:t>
      </w:r>
      <w:r>
        <w:t xml:space="preserve"> </w:t>
      </w:r>
      <w:r>
        <w:t>CQF</w:t>
      </w:r>
      <w:r>
        <w:t xml:space="preserve"> </w:t>
      </w:r>
      <w:r>
        <w:t>∼1.6 × 10</w:t>
      </w:r>
      <w:r>
        <w:rPr>
          <w:vertAlign w:val="subscript"/>
        </w:rPr>
        <w:t>4</w:t>
      </w:r>
      <w:r>
        <w:t>), and excellent thermal (300–420 K) and frequency (10 kHz–1 MHz) stability. In contrast, films grown at 700°C display the best performance of electrocaloric coefficient (ξ ∼0.025 K cm kV</w:t>
      </w:r>
      <w:r>
        <w:t xml:space="preserve"> </w:t>
      </w:r>
      <w:r>
        <w:t>−</w:t>
      </w:r>
      <w:r>
        <w:rPr>
          <w:vertAlign w:val="subscript"/>
        </w:rPr>
        <w:t>1</w:t>
      </w:r>
      <w:r>
        <w:t>), refrigerant capacity (</w:t>
      </w:r>
      <w:r>
        <w:t xml:space="preserve"> </w:t>
      </w:r>
      <w:r>
        <w:t>RC</w:t>
      </w:r>
      <w:r>
        <w:t xml:space="preserve"> </w:t>
      </w:r>
      <w:r>
        <w:t>of ∼1900 J kg</w:t>
      </w:r>
      <w:r>
        <w:t xml:space="preserve"> </w:t>
      </w:r>
      <w:r>
        <w:t>−</w:t>
      </w:r>
      <w:r>
        <w:rPr>
          <w:vertAlign w:val="subscript"/>
        </w:rPr>
        <w:t>1</w:t>
      </w:r>
      <w:r>
        <w:t>) and an outstanding relative cooling power (RCP ≈ 1755 K</w:t>
      </w:r>
      <w:r>
        <w:rPr>
          <w:vertAlign w:val="subscript"/>
        </w:rPr>
        <w:t>2</w:t>
      </w:r>
      <w:r>
        <w:t>), among the highest reported for lead‐free films. These results establish growth temperature as an effective control parameter for overcoming tunability–stability trade‐offs in adaptive microelectronics and solid‐state refrigeration.</w:t>
      </w:r>
    </w:p>
    <w:p>
      <w:pPr>
        <w:spacing w:before="120" w:after="120"/>
      </w:pPr>
      <w:r>
        <w:rPr>
          <w:sz w:val="18"/>
        </w:rPr>
        <w:t>——————————————————————————————————————————————————————————————————————</w:t>
      </w:r>
    </w:p>
    <w:p>
      <w:pPr>
        <w:spacing w:before="160" w:after="40" w:line="240" w:lineRule="auto"/>
      </w:pPr>
      <w:r>
        <w:rPr>
          <w:b/>
        </w:rPr>
        <w:t xml:space="preserve">[12] </w:t>
      </w:r>
      <w:hyperlink r:id="rId163">
        <w:r>
          <w:rPr>
            <w:color w:val="1155CC"/>
            <w:u w:val="single"/>
          </w:rPr>
          <w:t>将绝缘 CaTiO3 加工成高性能光热电材料</w:t>
        </w:r>
      </w:hyperlink>
    </w:p>
    <w:p>
      <w:pPr>
        <w:spacing w:before="0" w:after="80"/>
      </w:pPr>
      <w:r>
        <w:rPr>
          <w:i/>
          <w:sz w:val="20"/>
        </w:rPr>
        <w:t>EN: Processing Insulating CaTiO3 into a High‐performance Photothermoelectric Material</w:t>
      </w:r>
    </w:p>
    <w:p>
      <w:pPr>
        <w:spacing w:before="0" w:after="120"/>
      </w:pPr>
      <w:r>
        <w:rPr>
          <w:b/>
        </w:rPr>
        <w:t xml:space="preserve">Source: </w:t>
      </w:r>
      <w:r>
        <w:t>Wiley: Advanced Materials: Table of Contents</w:t>
      </w:r>
      <w:r>
        <w:t xml:space="preserve">    </w:t>
      </w:r>
      <w:r>
        <w:rPr>
          <w:b/>
        </w:rPr>
        <w:t xml:space="preserve">Pub date: </w:t>
      </w:r>
      <w:r>
        <w:t>2026-06-23 16:37:44+00:00</w:t>
      </w:r>
      <w:r>
        <w:t xml:space="preserve">    </w:t>
      </w:r>
      <w:r>
        <w:rPr>
          <w:b/>
        </w:rPr>
        <w:t xml:space="preserve">DOI: </w:t>
      </w:r>
      <w:hyperlink r:id="rId164">
        <w:r>
          <w:rPr>
            <w:color w:val="1155CC"/>
            <w:u w:val="single"/>
          </w:rPr>
          <w:t>10.1002/adma.73774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热电（PTE）探测器由于具有无外部偏置、可忽略的1/f噪声以及阵列和小型化器件的低制造成本等优点而引起了广泛的关注，并且它们规避了传统光子探测器的带隙限制。然而，目前主流PTE材料的高温稳定性差，特别是在高温监测和工业余热检测等恶劣场景下，严重阻碍了其实际应用。在这项工作中，CaTiO</w:t>
      </w:r>
      <w:r>
        <w:rPr>
          <w:vertAlign w:val="subscript"/>
        </w:rPr>
        <w:t>3</w:t>
      </w:r>
      <w:r>
        <w:t>由于其突出的高温稳定性、化学稳定性、无毒性和低成本而被选为PTE材料。然而，本质绝缘的 CaTiO</w:t>
      </w:r>
      <w:r>
        <w:rPr>
          <w:vertAlign w:val="subscript"/>
        </w:rPr>
        <w:t>3</w:t>
      </w:r>
      <w:r>
        <w:t>既不具有有效的光吸收也不具有良好的热电性能。在此，引入丰富的氧空位以赋予CaTiO</w:t>
      </w:r>
      <w:r>
        <w:rPr>
          <w:vertAlign w:val="subscript"/>
        </w:rPr>
        <w:t>3</w:t>
      </w:r>
      <w:r>
        <w:t>通过在带隙内形成缺陷能级而具有广谱光吸收。同时，采用La掺杂来提高其热电性能。结果，拉</w:t>
      </w:r>
      <w:r>
        <w:t xml:space="preserve"> </w:t>
      </w:r>
      <w:r>
        <w:t>0.2</w:t>
      </w:r>
      <w:r>
        <w:t xml:space="preserve"> </w:t>
      </w:r>
      <w:r>
        <w:t>钙</w:t>
      </w:r>
      <w:r>
        <w:t xml:space="preserve"> </w:t>
      </w:r>
      <w:r>
        <w:t>0.8</w:t>
      </w:r>
      <w:r>
        <w:t xml:space="preserve"> </w:t>
      </w:r>
      <w:r>
        <w:t>二氧化钛</w:t>
      </w:r>
      <w:r>
        <w:rPr>
          <w:vertAlign w:val="subscript"/>
        </w:rPr>
        <w:t>3</w:t>
      </w:r>
      <w:r>
        <w:t>样品的响应度为 ≈300 mA W</w:t>
      </w:r>
      <w:r>
        <w:t xml:space="preserve"> </w:t>
      </w:r>
      <w:r>
        <w:t>−1</w:t>
      </w:r>
      <w:r>
        <w:t xml:space="preserve"> </w:t>
      </w:r>
      <w:r>
        <w:t>噪音水平低于 5 × 10</w:t>
      </w:r>
      <w:r>
        <w:t xml:space="preserve"> </w:t>
      </w:r>
      <w:r>
        <w:t>−9</w:t>
      </w:r>
      <w:r>
        <w:t xml:space="preserve"> </w:t>
      </w:r>
      <w:r>
        <w:t>频率 赫兹</w:t>
      </w:r>
      <w:r>
        <w:t xml:space="preserve"> </w:t>
      </w:r>
      <w:r>
        <w:t>−1/2</w:t>
      </w:r>
      <w:r>
        <w:t xml:space="preserve"> </w:t>
      </w:r>
      <w:r>
        <w:t>特技</w:t>
      </w:r>
    </w:p>
    <w:p>
      <w:pPr>
        <w:spacing w:before="0" w:after="200" w:lineRule="auto" w:line="276"/>
      </w:pPr>
      <w:r>
        <w:rPr>
          <w:b/>
        </w:rPr>
        <w:t xml:space="preserve">Abstract (EN): </w:t>
      </w:r>
      <w:r>
        <w:t>Photothermoelectric (PTE) detectors have attracted extensive attention due to the advantages of no external bias, negligible 1/f noise, and low fabrication cost for arrayed and miniaturized devices, and they circumvent the bandgap limitation of traditional photon detectors. However, the practical application of current mainstream PTE materials remains severely hindered by their poor high‐temperature stability, especially in harsh scenarios including high‐temperature monitoring and industrial waste‐heat detection. In this work, CaTiO</w:t>
      </w:r>
      <w:r>
        <w:rPr>
          <w:vertAlign w:val="subscript"/>
        </w:rPr>
        <w:t>3</w:t>
      </w:r>
      <w:r>
        <w:t>is selected as the PTE material owing to its outstanding high‐temperature stability, excellent chemical stability, non‐toxicity, and low cost. Nevertheless, intrinsic insulating CaTiO</w:t>
      </w:r>
      <w:r>
        <w:rPr>
          <w:vertAlign w:val="subscript"/>
        </w:rPr>
        <w:t>3</w:t>
      </w:r>
      <w:r>
        <w:t>possesses neither efficient optical absorption nor favorable thermoelectric properties. Herein, abundant oxygen vacancies are introduced to endow CaTiO</w:t>
      </w:r>
      <w:r>
        <w:rPr>
          <w:vertAlign w:val="subscript"/>
        </w:rPr>
        <w:t>3</w:t>
      </w:r>
      <w:r>
        <w:t>with broad‐spectrum optical absorption via the formation of defect energy levels within the bandgap. Meanwhile, La doping was employed to improve its thermoelectric performance. As a result, the La</w:t>
      </w:r>
      <w:r>
        <w:t xml:space="preserve"> </w:t>
      </w:r>
      <w:r>
        <w:t>0.2</w:t>
      </w:r>
      <w:r>
        <w:t xml:space="preserve"> </w:t>
      </w:r>
      <w:r>
        <w:t>Ca</w:t>
      </w:r>
      <w:r>
        <w:t xml:space="preserve"> </w:t>
      </w:r>
      <w:r>
        <w:t>0.8</w:t>
      </w:r>
      <w:r>
        <w:t xml:space="preserve"> </w:t>
      </w:r>
      <w:r>
        <w:t>TiO</w:t>
      </w:r>
      <w:r>
        <w:rPr>
          <w:vertAlign w:val="subscript"/>
        </w:rPr>
        <w:t>3</w:t>
      </w:r>
      <w:r>
        <w:t>sample achieves a responsivity of ≈300 mA W</w:t>
      </w:r>
      <w:r>
        <w:t xml:space="preserve"> </w:t>
      </w:r>
      <w:r>
        <w:t>−1</w:t>
      </w:r>
      <w:r>
        <w:t xml:space="preserve"> </w:t>
      </w:r>
      <w:r>
        <w:t>and a noise level below 5 × 10</w:t>
      </w:r>
      <w:r>
        <w:t xml:space="preserve"> </w:t>
      </w:r>
      <w:r>
        <w:t>−9</w:t>
      </w:r>
      <w:r>
        <w:t xml:space="preserve"> </w:t>
      </w:r>
      <w:r>
        <w:t>W Hz</w:t>
      </w:r>
      <w:r>
        <w:t xml:space="preserve"> </w:t>
      </w:r>
      <w:r>
        <w:t>−1/2</w:t>
      </w:r>
      <w:r>
        <w:t xml:space="preserve"> </w:t>
      </w:r>
      <w:r>
        <w:t>across a broad spectral range when only intrinsic resistance is considered. It well meets the application needs of harsh civilian environments with no strict requirement for response speed. This work offers a feasible strategy for developing high‐performance PTE detectors applicable to high‐temperature and harsh working conditions.</w:t>
      </w:r>
    </w:p>
    <w:p>
      <w:pPr>
        <w:spacing w:before="120" w:after="120"/>
      </w:pPr>
      <w:r>
        <w:rPr>
          <w:sz w:val="18"/>
        </w:rPr>
        <w:t>——————————————————————————————————————————————————————————————————————</w:t>
      </w:r>
    </w:p>
    <w:p>
      <w:pPr>
        <w:spacing w:before="160" w:after="40" w:line="240" w:lineRule="auto"/>
      </w:pPr>
      <w:r>
        <w:rPr>
          <w:b/>
        </w:rPr>
        <w:t xml:space="preserve">[13] </w:t>
      </w:r>
      <w:hyperlink r:id="rId165">
        <w:r>
          <w:rPr>
            <w:color w:val="1155CC"/>
            <w:u w:val="single"/>
          </w:rPr>
          <w:t>两性离子水凝胶中的离子渗透用于稳定的太阳能海水淡化和发电</w:t>
        </w:r>
      </w:hyperlink>
    </w:p>
    <w:p>
      <w:pPr>
        <w:spacing w:before="0" w:after="80"/>
      </w:pPr>
      <w:r>
        <w:rPr>
          <w:i/>
          <w:sz w:val="20"/>
        </w:rPr>
        <w:t>EN: Ion Permeation in Zwitterionic Hydrogel for Stable Solar Desalination and Power Generation</w:t>
      </w:r>
    </w:p>
    <w:p>
      <w:pPr>
        <w:spacing w:before="0" w:after="120"/>
      </w:pPr>
      <w:r>
        <w:rPr>
          <w:b/>
        </w:rPr>
        <w:t xml:space="preserve">Source: </w:t>
      </w:r>
      <w:r>
        <w:t>Wiley: Advanced Materials: Table of Contents</w:t>
      </w:r>
      <w:r>
        <w:t xml:space="preserve">    </w:t>
      </w:r>
      <w:r>
        <w:rPr>
          <w:b/>
        </w:rPr>
        <w:t xml:space="preserve">Pub date: </w:t>
      </w:r>
      <w:r>
        <w:t>2026-06-23 16:41:31+00:00</w:t>
      </w:r>
      <w:r>
        <w:t xml:space="preserve">    </w:t>
      </w:r>
      <w:r>
        <w:rPr>
          <w:b/>
        </w:rPr>
        <w:t xml:space="preserve">DOI: </w:t>
      </w:r>
      <w:hyperlink r:id="rId166">
        <w:r>
          <w:rPr>
            <w:color w:val="1155CC"/>
            <w:u w:val="single"/>
          </w:rPr>
          <w:t>10.1002/adma.73816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界面太阳能蒸发有望实现海水淡化，但会遭受盐积累和未利用的盐度梯度能量的困扰。传统的脱盐策略很大程度上依赖于被动扩散，而被动扩散在高盐度下经常受到损害。在这里，我们提出了一种使用两性离子水凝胶蒸发器的离子渗透策略。电荷平衡的水凝胶网络能够实现向下的离子渗透，同时抑制向上的水对流，从而防止界面结晶。作为概念验证，设计了一种两性离子水凝胶蒸发器，其具有用于盐水对流和离子渗透的空间分离通道。它持续超过 3.50 kg m 的高蒸发率</w:t>
      </w:r>
      <w:r>
        <w:t xml:space="preserve"> </w:t>
      </w:r>
      <w:r>
        <w:t>−2</w:t>
      </w:r>
      <w:r>
        <w:t xml:space="preserve"> </w:t>
      </w:r>
      <w:r>
        <w:t>小时</w:t>
      </w:r>
      <w:r>
        <w:t xml:space="preserve"> </w:t>
      </w:r>
      <w:r>
        <w:t>−1</w:t>
      </w:r>
      <w:r>
        <w:t xml:space="preserve"> </w:t>
      </w:r>
      <w:r>
        <w:t>在 0–25 wt.% 盐水中，在 3.5 wt.% 盐水中连续脱盐 105 小时后，没有显示出盐积累。光谱学和模拟验证了离子渗透机制。此外，产生的盐度梯度被用于发电，提供了创纪录的高功率输出 24 W m</w:t>
      </w:r>
      <w:r>
        <w:t xml:space="preserve"> </w:t>
      </w:r>
      <w:r>
        <w:t>−2</w:t>
      </w:r>
      <w:r>
        <w:t xml:space="preserve"> </w:t>
      </w:r>
      <w:r>
        <w:t>。这项工作提出了一种稳定的离子渗透调节范例，用于协同盐水资源和太阳能利用。</w:t>
      </w:r>
    </w:p>
    <w:p>
      <w:pPr>
        <w:spacing w:before="0" w:after="200" w:lineRule="auto" w:line="276"/>
      </w:pPr>
      <w:r>
        <w:rPr>
          <w:b/>
        </w:rPr>
        <w:t xml:space="preserve">Abstract (EN): </w:t>
      </w:r>
      <w:r>
        <w:t>Interfacial solar evaporation holds promise for desalination but suffers from salt accumulation and unutilized salinity‐gradient energy. Conventional salt‐rejection strategies largely rely on passive diffusion, which is frequently compromised under high salinity. Here, we propose an ion permeation strategy using a zwitterionic hydrogel evaporator. The charge‐balanced hydrogel network enables downward ion permeation while suppressing upward water convection, thereby preventing interfacial crystallization. As a proof‐of‐concept, a zwitterionic hydrogel evaporator featuring spatially separated channels for brine convection and ion permeation was engineered. It sustained high evaporation rates over 3.50 kg m</w:t>
      </w:r>
      <w:r>
        <w:t xml:space="preserve"> </w:t>
      </w:r>
      <w:r>
        <w:t>−2</w:t>
      </w:r>
      <w:r>
        <w:t xml:space="preserve"> </w:t>
      </w:r>
      <w:r>
        <w:t>h</w:t>
      </w:r>
      <w:r>
        <w:t xml:space="preserve"> </w:t>
      </w:r>
      <w:r>
        <w:t>−1</w:t>
      </w:r>
      <w:r>
        <w:t xml:space="preserve"> </w:t>
      </w:r>
      <w:r>
        <w:t>across 0–25 wt.% brines and showed no salt accumulation after 105 h of continuous desalination in 3.5 wt.% brine. Spectroscopy and simulations validated the ion permeation mechanism. Furthermore, the resulting salinity gradient was leveraged for power generation, delivering a record‐high power output of 24 W m</w:t>
      </w:r>
      <w:r>
        <w:t xml:space="preserve"> </w:t>
      </w:r>
      <w:r>
        <w:t>−2</w:t>
      </w:r>
      <w:r>
        <w:t xml:space="preserve"> </w:t>
      </w:r>
      <w:r>
        <w:t>. This work presents a stable ion permeation‐regulated paradigm for synergistic brine resource and solar energy utilization.</w:t>
      </w:r>
    </w:p>
    <w:p>
      <w:pPr>
        <w:spacing w:before="120" w:after="120"/>
      </w:pPr>
      <w:r>
        <w:rPr>
          <w:sz w:val="18"/>
        </w:rPr>
        <w:t>——————————————————————————————————————————————————————————————————————</w:t>
      </w:r>
    </w:p>
    <w:p>
      <w:pPr>
        <w:spacing w:before="160" w:after="40" w:line="240" w:lineRule="auto"/>
      </w:pPr>
      <w:r>
        <w:rPr>
          <w:b/>
        </w:rPr>
        <w:t xml:space="preserve">[14] </w:t>
      </w:r>
      <w:hyperlink r:id="rId167">
        <w:r>
          <w:rPr>
            <w:color w:val="1155CC"/>
            <w:u w:val="single"/>
          </w:rPr>
          <w:t>用于辐射冷却和隔热的机械坚固的陶瓷气凝胶</w:t>
        </w:r>
      </w:hyperlink>
    </w:p>
    <w:p>
      <w:pPr>
        <w:spacing w:before="0" w:after="80"/>
      </w:pPr>
      <w:r>
        <w:rPr>
          <w:i/>
          <w:sz w:val="20"/>
        </w:rPr>
        <w:t>EN: Mechanically Robust Ceramic Aerogels for Radiative Cooling and Thermal Insulation</w:t>
      </w:r>
    </w:p>
    <w:p>
      <w:pPr>
        <w:spacing w:before="0" w:after="120"/>
      </w:pPr>
      <w:r>
        <w:rPr>
          <w:b/>
        </w:rPr>
        <w:t xml:space="preserve">Source: </w:t>
      </w:r>
      <w:r>
        <w:t>Wiley: Advanced Materials: Table of Contents</w:t>
      </w:r>
      <w:r>
        <w:t xml:space="preserve">    </w:t>
      </w:r>
      <w:r>
        <w:rPr>
          <w:b/>
        </w:rPr>
        <w:t xml:space="preserve">Pub date: </w:t>
      </w:r>
      <w:r>
        <w:t>2026-06-23 17:07:25+00:00</w:t>
      </w:r>
      <w:r>
        <w:t xml:space="preserve">    </w:t>
      </w:r>
      <w:r>
        <w:rPr>
          <w:b/>
        </w:rPr>
        <w:t xml:space="preserve">DOI: </w:t>
      </w:r>
      <w:hyperlink r:id="rId168">
        <w:r>
          <w:rPr>
            <w:color w:val="1155CC"/>
            <w:u w:val="single"/>
          </w:rPr>
          <w:t>10.1002/adma.73810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制冷和供暖消耗了全球约一半的能源，并导致了各种环境问题。辐射冷却和隔热可以降低能耗，但现有的集这两种特性于一身的材料在工作温度范围和机械鲁棒性方面存在局限性。在此，我们报道了一种灵活的超低密度 HfO</w:t>
      </w:r>
      <w:r>
        <w:rPr>
          <w:vertAlign w:val="subscript"/>
        </w:rPr>
        <w:t>2</w:t>
      </w:r>
      <w:r>
        <w:t>－氧化锆</w:t>
      </w:r>
      <w:r>
        <w:rPr>
          <w:vertAlign w:val="subscript"/>
        </w:rPr>
        <w:t>2</w:t>
      </w:r>
      <w:r>
        <w:t>‐二氧化硅</w:t>
      </w:r>
      <w:r>
        <w:rPr>
          <w:vertAlign w:val="subscript"/>
        </w:rPr>
        <w:t>2</w:t>
      </w:r>
      <w:r>
        <w:t>通过改进的静电纺丝方法制造的陶瓷气凝胶，协同集成了辐射冷却、隔热、机械鲁棒性和超宽温度范围。它实现了白天辐射冷却的高太阳反射率 (98.0%) 和高红外发射率 (98.4%)，以及超低导热率 (24.7 mW m</w:t>
      </w:r>
      <w:r>
        <w:t xml:space="preserve"> </w:t>
      </w:r>
      <w:r>
        <w:t>−1</w:t>
      </w:r>
      <w:r>
        <w:t xml:space="preserve"> </w:t>
      </w:r>
      <w:r>
        <w:t>K</w:t>
      </w:r>
      <w:r>
        <w:t xml:space="preserve"> </w:t>
      </w:r>
      <w:r>
        <w:t>−1</w:t>
      </w:r>
      <w:r>
        <w:t xml:space="preserve"> </w:t>
      </w:r>
      <w:r>
        <w:t>2.58 毫克厘米</w:t>
      </w:r>
      <w:r>
        <w:t xml:space="preserve"> </w:t>
      </w:r>
      <w:r>
        <w:t>−3</w:t>
      </w:r>
      <w:r>
        <w:t xml:space="preserve"> </w:t>
      </w:r>
      <w:r>
        <w:t>），实现24小时保温。它还在 7.50 mg cm 下表现出优异的机械性能</w:t>
      </w:r>
      <w:r>
        <w:t xml:space="preserve"> </w:t>
      </w:r>
      <w:r>
        <w:t>−3</w:t>
      </w:r>
      <w:r>
        <w:t xml:space="preserve"> </w:t>
      </w:r>
      <w:r>
        <w:t>，包括 245 kPa 拉伸强度、1.47 MPa 压缩强度和 182 kPa 弯曲强度，以及 -196°C 至 1300°C 的超宽工作温度范围。此外，在月球环境模拟实验中，我们的气凝胶在白天实现了低于环境温度约 50.0°C 的冷却，在夜间实现了高于环境温度约 37.5°C 的保温，成功地将电子设备在上午保持在 -16.7°C 以上。</w:t>
      </w:r>
    </w:p>
    <w:p>
      <w:pPr>
        <w:spacing w:before="0" w:after="200" w:lineRule="auto" w:line="276"/>
      </w:pPr>
      <w:r>
        <w:rPr>
          <w:b/>
        </w:rPr>
        <w:t xml:space="preserve">Abstract (EN): </w:t>
      </w:r>
      <w:r>
        <w:t>Cooling and heating consume about half of global energy and result in various environmental problems. Radiative cooling and thermal insulation can reduce energy consumption, yet the existing materials that integrate both properties have limitations in working temperature range and mechanical robustness. Herein, we report a flexible and ultralow‐density HfO</w:t>
      </w:r>
      <w:r>
        <w:rPr>
          <w:vertAlign w:val="subscript"/>
        </w:rPr>
        <w:t>2</w:t>
      </w:r>
      <w:r>
        <w:t>‐ZrO</w:t>
      </w:r>
      <w:r>
        <w:rPr>
          <w:vertAlign w:val="subscript"/>
        </w:rPr>
        <w:t>2</w:t>
      </w:r>
      <w:r>
        <w:t>‐SiO</w:t>
      </w:r>
      <w:r>
        <w:rPr>
          <w:vertAlign w:val="subscript"/>
        </w:rPr>
        <w:t>2</w:t>
      </w:r>
      <w:r>
        <w:t>ceramic aerogel fabricated via a modified electrospinning method, which synergistically integrates radiative cooling, thermal insulation, mechanical robustness, and an ultrawide temperature range. It achieves high solar reflectance (98.0%) and high infrared emittance (98.4%) for daytime radiative cooling, along with ultralow thermal conductivity (24.7 mW m</w:t>
      </w:r>
      <w:r>
        <w:t xml:space="preserve"> </w:t>
      </w:r>
      <w:r>
        <w:t>−1</w:t>
      </w:r>
      <w:r>
        <w:t xml:space="preserve"> </w:t>
      </w:r>
      <w:r>
        <w:t>K</w:t>
      </w:r>
      <w:r>
        <w:t xml:space="preserve"> </w:t>
      </w:r>
      <w:r>
        <w:t>−1</w:t>
      </w:r>
      <w:r>
        <w:t xml:space="preserve"> </w:t>
      </w:r>
      <w:r>
        <w:t>at 2.58 mg cm</w:t>
      </w:r>
      <w:r>
        <w:t xml:space="preserve"> </w:t>
      </w:r>
      <w:r>
        <w:t>−3</w:t>
      </w:r>
      <w:r>
        <w:t xml:space="preserve"> </w:t>
      </w:r>
      <w:r>
        <w:t>), enabling 24‐hour thermal insulation. It also exhibits excellent mechanical properties at 7.50 mg cm</w:t>
      </w:r>
      <w:r>
        <w:t xml:space="preserve"> </w:t>
      </w:r>
      <w:r>
        <w:t>−3</w:t>
      </w:r>
      <w:r>
        <w:t xml:space="preserve"> </w:t>
      </w:r>
      <w:r>
        <w:t>, including 245 kPa tensile strength, 1.47 MPa compressive strength, and 182 kPa bending strength, along with an ultrawide working temperature range from −196°C to 1300°C. Moreover, in lunar environment simulation experiments, our aerogel achieves ∼50.0°C cooling below ambient during the day and ∼37.5°C thermal retention above ambient at night, successfully maintaining electronics above −16.7°C in an ambient temperature of −183°C. This work provides a mechanically robust ceramic aerogel solution for low‐energy consumption, 24‐hour thermal management in aerospace, deep‐space exploration, and high‐precision instruments.</w:t>
      </w:r>
    </w:p>
    <w:p>
      <w:pPr>
        <w:spacing w:before="120" w:after="120"/>
      </w:pPr>
      <w:r>
        <w:rPr>
          <w:sz w:val="18"/>
        </w:rPr>
        <w:t>——————————————————————————————————————————————————————————————————————</w:t>
      </w:r>
    </w:p>
    <w:p>
      <w:pPr>
        <w:spacing w:before="160" w:after="40" w:line="240" w:lineRule="auto"/>
      </w:pPr>
      <w:r>
        <w:rPr>
          <w:b/>
        </w:rPr>
        <w:t xml:space="preserve">[15] </w:t>
      </w:r>
      <w:hyperlink r:id="rId169">
        <w:r>
          <w:rPr>
            <w:color w:val="1155CC"/>
            <w:u w:val="single"/>
          </w:rPr>
          <w:t>通过二维异质结构中的界面电荷转移进行光学冷却</w:t>
        </w:r>
      </w:hyperlink>
    </w:p>
    <w:p>
      <w:pPr>
        <w:spacing w:before="0" w:after="80"/>
      </w:pPr>
      <w:r>
        <w:rPr>
          <w:i/>
          <w:sz w:val="20"/>
        </w:rPr>
        <w:t>EN: Optical cooling by interfacial charge transfer in 2D heterostructures</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170">
        <w:r>
          <w:rPr>
            <w:color w:val="1155CC"/>
            <w:u w:val="single"/>
          </w:rPr>
          <w:t>10.1038/s41586-026-10662-w</w:t>
        </w:r>
      </w:hyperlink>
    </w:p>
    <w:p>
      <w:pPr>
        <w:spacing w:before="0" w:after="120"/>
      </w:pPr>
      <w:r>
        <w:rPr>
          <w:b/>
        </w:rPr>
        <w:t xml:space="preserve">Notes: </w:t>
      </w:r>
      <w:r>
        <w:t>abstract_source=nature_html</w:t>
      </w:r>
    </w:p>
    <w:p>
      <w:pPr>
        <w:spacing w:before="0" w:after="80" w:lineRule="auto" w:line="276"/>
      </w:pPr>
      <w:r>
        <w:rPr>
          <w:b/>
        </w:rPr>
        <w:t xml:space="preserve">摘要（ZH）: </w:t>
      </w:r>
      <w:r>
        <w:t>光学制冷或固体激光冷却1，为量子和电子系统的温度控制提供了一种无制冷剂途径。现有进展2、3、4、5、6、7、8依赖于声子辅助上转换光致发光方法，该方法仍然受到严格的材料和激发要求的限制。在这里，我们展示了二维半导体异质结构中的独特途径，即界面电荷转移驱动的光学冷却。 WSe2 中的光激发载流子穿过 II 型结进入 MoSe2 或 WS2，通过声子辅助的界面电荷转移过程以非辐射方式提取晶格能量。拉曼和光致发光测量显示了 WSe2 层中显着的低温特征，瞬态吸收光谱识别出声子辅助、势垒激活的层间电荷转移。分子动力学模拟显示出维持温度梯度的显着界面热阻。这种势垒介导的声子提取绕过了对近乎一致的量子效率或共振激发的需求，为量子、光电和纳米级系统中的无制冷剂制冷和热管理提供了一种有前景的策略。</w:t>
      </w:r>
    </w:p>
    <w:p>
      <w:pPr>
        <w:spacing w:before="0" w:after="200" w:lineRule="auto" w:line="276"/>
      </w:pPr>
      <w:r>
        <w:rPr>
          <w:b/>
        </w:rPr>
        <w:t xml:space="preserve">Abstract (EN): </w:t>
      </w:r>
      <w:r>
        <w:t>Optical refrigeration, or laser cooling of solids1, offers a cryogen-free route to temperature control for quantum and electronic systems. Existing progress2,3,4,5,6,7,8 relies on a phonon-assisted up-conversion photoluminescence approach, which remains constrained by stringent material and excitation requirements. Here we demonstrate a distinct route, interfacial-charge-transfer-driven optical cooling, in two-dimensional semiconductor heterostructures. Photo-excited carriers in WSe2 cross a type-II junction into MoSe2 or WS2, extracting lattice energy nonradiatively—through a phonon-assisted interfacial charge transfer process. Raman and photoluminescence measurements show prominent low-temperature signatures in the WSe2 layer, with transient absorption spectroscopy identifying a phonon-assisted, barrier-activated interlayer charge transfer. Molecular dynamics simulations show a prominent interfacial thermal resistance sustaining the temperature gradient. This barrier-mediated phonon extraction bypasses the need for near-unity quantum efficiency or resonant excitation, offering a promising strategy for cryogen-free refrigeration and thermal management in quantum, optoelectronic and nanoscale systems.</w:t>
      </w:r>
    </w:p>
    <w:p>
      <w:pPr>
        <w:spacing w:before="120" w:after="120"/>
      </w:pPr>
      <w:r>
        <w:rPr>
          <w:sz w:val="18"/>
        </w:rPr>
        <w:t>——————————————————————————————————————————————————————————————————————</w:t>
      </w:r>
    </w:p>
    <w:p>
      <w:pPr>
        <w:spacing w:before="160" w:after="40" w:line="240" w:lineRule="auto"/>
      </w:pPr>
      <w:r>
        <w:rPr>
          <w:b/>
        </w:rPr>
        <w:t xml:space="preserve">[16] </w:t>
      </w:r>
      <w:hyperlink r:id="rId171">
        <w:r>
          <w:rPr>
            <w:color w:val="1155CC"/>
            <w:u w:val="single"/>
          </w:rPr>
          <w:t>激光开关超薄结构中的热流</w:t>
        </w:r>
      </w:hyperlink>
    </w:p>
    <w:p>
      <w:pPr>
        <w:spacing w:before="0" w:after="80"/>
      </w:pPr>
      <w:r>
        <w:rPr>
          <w:i/>
          <w:sz w:val="20"/>
        </w:rPr>
        <w:t>EN: Laser light switches on heat flow in ultra-thin structures</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172">
        <w:r>
          <w:rPr>
            <w:color w:val="1155CC"/>
            <w:u w:val="single"/>
          </w:rPr>
          <w:t>10.1038/d41586-026-01803-2</w:t>
        </w:r>
      </w:hyperlink>
    </w:p>
    <w:p>
      <w:pPr>
        <w:spacing w:before="0" w:after="120"/>
      </w:pPr>
      <w:r>
        <w:rPr>
          <w:b/>
        </w:rPr>
        <w:t xml:space="preserve">Notes: </w:t>
      </w:r>
      <w:r>
        <w:t>abstract_source=nature_html</w:t>
      </w:r>
    </w:p>
    <w:p>
      <w:pPr>
        <w:spacing w:before="0" w:after="80" w:lineRule="auto" w:line="276"/>
      </w:pPr>
      <w:r>
        <w:rPr>
          <w:b/>
        </w:rPr>
        <w:t xml:space="preserve">摘要（ZH）: </w:t>
      </w:r>
      <w:r>
        <w:t>通过激光照射，可以在 2D 材料堆叠层之间产生超过 100 开尔文的温差。通过激光照射，可以在 2D 材料堆叠层之间产生超过 100 开尔文的温差。</w:t>
      </w:r>
    </w:p>
    <w:p>
      <w:pPr>
        <w:spacing w:before="0" w:after="200" w:lineRule="auto" w:line="276"/>
      </w:pPr>
      <w:r>
        <w:rPr>
          <w:b/>
        </w:rPr>
        <w:t xml:space="preserve">Abstract (EN): </w:t>
      </w:r>
      <w:r>
        <w:t>A temperature difference of more than 100 kelvin can be created between stacked layers of 2D material by irradiating them with laser light. A temperature difference of more than 100 kelvin can be created between stacked layers of 2D material by irradiating them with laser light.</w:t>
      </w:r>
    </w:p>
    <w:p>
      <w:pPr>
        <w:spacing w:before="120" w:after="120"/>
      </w:pPr>
      <w:r>
        <w:rPr>
          <w:sz w:val="18"/>
        </w:rPr>
        <w:t>——————————————————————————————————————————————————————————————————————</w:t>
      </w:r>
    </w:p>
    <w:p>
      <w:pPr>
        <w:spacing w:before="160" w:after="40" w:line="240" w:lineRule="auto"/>
      </w:pPr>
      <w:r>
        <w:rPr>
          <w:b/>
        </w:rPr>
        <w:t xml:space="preserve">[17] </w:t>
      </w:r>
      <w:hyperlink r:id="rId173">
        <w:r>
          <w:rPr>
            <w:color w:val="1155CC"/>
            <w:u w:val="single"/>
          </w:rPr>
          <w:t>延展性合金在 2,400 °C 下具有 100 MPa 的拉伸强度</w:t>
        </w:r>
      </w:hyperlink>
    </w:p>
    <w:p>
      <w:pPr>
        <w:spacing w:before="0" w:after="80"/>
      </w:pPr>
      <w:r>
        <w:rPr>
          <w:i/>
          <w:sz w:val="20"/>
        </w:rPr>
        <w:t>EN: Ductile alloys offering 100 MPa tensile strength at 2,400 °C</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174">
        <w:r>
          <w:rPr>
            <w:color w:val="1155CC"/>
            <w:u w:val="single"/>
          </w:rPr>
          <w:t>10.1038/s41586-026-10708-z</w:t>
        </w:r>
      </w:hyperlink>
    </w:p>
    <w:p>
      <w:pPr>
        <w:spacing w:before="0" w:after="120"/>
      </w:pPr>
      <w:r>
        <w:rPr>
          <w:b/>
        </w:rPr>
        <w:t xml:space="preserve">Notes: </w:t>
      </w:r>
      <w:r>
        <w:t>abstract_source=nature_html</w:t>
      </w:r>
    </w:p>
    <w:p>
      <w:pPr>
        <w:spacing w:before="0" w:after="80" w:lineRule="auto" w:line="276"/>
      </w:pPr>
      <w:r>
        <w:rPr>
          <w:b/>
        </w:rPr>
        <w:t xml:space="preserve">摘要（ZH）: </w:t>
      </w:r>
      <w:r>
        <w:t>极端应用要求材料不仅能够在超过 2,000 °C 的温度下承受热机械载荷（参考文献 1,2,3），而且在室温下高度可成型，以便加工成形状复杂的零件。后者排除了脆性陶瓷4和金属间化合物5，从而限制了对高延展性金属及其合金的选择，但对它们来说，在超高温下获得足够的强度似乎无法达到。在这里，我们展示了同时实现这两个目标的铸造合金的突破。采用新型硼介入原位氧化反应精心制作了硼稳定的 HfO2 强化 Ta 基合金，产生了直径约 50 nm 的氧化物颗粒，紧密且均匀地分散在晶粒内部。这种新型合金填补了超高温拉伸屈服强度的空白，2000℃时约为200MPa，2400℃时约为100MPa，同时在室温下具有优异的强度-延展性平衡（极限拉伸强度&gt;800MPa，断裂伸长率约为35%），性能组合超越了以往所有耐火材料（包括多主元素）合金。此外，氧化物纳米粒子周围的硼偏析赋予了优异的热稳定性，可在 2,000–2,400 °C 下防止粗化。因此，我们的策略超越了传统的氧化物弥散强化，以实现能够在极端温度下承载应用的高延展性耐火合金。</w:t>
      </w:r>
    </w:p>
    <w:p>
      <w:pPr>
        <w:spacing w:before="0" w:after="200" w:lineRule="auto" w:line="276"/>
      </w:pPr>
      <w:r>
        <w:rPr>
          <w:b/>
        </w:rPr>
        <w:t xml:space="preserve">Abstract (EN): </w:t>
      </w:r>
      <w:r>
        <w:t>Extreme applications call for materials that are not only strong to withstand thermomechanical loads at temperatures in excess of 2,000 °C (refs. 1,2,3), but also highly formable at room temperature to allow for processing into complex-shaped parts. The latter excludes brittle ceramics4 and intermetallic compounds5, limiting the selection to highly ductile metals and their alloys, but for them, an adequate strength at ultrahigh temperatures seems unreachable. Here we show a breakthrough in casting alloys that achieve both simultaneously. A boron-stabilized HfO2-strengthened Ta-based alloy was carefully crafted using a new boron-intervened in situ oxidation reaction, producing about 50-nm diameter oxide particles dispersed densely and uniformly in the grain interior. The new alloy fills the blank at ultrahigh temperatures in terms of tensile yield strength, around 200 MPa at 2,000 °C and 100 MPa at 2,400 °C, while simultaneously possessing an excellent strength–ductility balance at room temperature (ultimate tensile strength &gt;800 MPa, elongation-to-failure of about 35%), a property combination surpassing all previous refractory (including multi-principal-element) alloys. Moreover, the boron segregation around the oxide nanoparticles imparts excellent thermal stability against coarsening at 2,000–2,400 °C. Our strategy thus goes beyond traditional oxide-dispersion strengthening to enable highly ductile refractory alloys that are capable of load-bearing applications at extreme temperatures.</w:t>
      </w:r>
    </w:p>
    <w:p>
      <w:pPr>
        <w:spacing w:before="120" w:after="120"/>
      </w:pPr>
      <w:r>
        <w:rPr>
          <w:sz w:val="18"/>
        </w:rPr>
        <w:t>——————————————————————————————————————————————————————————————————————</w:t>
      </w:r>
    </w:p>
    <w:p>
      <w:pPr>
        <w:spacing w:before="160" w:after="40" w:line="240" w:lineRule="auto"/>
      </w:pPr>
      <w:r>
        <w:rPr>
          <w:b/>
        </w:rPr>
        <w:t xml:space="preserve">[18] </w:t>
      </w:r>
      <w:hyperlink r:id="rId175">
        <w:r>
          <w:rPr>
            <w:color w:val="1155CC"/>
            <w:u w:val="single"/>
          </w:rPr>
          <w:t>电热真空升华干燥石墨烯气凝胶用于高温合成</w:t>
        </w:r>
      </w:hyperlink>
    </w:p>
    <w:p>
      <w:pPr>
        <w:spacing w:before="0" w:after="80"/>
      </w:pPr>
      <w:r>
        <w:rPr>
          <w:i/>
          <w:sz w:val="20"/>
        </w:rPr>
        <w:t>EN: Electrothermal vacuum sublimation drying of graphene aerogels for high-temperature synthesis</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石墨烯气凝胶因其超轻、高度多孔的结构以及有吸引力的机械、电和热性能，已成为多种关键应用的多功能材料平台。然而，石墨烯气凝胶的精确和可扩展合成仍然是一个关键挑战，特别是在开发有效的干燥策略以保留其精致的纳米结构方面。在这里，我们设计了一种电热真空升华干燥方法，将快速焦耳加热与真空驱动相变工程相结合，实现了干燥速率提高417倍，而消耗的电能仅为传统冷冻干燥的0.6%。高温低压电热真空升华干燥环境增强了碳水反应，加速了含氧官能团的分解，从而保留了多孔结构，提高了石墨烯气凝胶的高温稳定性。此外，所得的石墨烯气凝胶可以用作局部高温电阻加热器，达到超过3000 K的温度以实现中间相碳微珠的快速石墨化，将过程从几天缩短到20秒。除了干燥之外，电热真空升华干燥的多功能性还通过在化学品和纳米材料合成中的应用得到进一步证明。这项研究提出了一种将物理相变与化学转变相结合的多功能策略，从而能够精确且可扩展地制造石墨烯气凝胶和其他先进材料</w:t>
      </w:r>
    </w:p>
    <w:p>
      <w:pPr>
        <w:spacing w:before="0" w:after="200" w:lineRule="auto" w:line="276"/>
      </w:pPr>
      <w:r>
        <w:rPr>
          <w:b/>
        </w:rPr>
        <w:t xml:space="preserve">Abstract (EN): </w:t>
      </w:r>
      <w:r>
        <w:t>Graphene aerogels have emerged as versatile material platforms for diverse critical applications, owing to their ultralight, highly porous architecture and attractive mechanical, electrical, and thermal properties. However, the precise and scalable synthesis of graphene aerogels remains a key challenge, particularly in developing efficient drying strategies that preserve their delicate nanostructures. Here, we devise an electrothermal vacuum sublimation drying method that integrates rapid Joule heating with vacuum-driven phase-transition engineering, achieving a 417-fold increase in drying rate while consuming only 0.6% of the electrical energy used by conventional freeze-drying. The high-temperature and low-pressure electrothermal vacuum sublimation drying environment enhances carbon-water reactions and accelerates the decomposition of oxygen-containing functional groups, thus preserving the porous structure and improving the high-temperature stability of graphene aerogels. Furthermore, the resulting graphene aerogels can serve as localized high-temperature resistive heaters, reaching temperatures exceeding 3000 K for rapid graphitization of mesocarbon microbeads, shortening the process from days to 20 seconds. Beyond drying, the versatility of electrothermal vacuum sublimation drying is further demonstrated through applications in chemicals and nanomaterials synthesis. This study presents a versatile strategy that integrates physical phase transitions with chemical transformations, enabling the precise and scalable fabrication of graphene aerogels and other advanced material systems.</w:t>
      </w:r>
    </w:p>
    <w:p>
      <w:pPr>
        <w:spacing w:before="120" w:after="120"/>
      </w:pPr>
      <w:r>
        <w:rPr>
          <w:sz w:val="18"/>
        </w:rPr>
        <w:t>——————————————————————————————————————————————————————————————————————</w:t>
      </w:r>
    </w:p>
    <w:p>
      <w:pPr>
        <w:spacing w:before="160" w:after="40" w:line="240" w:lineRule="auto"/>
      </w:pPr>
      <w:r>
        <w:rPr>
          <w:b/>
        </w:rPr>
        <w:t xml:space="preserve">[19] </w:t>
      </w:r>
      <w:hyperlink r:id="rId176">
        <w:r>
          <w:rPr>
            <w:color w:val="1155CC"/>
            <w:u w:val="single"/>
          </w:rPr>
          <w:t>La3-xTe4 中的间隙铜掺杂和热激活嘎嘎声可增强热电性能</w:t>
        </w:r>
      </w:hyperlink>
    </w:p>
    <w:p>
      <w:pPr>
        <w:spacing w:before="0" w:after="80"/>
      </w:pPr>
      <w:r>
        <w:rPr>
          <w:i/>
          <w:sz w:val="20"/>
        </w:rPr>
        <w:t>EN: Interstitial Copper Doping and Thermally Activated Rattling in La3‐xTe4 for Enhanced Thermoelectric Performance</w:t>
      </w:r>
    </w:p>
    <w:p>
      <w:pPr>
        <w:spacing w:before="0" w:after="120"/>
      </w:pPr>
      <w:r>
        <w:rPr>
          <w:b/>
        </w:rPr>
        <w:t xml:space="preserve">Source: </w:t>
      </w:r>
      <w:r>
        <w:t>Wiley: Angewandte Chemie International Edition: Table of Contents</w:t>
      </w:r>
      <w:r>
        <w:t xml:space="preserve">    </w:t>
      </w:r>
      <w:r>
        <w:rPr>
          <w:b/>
        </w:rPr>
        <w:t xml:space="preserve">Pub date: </w:t>
      </w:r>
      <w:r>
        <w:t>2026-06-24 13:08:08+00:00</w:t>
      </w:r>
      <w:r>
        <w:t xml:space="preserve">    </w:t>
      </w:r>
      <w:r>
        <w:rPr>
          <w:b/>
        </w:rPr>
        <w:t xml:space="preserve">DOI: </w:t>
      </w:r>
      <w:hyperlink r:id="rId177">
        <w:r>
          <w:rPr>
            <w:color w:val="1155CC"/>
            <w:u w:val="single"/>
          </w:rPr>
          <w:t>10.1002/anie.1695429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拉</w:t>
      </w:r>
      <w:r>
        <w:t xml:space="preserve"> </w:t>
      </w:r>
      <w:r>
        <w:t>3-</w:t>
      </w:r>
      <w:r>
        <w:t xml:space="preserve"> </w:t>
      </w:r>
      <w:r>
        <w:t>x</w:t>
      </w:r>
      <w:r>
        <w:t xml:space="preserve"> </w:t>
      </w:r>
      <w:r>
        <w:t>碲</w:t>
      </w:r>
      <w:r>
        <w:rPr>
          <w:vertAlign w:val="subscript"/>
        </w:rPr>
        <w:t>4</w:t>
      </w:r>
      <w:r>
        <w:t>由于其优异的热电性能和高温稳定性，材料是下一代放射性同位素热电发电机的理想候选材料。几十年来，研究人员一直使用替代掺杂或空位调制来调节载流子浓度，但这些方法只能调节载流子浓度，而不能优化导带结构或抑制晶格热导率。间隙掺杂策略通过实现同时电子和热调节而不相互干扰来打破这种僵局。本文中，一系列 Cu 掺杂 La</w:t>
      </w:r>
      <w:r>
        <w:t xml:space="preserve"> </w:t>
      </w:r>
      <w:r>
        <w:t>2.74</w:t>
      </w:r>
      <w:r>
        <w:t xml:space="preserve"> </w:t>
      </w:r>
      <w:r>
        <w:t>铜</w:t>
      </w:r>
      <w:r>
        <w:t xml:space="preserve"> </w:t>
      </w:r>
      <w:r>
        <w:t>x</w:t>
      </w:r>
      <w:r>
        <w:t xml:space="preserve"> </w:t>
      </w:r>
      <w:r>
        <w:t>碲</w:t>
      </w:r>
      <w:r>
        <w:rPr>
          <w:vertAlign w:val="subscript"/>
        </w:rPr>
        <w:t>4</w:t>
      </w:r>
      <w:r>
        <w:t>（</w:t>
      </w:r>
      <w:r>
        <w:t xml:space="preserve"> </w:t>
      </w:r>
      <w:r>
        <w:t>x</w:t>
      </w:r>
      <w:r>
        <w:t xml:space="preserve"> </w:t>
      </w:r>
      <w:r>
        <w:t>= 0, 0.01, 0.05, 0.1, 0.15) 样品被合成。 Cu 的掺入提高了塞贝克系数，而不会显着降低功率因数，同时通过非谐振动行为抑制晶格热导率，从而增强低频声子模式并加剧声子-声子散射。在合成的组合物中，La</w:t>
      </w:r>
      <w:r>
        <w:t xml:space="preserve"> </w:t>
      </w:r>
      <w:r>
        <w:t>2.74</w:t>
      </w:r>
      <w:r>
        <w:t xml:space="preserve"> </w:t>
      </w:r>
      <w:r>
        <w:t>铜</w:t>
      </w:r>
      <w:r>
        <w:t xml:space="preserve"> </w:t>
      </w:r>
      <w:r>
        <w:t>0.05</w:t>
      </w:r>
      <w:r>
        <w:t xml:space="preserve"> </w:t>
      </w:r>
      <w:r>
        <w:t>碲</w:t>
      </w:r>
      <w:r>
        <w:rPr>
          <w:vertAlign w:val="subscript"/>
        </w:rPr>
        <w:t>4</w:t>
      </w:r>
      <w:r>
        <w:t>在 1073 K、r 时达到 1.58 的峰值热电品质因数</w:t>
      </w:r>
    </w:p>
    <w:p>
      <w:pPr>
        <w:spacing w:before="0" w:after="200" w:lineRule="auto" w:line="276"/>
      </w:pPr>
      <w:r>
        <w:rPr>
          <w:b/>
        </w:rPr>
        <w:t xml:space="preserve">Abstract (EN): </w:t>
      </w:r>
      <w:r>
        <w:t>La</w:t>
      </w:r>
      <w:r>
        <w:t xml:space="preserve"> </w:t>
      </w:r>
      <w:r>
        <w:t>3‐</w:t>
      </w:r>
      <w:r>
        <w:t xml:space="preserve"> </w:t>
      </w:r>
      <w:r>
        <w:t>x</w:t>
      </w:r>
      <w:r>
        <w:t xml:space="preserve"> </w:t>
      </w:r>
      <w:r>
        <w:t>Te</w:t>
      </w:r>
      <w:r>
        <w:rPr>
          <w:vertAlign w:val="subscript"/>
        </w:rPr>
        <w:t>4</w:t>
      </w:r>
      <w:r>
        <w:t>materials are ideal candidates for next‐generation radioisotope thermoelectric generators due to their excellent thermoelectric performance and high‐temperature stability. For decades, researchers have used substitutional doping or vacancy modulation to tune carrier concentration, but these methods can only tune it without optimizing the conduction band structure or suppressing lattice thermal conductivity. Interstitial doping strategy breaks this deadlock by enabling simultaneous electronic and thermal regulation without mutual interference. Herein, a series of Cu‐doped La</w:t>
      </w:r>
      <w:r>
        <w:t xml:space="preserve"> </w:t>
      </w:r>
      <w:r>
        <w:t>2.74</w:t>
      </w:r>
      <w:r>
        <w:t xml:space="preserve"> </w:t>
      </w:r>
      <w:r>
        <w:t>Cu</w:t>
      </w:r>
      <w:r>
        <w:t xml:space="preserve"> </w:t>
      </w:r>
      <w:r>
        <w:t>x</w:t>
      </w:r>
      <w:r>
        <w:t xml:space="preserve"> </w:t>
      </w:r>
      <w:r>
        <w:t>Te</w:t>
      </w:r>
      <w:r>
        <w:rPr>
          <w:vertAlign w:val="subscript"/>
        </w:rPr>
        <w:t>4</w:t>
      </w:r>
      <w:r>
        <w:t>(</w:t>
      </w:r>
      <w:r>
        <w:t xml:space="preserve"> </w:t>
      </w:r>
      <w:r>
        <w:t>x</w:t>
      </w:r>
      <w:r>
        <w:t xml:space="preserve"> </w:t>
      </w:r>
      <w:r>
        <w:t>= 0, 0.01, 0.05, 0.1, 0.15) samples were synthesized. Cu incorporation elevates the Seebeck coefficient without degrading significantly the power factor, while simultaneously suppressing lattice thermal conductivity via anharmonic vibrational behavior that strengthens low‐frequency acoustic phonon modes and intensifies phonon‐phonon scattering. Among the synthesized compositions, La</w:t>
      </w:r>
      <w:r>
        <w:t xml:space="preserve"> </w:t>
      </w:r>
      <w:r>
        <w:t>2.74</w:t>
      </w:r>
      <w:r>
        <w:t xml:space="preserve"> </w:t>
      </w:r>
      <w:r>
        <w:t>Cu</w:t>
      </w:r>
      <w:r>
        <w:t xml:space="preserve"> </w:t>
      </w:r>
      <w:r>
        <w:t>0.05</w:t>
      </w:r>
      <w:r>
        <w:t xml:space="preserve"> </w:t>
      </w:r>
      <w:r>
        <w:t>Te</w:t>
      </w:r>
      <w:r>
        <w:rPr>
          <w:vertAlign w:val="subscript"/>
        </w:rPr>
        <w:t>4</w:t>
      </w:r>
      <w:r>
        <w:t>achieves a peak thermoelectric figure of merit of 1.58 at 1073 K, representing a 34% improvement over the undoped La</w:t>
      </w:r>
      <w:r>
        <w:t xml:space="preserve"> </w:t>
      </w:r>
      <w:r>
        <w:t>2.74</w:t>
      </w:r>
      <w:r>
        <w:t xml:space="preserve"> </w:t>
      </w:r>
      <w:r>
        <w:t>Te</w:t>
      </w:r>
      <w:r>
        <w:rPr>
          <w:vertAlign w:val="subscript"/>
        </w:rPr>
        <w:t>4</w:t>
      </w:r>
      <w:r>
        <w:t>. Furthermore, the material exhibits a notable average zT value of 1.5 within the operational temperature range of 873–1073 K. When compared to the previously reported state‐of‐the‐art lanthanum telluride‐based thermoelectrics, this represents a significant improvement of 71.3% in the average zT value.</w:t>
      </w:r>
    </w:p>
    <w:p>
      <w:pPr>
        <w:spacing w:before="120" w:after="120"/>
      </w:pPr>
      <w:r>
        <w:rPr>
          <w:sz w:val="18"/>
        </w:rPr>
        <w:t>——————————————————————————————————————————————————————————————————————</w:t>
      </w:r>
    </w:p>
    <w:p>
      <w:pPr>
        <w:spacing w:before="160" w:after="40" w:line="240" w:lineRule="auto"/>
      </w:pPr>
      <w:r>
        <w:rPr>
          <w:b/>
        </w:rPr>
        <w:t xml:space="preserve">[20] </w:t>
      </w:r>
      <w:hyperlink r:id="rId178">
        <w:r>
          <w:rPr>
            <w:color w:val="1155CC"/>
            <w:u w:val="single"/>
          </w:rPr>
          <w:t>太阳能驱动的光热制氢：最新进展和未来展望（Adv. Energy Mater. 24/2026）</w:t>
        </w:r>
      </w:hyperlink>
    </w:p>
    <w:p>
      <w:pPr>
        <w:spacing w:before="0" w:after="80"/>
      </w:pPr>
      <w:r>
        <w:rPr>
          <w:i/>
          <w:sz w:val="20"/>
        </w:rPr>
        <w:t>EN: Solar‐Driven Photothermal Hydrogen Production: Recent Advances and Future Perspectives (Adv. Energy Mater. 24/2026)</w:t>
      </w:r>
    </w:p>
    <w:p>
      <w:pPr>
        <w:spacing w:before="0" w:after="120"/>
      </w:pPr>
      <w:r>
        <w:rPr>
          <w:b/>
        </w:rPr>
        <w:t xml:space="preserve">Source: </w:t>
      </w:r>
      <w:r>
        <w:t>Wiley: Advanced Energy Materials: Table of Contents</w:t>
      </w:r>
      <w:r>
        <w:t xml:space="preserve">    </w:t>
      </w:r>
      <w:r>
        <w:rPr>
          <w:b/>
        </w:rPr>
        <w:t xml:space="preserve">Pub date: </w:t>
      </w:r>
      <w:r>
        <w:t>2026-06-24 13:52:06+00:00</w:t>
      </w:r>
      <w:r>
        <w:t xml:space="preserve">    </w:t>
      </w:r>
      <w:r>
        <w:rPr>
          <w:b/>
        </w:rPr>
        <w:t xml:space="preserve">DOI: </w:t>
      </w:r>
      <w:hyperlink r:id="rId179">
        <w:r>
          <w:rPr>
            <w:color w:val="1155CC"/>
            <w:u w:val="single"/>
          </w:rPr>
          <w:t>10.1002/aenm.71120</w:t>
        </w:r>
      </w:hyperlink>
    </w:p>
    <w:p>
      <w:pPr>
        <w:spacing w:before="0" w:after="120"/>
      </w:pPr>
      <w:r>
        <w:rPr>
          <w:b/>
        </w:rPr>
        <w:t xml:space="preserve">Notes: </w:t>
      </w:r>
      <w:r>
        <w:t>abstract_source=openalex</w:t>
      </w:r>
    </w:p>
    <w:p>
      <w:pPr>
        <w:spacing w:before="0" w:after="80" w:lineRule="auto" w:line="276"/>
      </w:pPr>
      <w:r>
        <w:rPr>
          <w:b/>
        </w:rPr>
        <w:t xml:space="preserve">摘要（ZH）: </w:t>
      </w:r>
      <w:r>
        <w:t>光热制氢光热制氢将太阳光收集与局部热量产生相结合，以协同调节光吸收、电荷动力学和界面反应途径。通过尺寸和形态工程、热场调制和局部光热加热，光热系统可以抑制逆反应，降低活化势垒，优化吸附/解吸过程，加速析氢动力学，从而促进太阳能驱动的氢气生产。更多内容请参见文章编号 e70941，Zhangxing Chen、Heng Zhu 及其同事。</w:t>
      </w:r>
    </w:p>
    <w:p>
      <w:pPr>
        <w:spacing w:before="0" w:after="200" w:lineRule="auto" w:line="276"/>
      </w:pPr>
      <w:r>
        <w:rPr>
          <w:b/>
        </w:rPr>
        <w:t xml:space="preserve">Abstract (EN): </w:t>
      </w:r>
      <w:r>
        <w:t>Photothermal Hydrogen Production Photothermal hydrogen production integrates solar light harvesting with localized heat generation to synergistically regulate light absorption, charge dynamics, and interfacial reaction pathways. Through size and morphology engineering, thermal field modulation, and local photothermal heating, photothermal systems can suppress reverse reactions, lower activation barriers, optimize adsorption/desorption processes, and accelerate hydrogen evolution kinetics, thus promote solar-driven hydrogen production. More in article number e70941, Zhangxing Chen, Heng Zhao, and co-workers.</w:t>
      </w:r>
    </w:p>
    <w:p>
      <w:pPr>
        <w:spacing w:before="120" w:after="120"/>
      </w:pPr>
      <w:r>
        <w:rPr>
          <w:sz w:val="18"/>
        </w:rPr>
        <w:t>——————————————————————————————————————————————————————————————————————</w:t>
      </w:r>
    </w:p>
    <w:p>
      <w:pPr>
        <w:spacing w:before="160" w:after="40" w:line="240" w:lineRule="auto"/>
      </w:pPr>
      <w:r>
        <w:rPr>
          <w:b/>
        </w:rPr>
        <w:t xml:space="preserve">[21] </w:t>
      </w:r>
      <w:hyperlink r:id="rId180">
        <w:r>
          <w:rPr>
            <w:color w:val="1155CC"/>
            <w:u w:val="single"/>
          </w:rPr>
          <w:t>具有高太阳反射率的彩色辐射冷却涂层</w:t>
        </w:r>
      </w:hyperlink>
    </w:p>
    <w:p>
      <w:pPr>
        <w:spacing w:before="0" w:after="80"/>
      </w:pPr>
      <w:r>
        <w:rPr>
          <w:i/>
          <w:sz w:val="20"/>
        </w:rPr>
        <w:t>EN: A coloured radiative cooling coating with high solar reflectance</w:t>
      </w:r>
    </w:p>
    <w:p>
      <w:pPr>
        <w:spacing w:before="0" w:after="120"/>
      </w:pPr>
      <w:r>
        <w:rPr>
          <w:b/>
        </w:rPr>
        <w:t xml:space="preserve">Source: </w:t>
      </w:r>
      <w:r>
        <w:t>Nature Energy</w:t>
      </w:r>
      <w:r>
        <w:t xml:space="preserve">    </w:t>
      </w:r>
      <w:r>
        <w:rPr>
          <w:b/>
        </w:rPr>
        <w:t xml:space="preserve">Pub date: </w:t>
      </w:r>
      <w:r>
        <w:t>2026-06-25 00:00:00+00:00</w:t>
      </w:r>
      <w:r>
        <w:t xml:space="preserve">    </w:t>
      </w:r>
      <w:r>
        <w:rPr>
          <w:b/>
        </w:rPr>
        <w:t xml:space="preserve">DOI: </w:t>
      </w:r>
      <w:hyperlink r:id="rId181">
        <w:r>
          <w:rPr>
            <w:color w:val="1155CC"/>
            <w:u w:val="single"/>
          </w:rPr>
          <w:t>10.1038/s41560-026-02085-8</w:t>
        </w:r>
      </w:hyperlink>
    </w:p>
    <w:p>
      <w:pPr>
        <w:spacing w:before="0" w:after="120"/>
      </w:pPr>
      <w:r>
        <w:rPr>
          <w:b/>
        </w:rPr>
        <w:t xml:space="preserve">Notes: </w:t>
      </w:r>
      <w:r>
        <w:t>abstract_source=nature_html</w:t>
      </w:r>
    </w:p>
    <w:p>
      <w:pPr>
        <w:spacing w:before="0" w:after="80" w:lineRule="auto" w:line="276"/>
      </w:pPr>
      <w:r>
        <w:rPr>
          <w:b/>
        </w:rPr>
        <w:t xml:space="preserve">摘要（ZH）: </w:t>
      </w:r>
      <w:r>
        <w:t>克服着色和高太阳反射率之间的权衡对于辐射冷却材料来说是一个挑战。现在，一步制备的乙基纤维素涂层可实现鲜艳的结构色彩，且太阳吸收率可忽略不计，且长波红外发射率高。该涂层可在阳光下实现白天低于环境温度高达 9°C 的冷却。</w:t>
      </w:r>
    </w:p>
    <w:p>
      <w:pPr>
        <w:spacing w:before="0" w:after="200" w:lineRule="auto" w:line="276"/>
      </w:pPr>
      <w:r>
        <w:rPr>
          <w:b/>
        </w:rPr>
        <w:t xml:space="preserve">Abstract (EN): </w:t>
      </w:r>
      <w:r>
        <w:t>Overcoming the trade-off between colouration and high solar reflectance is a challenge for radiative cooling materials. Now, an ethyl cellulose coating fabricated in one step achieves vibrant structural colours with negligible solar absorption and high long-wave infrared emission. This coating enables sub-ambient daytime cooling of up to 9 °C under sunlight.</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182">
        <w:r>
          <w:rPr>
            <w:color w:val="1155CC"/>
            <w:u w:val="single"/>
          </w:rPr>
          <w:t>基于深度学习的核电厂健康监测和预测：系统评价</w:t>
        </w:r>
      </w:hyperlink>
    </w:p>
    <w:p>
      <w:pPr>
        <w:spacing w:before="0" w:after="80"/>
      </w:pPr>
      <w:r>
        <w:rPr>
          <w:i/>
          <w:sz w:val="20"/>
        </w:rPr>
        <w:t>EN: Deep learning-based health monitoring and prognostics for nuclear power plants: a systematic review</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83">
        <w:r>
          <w:rPr>
            <w:color w:val="1155CC"/>
            <w:u w:val="single"/>
          </w:rPr>
          <w:t>EUROfusion 托卡马克开发工作包活动框架内最后一次 DD 和 DT JET 活动的结果</w:t>
        </w:r>
      </w:hyperlink>
    </w:p>
    <w:p>
      <w:pPr>
        <w:spacing w:before="0" w:after="80"/>
      </w:pPr>
      <w:r>
        <w:rPr>
          <w:i/>
          <w:sz w:val="20"/>
        </w:rPr>
        <w:t>EN: Results from the last DD and DT JET campaigns in the framework of the EUROfusion Tokamak Exploitation Work Package activity</w:t>
      </w:r>
    </w:p>
    <w:p>
      <w:pPr>
        <w:spacing w:before="0" w:after="120"/>
      </w:pPr>
      <w:r>
        <w:rPr>
          <w:b/>
        </w:rPr>
        <w:t xml:space="preserve">Source: </w:t>
      </w:r>
      <w:r>
        <w:t>Nuclear Fusion - latest papers</w:t>
      </w:r>
      <w:r>
        <w:t xml:space="preserve">    </w:t>
      </w:r>
      <w:r>
        <w:rPr>
          <w:b/>
        </w:rPr>
        <w:t xml:space="preserve">Pub date: </w:t>
      </w:r>
      <w:r>
        <w:t>2026-06-21 23:00:00+00:00</w:t>
      </w:r>
      <w:r>
        <w:t xml:space="preserve">    </w:t>
      </w:r>
      <w:r>
        <w:rPr>
          <w:b/>
        </w:rPr>
        <w:t xml:space="preserve">DOI: </w:t>
      </w:r>
      <w:hyperlink r:id="rId184">
        <w:r>
          <w:rPr>
            <w:color w:val="1155CC"/>
            <w:u w:val="single"/>
          </w:rPr>
          <w:t>10.1088/1741-4326/ae71ec</w:t>
        </w:r>
      </w:hyperlink>
    </w:p>
    <w:p>
      <w:pPr>
        <w:spacing w:before="0" w:after="120"/>
      </w:pPr>
      <w:r>
        <w:rPr>
          <w:b/>
        </w:rPr>
        <w:t xml:space="preserve">Notes: </w:t>
      </w:r>
      <w:r>
        <w:t>abstract_source=rss_description</w:t>
      </w:r>
    </w:p>
    <w:p>
      <w:pPr>
        <w:spacing w:before="0" w:after="80" w:lineRule="auto" w:line="276"/>
      </w:pPr>
      <w:r>
        <w:rPr>
          <w:b/>
        </w:rPr>
        <w:t xml:space="preserve">摘要（ZH）: </w:t>
      </w:r>
      <w:r>
        <w:t>JET 是唯一能够使用氘氚 (D-T) 燃料运行的托卡马克装置（自 1999 年 TFTR 关闭以来），它提供了必要的实验数据来支持 ITER 和 DEMO 的设计和运行。在 EUROfusion 托卡马克开发工作包中，JET 完成了最后的活动（2022-2023），并在第三次 D-T 活动（DTE3）中达到顶峰。这些实验解决了反应堆相关条件下等离子体场景、排气控制和氚管理的关键挑战。在演示类似 ITER 的杂质播种集成场景方面取得了重大进展，在 D-T 等离子体中实现了部分偏滤器分离和 3 MA 的高限制（0.85）。准连续排气（QCE）和X点散热器（XPR）等先进排气方式首先在D-D中成功实现，然后扩展到D-T操作，证实了它们与混合同位素操作的相关性。运行里程碑包括富氚混合等离子体中 69 MJ 聚变能量的新世界纪录以及长达 60 秒的长脉冲 H 模式运行，为 CICLOP 数据库提供了独特的数据。物理研究的重点是支持 ITER 的剥离限制基座，并提高了对金属环境中边缘稳定性和杂质筛选的理解。 JET 上破碎颗粒注射器 (SPI) 的广泛使用为 ITER 中断缓解系统 (DMS) 的设计提供了关键信息。用于 D/T 比例控制和等离子体排气的实时控制系统在 D-D 和 D-T 中部署和演示，同时高能粒子物理研究也在展开</w:t>
      </w:r>
    </w:p>
    <w:p>
      <w:pPr>
        <w:spacing w:before="0" w:after="200" w:lineRule="auto" w:line="276"/>
      </w:pPr>
      <w:r>
        <w:rPr>
          <w:b/>
        </w:rPr>
        <w:t xml:space="preserve">Abstract (EN): </w:t>
      </w:r>
      <w:r>
        <w:t>JET, the only tokamak capable of operating with deuterium–tritium (D–T) fuel (since TFTR was shutdown in 1999), has provided essential experimental data to support ITER and DEMO design and operation. Within the EUROfusion Tokamak Exploitation Work Package, JET completed its final campaigns (2022–2023), culminating in the third D–T campaign (DTE3). These experiments addressed key challenges in plasma scenarios, exhaust control, and tritium management under reactor-relevant conditions. Significant progress was achieved in demonstrating ITER-like integrated scenarios with impurity seeding, achieving partial divertor detachment and high confinement ( 0.85) at 3 MA in D–T plasmas. Advanced exhaust regimes such as quasi-continuous exhaust (QCE) and X-point radiator (XPR) were successfully achieved first in D–D and then extended to D–T operation, confirming their relevance for mixed isotope operation. Operational milestones included a new world record of 69 MJ fusion energy in tritium-rich hybrid plasmas and long-pulse H-mode operation up to 60 s, contributing with unique data to the CICLOP database. Physics studies focused on peeling-limited pedestals in support of ITER and improved understanding of edge stability and impurity screening in metallic environments. Extensive usage of the shattered pellet injector (SPI) on JET provided critical information for the design of the ITER disruption mitigation system (DMS). Real-time control systems for D/T ratio control and plasma exhaust were deployed and demonstrated in D–D and D–T, while energetic particle physics investigations unfolded the role of fast ions in turbulence suppression mechanisms. Comprehensive tritium retention studies using gas balance method, post-mortem analysis, and ITER-relevant laser induced desorption spectroscopy (LIDS) diagnostics provided essential input for tritium accountancy strategies. These results are validating the ITER operational concepts, inform DEMO design, and deliver critical experience in nuclear operation and scenario integration.</w:t>
      </w:r>
    </w:p>
    <w:p>
      <w:pPr>
        <w:spacing w:before="120" w:after="120"/>
      </w:pPr>
      <w:r>
        <w:rPr>
          <w:sz w:val="18"/>
        </w:rPr>
        <w:t>——————————————————————————————————————————————————————————————————————</w:t>
      </w:r>
    </w:p>
    <w:p>
      <w:pPr>
        <w:spacing w:before="160" w:after="40" w:line="240" w:lineRule="auto"/>
      </w:pPr>
      <w:r>
        <w:rPr>
          <w:b/>
        </w:rPr>
        <w:t xml:space="preserve">[3] </w:t>
      </w:r>
      <w:hyperlink r:id="rId185">
        <w:r>
          <w:rPr>
            <w:color w:val="1155CC"/>
            <w:u w:val="single"/>
          </w:rPr>
          <w:t>鉴于 COMPASS Upgrade 托卡马克的运行，等离子体引发过程中真空场的数值模拟和优化</w:t>
        </w:r>
      </w:hyperlink>
    </w:p>
    <w:p>
      <w:pPr>
        <w:spacing w:before="0" w:after="80"/>
      </w:pPr>
      <w:r>
        <w:rPr>
          <w:i/>
          <w:sz w:val="20"/>
        </w:rPr>
        <w:t>EN: Numerical modelling and optimization of vacuum field during plasma initiation in view of the operation of the COMPASS Upgrade tokamak</w:t>
      </w:r>
    </w:p>
    <w:p>
      <w:pPr>
        <w:spacing w:before="0" w:after="120"/>
      </w:pPr>
      <w:r>
        <w:rPr>
          <w:b/>
        </w:rPr>
        <w:t xml:space="preserve">Source: </w:t>
      </w:r>
      <w:r>
        <w:t>Nuclear Fusion - latest papers</w:t>
      </w:r>
      <w:r>
        <w:t xml:space="preserve">    </w:t>
      </w:r>
      <w:r>
        <w:rPr>
          <w:b/>
        </w:rPr>
        <w:t xml:space="preserve">Pub date: </w:t>
      </w:r>
      <w:r>
        <w:t>2026-06-22 23:00:00+00:00</w:t>
      </w:r>
      <w:r>
        <w:t xml:space="preserve">    </w:t>
      </w:r>
      <w:r>
        <w:rPr>
          <w:b/>
        </w:rPr>
        <w:t xml:space="preserve">DOI: </w:t>
      </w:r>
      <w:hyperlink r:id="rId186">
        <w:r>
          <w:rPr>
            <w:color w:val="1155CC"/>
            <w:u w:val="single"/>
          </w:rPr>
          <w:t>10.1088/1741-4326/ae6f2d</w:t>
        </w:r>
      </w:hyperlink>
    </w:p>
    <w:p>
      <w:pPr>
        <w:spacing w:before="0" w:after="120"/>
      </w:pPr>
      <w:r>
        <w:rPr>
          <w:b/>
        </w:rPr>
        <w:t xml:space="preserve">Notes: </w:t>
      </w:r>
      <w:r>
        <w:t>abstract_source=rss_description</w:t>
      </w:r>
    </w:p>
    <w:p>
      <w:pPr>
        <w:spacing w:before="0" w:after="80" w:lineRule="auto" w:line="276"/>
      </w:pPr>
      <w:r>
        <w:rPr>
          <w:b/>
        </w:rPr>
        <w:t xml:space="preserve">摘要（ZH）: </w:t>
      </w:r>
      <w:r>
        <w:t>COMPASS 升级版托卡马克装置（Vondracek 等人 2021 Fusion Eng. Des.169 112490）将具有尺寸和高场 ( )、高电流 ( )、高三角度 ( – ) 功能。此贡献旨在建立开环极向场线圈电流场景，以实现低场 ( ) 和高场 ( ) 条件下的完整等离子体引发（击穿和烧穿）和初始电流斜坡上升。未来设备的完整电磁模型是通过 FIESTA 代码导出并线性化的（Cunningham 2013 Fusion Eng. Des.88 3238–47）：特别是始终包括被动稳定板。优化算法的目的是提供产生适当真空场所需的电流并将等离子体保持在其相对于内部限制器的初始位置。它依赖于 YFactory 优化工具（Bardsley 2024 https://git.ccfe.ac.uk/obardsle/yfactory）。我们首次提出一种完全优化的等离子体引发策略，该策略提供从击穿到标记的所有线圈的前馈电流，而无需任何主动反馈。优化考虑了一定数量的场和通量值的控制点，这可以引导零点尺寸和形状，并确保初始径向和垂直稳定性。讨论了关于零几何形状和击穿期间所需的最大环路电压的击穿策略。优化的输出通过 DYON 代码（Kim et al 2024 Nucl.Fusion64 126010）进行测试，以确定合理的中性预填充密度范围。时间</w:t>
      </w:r>
    </w:p>
    <w:p>
      <w:pPr>
        <w:spacing w:before="0" w:after="200" w:lineRule="auto" w:line="276"/>
      </w:pPr>
      <w:r>
        <w:rPr>
          <w:b/>
        </w:rPr>
        <w:t xml:space="preserve">Abstract (EN): </w:t>
      </w:r>
      <w:r>
        <w:t>The COMPASS Upgrade tokamak (Vondracek et al 2021 Fusion Eng. Des.169 112490) will have dimensions and with high-field ( ), high-current ( ), high-triangularity ( – ) capabilities. This contribution aims at establishing open loop Poloidal Field coils current scenario for complete plasma initiation (breakdown and burn-through) and initial current ramp-up in both low field ( ) and high field ( ) conditions. A complete electro-magnetic model of the future device was derived and linearized through the FIESTA code (Cunningham 2013 Fusion Eng. Des.88 3238–47): in particular the Passive Stabilizing Plates have been consistently included. The optimization algorithm aims at providing the currents necessary to generate the proper vacuum field and maintain the plasma in its initial position against the inner limiter. It relies on the YFactory optimization tool (Bardsley 2024 https://git.ccfe.ac.uk/obardsle/yfactory). We present for the first time a fully optimized plasma initiation strategy that provides the feed-forward currents of all the coils from breakdown to the mark, without any active feedback. The optimization takes into account a certain number of control points for the field and flux values which allows to guide the null size and shape, as well as ensures initial radial and vertical stability. The breakdown strategy is discussed with respect to the null geometry and the maximum loop voltage requested during the breakdown. The outputs of the optimization are tested via the DYON code (Kim et al 2024 Nucl. Fusion64 126010) for a reasonable range of neutral prefill densities. The duration of burn-through is analyzed and an optimum breakdown configuration is identified that minimizes burn-through time, current consumption and stresses. The optimization is further refined in order to minimize the stress in the sliding joint of the Toroidal Field coil which is evaluated by ANSYS APDL model (Titus 2022 IEEE Trans. Plasma Sci.50 4304–10). The combined approach provides an operational space for COMPASS-U startup that is consistent with both electromagnetic and structural constraints.</w:t>
      </w:r>
    </w:p>
    <w:p>
      <w:pPr>
        <w:spacing w:before="120" w:after="120"/>
      </w:pPr>
      <w:r>
        <w:rPr>
          <w:sz w:val="18"/>
        </w:rPr>
        <w:t>——————————————————————————————————————————————————————————————————————</w:t>
      </w:r>
    </w:p>
    <w:p>
      <w:pPr>
        <w:spacing w:before="160" w:after="40" w:line="240" w:lineRule="auto"/>
      </w:pPr>
      <w:r>
        <w:rPr>
          <w:b/>
        </w:rPr>
        <w:t xml:space="preserve">[4] </w:t>
      </w:r>
      <w:hyperlink r:id="rId187">
        <w:r>
          <w:rPr>
            <w:color w:val="1155CC"/>
            <w:u w:val="single"/>
          </w:rPr>
          <w:t>对 WEST 的限制器爬升进行建模，以应对 ITER 的未来挑战</w:t>
        </w:r>
      </w:hyperlink>
    </w:p>
    <w:p>
      <w:pPr>
        <w:spacing w:before="0" w:after="80"/>
      </w:pPr>
      <w:r>
        <w:rPr>
          <w:i/>
          <w:sz w:val="20"/>
        </w:rPr>
        <w:t>EN: Modelling the limiter ramp-up of WEST for addressing the future challenges of ITER</w:t>
      </w:r>
    </w:p>
    <w:p>
      <w:pPr>
        <w:spacing w:before="0" w:after="120"/>
      </w:pPr>
      <w:r>
        <w:rPr>
          <w:b/>
        </w:rPr>
        <w:t xml:space="preserve">Source: </w:t>
      </w:r>
      <w:r>
        <w:t>Nuclear Fusion - latest papers</w:t>
      </w:r>
      <w:r>
        <w:t xml:space="preserve">    </w:t>
      </w:r>
      <w:r>
        <w:rPr>
          <w:b/>
        </w:rPr>
        <w:t xml:space="preserve">Pub date: </w:t>
      </w:r>
      <w:r>
        <w:t>2026-06-22 23:00:00+00:00</w:t>
      </w:r>
      <w:r>
        <w:t xml:space="preserve">    </w:t>
      </w:r>
      <w:r>
        <w:rPr>
          <w:b/>
        </w:rPr>
        <w:t xml:space="preserve">DOI: </w:t>
      </w:r>
      <w:hyperlink r:id="rId188">
        <w:r>
          <w:rPr>
            <w:color w:val="1155CC"/>
            <w:u w:val="single"/>
          </w:rPr>
          <w:t>10.1088/1741-4326/ae7812</w:t>
        </w:r>
      </w:hyperlink>
    </w:p>
    <w:p>
      <w:pPr>
        <w:spacing w:before="0" w:after="120"/>
      </w:pPr>
      <w:r>
        <w:rPr>
          <w:b/>
        </w:rPr>
        <w:t xml:space="preserve">Notes: </w:t>
      </w:r>
      <w:r>
        <w:t>abstract_source=rss_description</w:t>
      </w:r>
    </w:p>
    <w:p>
      <w:pPr>
        <w:spacing w:before="0" w:after="80" w:lineRule="auto" w:line="276"/>
      </w:pPr>
      <w:r>
        <w:rPr>
          <w:b/>
        </w:rPr>
        <w:t xml:space="preserve">摘要（ZH）: </w:t>
      </w:r>
      <w:r>
        <w:t>本文对具有钨（W）第一壁的托卡马克中的长期有限等离子体加速物理进行了联合实验和数值研究，这是 ITER 运行的关键阶段。使用 SolEdge-HDG 代码模拟的平均等离子体量与硼化后连续三次 WEST 放电期间进行的测量之间的比较表明，预测这一阶段是多么具有挑战性。虽然模拟再现了中板的总体趋势，并且密度分布合理匹配，但它们始终低估了核心温度，这可能是由于垂直导热系数太大。相反，在高场侧 (HFS) 限制器处，模拟高估了测量量，并突出了在掠磁角使用玻姆边界条件的局限性。实验测量表明，硼层被迅速侵蚀，其时间尺度与单次 ITER 放电相当。随后从涂硼壁到钨壁的转变增加了回收率，并显着降低了核心等离子体的质量，尽管壁参数保持稳定，但由于钨污染，电子温度降低了近一半。此外，与朗缪尔探针、辐射热测量法、反射测量法和光谱学的比较表明，实验的远刮擦层 (SOL) 明显比模拟的宽。这种宽 SOL 意味着硼腐蚀沿着整个 HFS 限制器延伸，而不是局限于接触点。这项工作强调了等离子体在这一阶段的一些特征</w:t>
      </w:r>
    </w:p>
    <w:p>
      <w:pPr>
        <w:spacing w:before="0" w:after="200" w:lineRule="auto" w:line="276"/>
      </w:pPr>
      <w:r>
        <w:rPr>
          <w:b/>
        </w:rPr>
        <w:t xml:space="preserve">Abstract (EN): </w:t>
      </w:r>
      <w:r>
        <w:t>This paper presents a joint experimental and numerical investigation into the physics of long limited plasma ramp-up in tokamaks with tungsten (W) first walls, a critical phase for ITER operation. The comparison between the average plasma quantities simulated using the SolEdge-HDG code and the measurements taken during three successive WEST discharges after boronisation shows how challenging it is to predict this phase. While simulations reproduce the general trends at the midplane, with reasonable match in density profiles, they consistently underestimate core temperatures possibly due to too large perpendicular heat conductivity. On the contrary, at the high field side (HFS) limiter, simulations overestimate the measured quantities, and highlights the limitation of using Bohm boundary conditions at grazing magnetic angles. Experimental measurements reveal that the boron layer is rapidly eroded, on a timescale comparable to a single ITER discharge. The subsequent transition from a boron-coated to a tungsten wall increases recycling and significantly degrades the core plasma, reducing the electron temperature by nearly half due to W contamination, despite wall parameters remaining stable. Furthermore, comparisons with Langmuir probes, bolometry, reflectometry, and spectroscopy indicate that the experimental far scrape-Off layer (SOL) is significantly wider than simulated. This wide SOL implies that boron erosion extends along the entire HFS limiter rather than being confined to the contact point. This work highlights some characteristics of the plasma during this phase of the discharge and emphasizes the current modelling issues that need to be resolved in order to obtain reliable predictions concerning the ITER ramp-up.</w:t>
      </w:r>
    </w:p>
    <w:p>
      <w:pPr>
        <w:spacing w:before="120" w:after="120"/>
      </w:pPr>
      <w:r>
        <w:rPr>
          <w:sz w:val="18"/>
        </w:rPr>
        <w:t>——————————————————————————————————————————————————————————————————————</w:t>
      </w:r>
    </w:p>
    <w:p>
      <w:pPr>
        <w:spacing w:before="160" w:after="40" w:line="240" w:lineRule="auto"/>
      </w:pPr>
      <w:r>
        <w:rPr>
          <w:b/>
        </w:rPr>
        <w:t xml:space="preserve">[5] </w:t>
      </w:r>
      <w:hyperlink r:id="rId189">
        <w:r>
          <w:rPr>
            <w:color w:val="1155CC"/>
            <w:u w:val="single"/>
          </w:rPr>
          <w:t>首台 JT-60SA 等离子体运行概述以及 ITER 和 DEMO 计划</w:t>
        </w:r>
      </w:hyperlink>
    </w:p>
    <w:p>
      <w:pPr>
        <w:spacing w:before="0" w:after="80"/>
      </w:pPr>
      <w:r>
        <w:rPr>
          <w:i/>
          <w:sz w:val="20"/>
        </w:rPr>
        <w:t>EN: Overview of first JT-60SA plasma operation and plans in view of ITER and DEMO</w:t>
      </w:r>
    </w:p>
    <w:p>
      <w:pPr>
        <w:spacing w:before="0" w:after="120"/>
      </w:pPr>
      <w:r>
        <w:rPr>
          <w:b/>
        </w:rPr>
        <w:t xml:space="preserve">Source: </w:t>
      </w:r>
      <w:r>
        <w:t>Nuclear Fusion - latest papers</w:t>
      </w:r>
      <w:r>
        <w:t xml:space="preserve">    </w:t>
      </w:r>
      <w:r>
        <w:rPr>
          <w:b/>
        </w:rPr>
        <w:t xml:space="preserve">Pub date: </w:t>
      </w:r>
      <w:r>
        <w:t>2026-06-22 23:00:00+00:00</w:t>
      </w:r>
      <w:r>
        <w:t xml:space="preserve">    </w:t>
      </w:r>
      <w:r>
        <w:rPr>
          <w:b/>
        </w:rPr>
        <w:t xml:space="preserve">DOI: </w:t>
      </w:r>
      <w:hyperlink r:id="rId190">
        <w:r>
          <w:rPr>
            <w:color w:val="1155CC"/>
            <w:u w:val="single"/>
          </w:rPr>
          <w:t>10.1088/1741-4326/ae74e1</w:t>
        </w:r>
      </w:hyperlink>
    </w:p>
    <w:p>
      <w:pPr>
        <w:spacing w:before="0" w:after="120"/>
      </w:pPr>
      <w:r>
        <w:rPr>
          <w:b/>
        </w:rPr>
        <w:t xml:space="preserve">Notes: </w:t>
      </w:r>
      <w:r>
        <w:t>abstract_source=rss_description</w:t>
      </w:r>
    </w:p>
    <w:p>
      <w:pPr>
        <w:spacing w:before="0" w:after="80" w:lineRule="auto" w:line="276"/>
      </w:pPr>
      <w:r>
        <w:rPr>
          <w:b/>
        </w:rPr>
        <w:t xml:space="preserve">摘要（ZH）: </w:t>
      </w:r>
      <w:r>
        <w:t>JT-60SA是欧洲和日本在更广泛方法框架内联合建造和开发的世界上最大的正在运行的超导托卡马克装置。 JT-60SA旨在解决一些技术和物理挑战，例如高β下的长脉冲稳态等离子体运行。 JT-60SA 的启动最终于 2023 年 10 月 23 日实现了第一个 JT-60SA 等离子体，并于 2023 年底实现了操作 1 (OP-1)，包括实现了 &gt;1 MA 的转向等离子体，为新一代大型超导托卡马克（如 ITER）铺平了道路。在此初始阶段研究了几个关键的科学主题。与 ITER 类似，可用的平行电场 (E||) 较低，但在~1.5 MW 电子回旋共振加热 (ECRH) 的帮助下，通过捕获粒子配置 (TPC) 可以快速获得等离子体引发。 OP-1 得出结果后，我们对中断原因进行了首次分析和分类。垂直位移事件（VDE）是造成拉长等离子体增加的绝大多数破坏的原因，因为在此阶段尚未安装稳定板。因此，利用机器学习技术和磁学探针数据开发了 VDE 预测器和控制算法，表明这些新技术也适用于输入数据稀缺的托卡马克启动阶段。 JT-60SA经过一系列升级后将于2026年重新投入运营。未来运行的实验计划以重要模型为指导</w:t>
      </w:r>
    </w:p>
    <w:p>
      <w:pPr>
        <w:spacing w:before="0" w:after="200" w:lineRule="auto" w:line="276"/>
      </w:pPr>
      <w:r>
        <w:rPr>
          <w:b/>
        </w:rPr>
        <w:t xml:space="preserve">Abstract (EN): </w:t>
      </w:r>
      <w:r>
        <w:t>JT-60SA is the world’s largest superconducting tokamak in operation jointly built and exploited by Europe and Japan in the framework of the Broader Approach. JT-60SA aims at addressing some of the technological and physics challenges, such as the long pulse steady-state plasma operation at high beta. The start-up of JT-60SA, which culminated in the first JT-60SA plasma achieved on 23 October 2023 and Operation-1 (OP-1) until the end of 2023, including the achievement of &gt;1 MA diverted plasmas, paves the way for a new generation of large superconducting tokamaks, such as ITER. Several key scientific topics were investigated during this initial phase. Similarly to ITER, the available parallel electric field (E||) is low and yet plasma initiation was quickly obtained by means of the trapped particle configuration (TPC) with the assistance of ∼1.5 MW of electron cyclotron resonance heating (ECRH). A first analysis and classification of the causes for disruptions have been done after the results of OP-1. Vertical displacement events (VDEs) were responsible for the vast majority of disruptions in increasing elongated plasmas, as the stabilization plate was not yet installed in this phase. Therefore, VDE predictors and control algorithms were developed using machine learning techniques with magnetics probe data, showing that these novel techniques are also suitable for the start-up tokamak phases characterized by scarce input data. JT-60SA will restart operation in 2026 following a series of upgrades. The experimental programme for future operations is guided by significant modelling ‘predict first’ activity, which shows that access to and development of H-mode in conditions of future burning plasmas will be possible with high negative neutral beam injection (N-NBI) and ECRH input power. The integration of such elements into a steady-state long pulse operation will be done with the installation of W plasma facing components (PFC) after the initial campaigns.</w:t>
      </w:r>
    </w:p>
    <w:p>
      <w:pPr>
        <w:spacing w:before="120" w:after="120"/>
      </w:pPr>
      <w:r>
        <w:rPr>
          <w:sz w:val="18"/>
        </w:rPr>
        <w:t>——————————————————————————————————————————————————————————————————————</w:t>
      </w:r>
    </w:p>
    <w:p>
      <w:pPr>
        <w:spacing w:before="160" w:after="40" w:line="240" w:lineRule="auto"/>
      </w:pPr>
      <w:r>
        <w:rPr>
          <w:b/>
        </w:rPr>
        <w:t xml:space="preserve">[6] </w:t>
      </w:r>
      <w:hyperlink r:id="rId191">
        <w:r>
          <w:rPr>
            <w:color w:val="1155CC"/>
            <w:u w:val="single"/>
          </w:rPr>
          <w:t>多主元合金中明显的 He 气泡生长轨迹</w:t>
        </w:r>
      </w:hyperlink>
    </w:p>
    <w:p>
      <w:pPr>
        <w:spacing w:before="0" w:after="80"/>
      </w:pPr>
      <w:r>
        <w:rPr>
          <w:i/>
          <w:sz w:val="20"/>
        </w:rPr>
        <w:t>EN: Distinct He bubble growth trajectory in multi-principal element alloys</w:t>
      </w:r>
    </w:p>
    <w:p>
      <w:pPr>
        <w:spacing w:before="0" w:after="120"/>
      </w:pPr>
      <w:r>
        <w:rPr>
          <w:b/>
        </w:rPr>
        <w:t xml:space="preserve">Source: </w:t>
      </w:r>
      <w:r>
        <w:t>Nuclear Fusion - latest papers</w:t>
      </w:r>
      <w:r>
        <w:t xml:space="preserve">    </w:t>
      </w:r>
      <w:r>
        <w:rPr>
          <w:b/>
        </w:rPr>
        <w:t xml:space="preserve">Pub date: </w:t>
      </w:r>
      <w:r>
        <w:t>2026-06-23 23:00:00+00:00</w:t>
      </w:r>
      <w:r>
        <w:t xml:space="preserve">    </w:t>
      </w:r>
      <w:r>
        <w:rPr>
          <w:b/>
        </w:rPr>
        <w:t xml:space="preserve">DOI: </w:t>
      </w:r>
      <w:hyperlink r:id="rId192">
        <w:r>
          <w:rPr>
            <w:color w:val="1155CC"/>
            <w:u w:val="single"/>
          </w:rPr>
          <w:t>10.1088/1741-4326/ae7985</w:t>
        </w:r>
      </w:hyperlink>
    </w:p>
    <w:p>
      <w:pPr>
        <w:spacing w:before="0" w:after="120"/>
      </w:pPr>
      <w:r>
        <w:rPr>
          <w:b/>
        </w:rPr>
        <w:t xml:space="preserve">Notes: </w:t>
      </w:r>
      <w:r>
        <w:t>abstract_source=rss_description</w:t>
      </w:r>
    </w:p>
    <w:p>
      <w:pPr>
        <w:spacing w:before="0" w:after="80" w:lineRule="auto" w:line="276"/>
      </w:pPr>
      <w:r>
        <w:rPr>
          <w:b/>
        </w:rPr>
        <w:t xml:space="preserve">摘要（ZH）: </w:t>
      </w:r>
      <w:r>
        <w:t>体心立方（BCC）多主元合金（MPEA）由于其对辐照引起的损伤具有出色的抵抗力，已成为聚变反应堆有前途的结构材料。然而，这种卓越性能背后的原子尺度机制仍然难以捉摸。在这里，我们采用大规模原子模拟来阐明化学复杂性如何调节 W 基 MPEA 中的氦 (He) 气泡演化。我们发现，化学复合合金中气泡压力的降低可以抑制位错环冲孔，这是纯钨中绒毛形成的主要驱动因素，从而稳定了表面下的微观结构。这种抑制由两种协同机制控制：（i）热力学异质性，扩大了缺陷能量分布并降低了簇结合能，限制了大环的形成趋势；（ii）原子尺寸不匹配引起的晶格畸变，破坏了滑移连续性并将环固定在其成核位点附近。此外，气泡周围出现了特定元素的偏析模式，反映了动力学不对称性，这可能会进一步稳定局部缺陷配置。总的来说，这些见解表明，通过降低气泡压力来抑制环路冲孔是基于 W 的 MPEA 增强辐射耐受性的核心机制。除了机械理解之外，我们的结果还提供了清晰的设计原理：缺陷能量学的热力学调整、销位错环的受控结构变形以及溶质选择的动力学平衡。这项工作绘制了一条设计之路</w:t>
      </w:r>
    </w:p>
    <w:p>
      <w:pPr>
        <w:spacing w:before="0" w:after="200" w:lineRule="auto" w:line="276"/>
      </w:pPr>
      <w:r>
        <w:rPr>
          <w:b/>
        </w:rPr>
        <w:t xml:space="preserve">Abstract (EN): </w:t>
      </w:r>
      <w:r>
        <w:t>Body-centered cubic (BCC) multi-principal element alloys (MPEAs) have emerged as promising structural materials for fusion reactors due to their exceptional resistance to irradiation-induced damage. Yet, the atomic-scale mechanisms underlying this superior performance remain elusive. Here, we employ large-scale atomistic simulations to elucidate how chemical complexity regulates helium (He) bubble evolution in W-based MPEAs. We find that reduced bubble pressure in chemically complex alloys suppresses dislocation loop punching, a primary driver of fuzz formation in pure W, thereby stabilizing the subsurface microstructure. This suppression is governed by two synergistic mechanisms: (i) thermodynamic heterogeneity that broadens defect energy distributions and lowers cluster binding energies, limiting the tendency formation of large loops, and (ii) lattice distortion arising from atomic size mismatch, which disrupts glide continuity and immobilizes loops near their nucleation sites. In addition, element-specific segregation patterns emerge around bubbles, reflecting kinetic asymmetries that may further stabilize local defect configurations. Collectively, these insights establish that suppressed loop punching via reduced bubble pressure is the central mechanism underlying enhanced radiation tolerance in W-based MPEAs. Beyond mechanistic understanding, our results provide clear design principles: thermodynamic tuning of defect energetics, controlled structural distortion to pin dislocation loops, and kinetic balance in solute selection. This work charts a pathway toward designing radiation-tolerant alloys for extreme fusion environments.</w:t>
      </w:r>
    </w:p>
    <w:p>
      <w:pPr>
        <w:spacing w:before="120" w:after="120"/>
      </w:pPr>
      <w:r>
        <w:rPr>
          <w:sz w:val="18"/>
        </w:rPr>
        <w:t>——————————————————————————————————————————————————————————————————————</w:t>
      </w:r>
    </w:p>
    <w:p>
      <w:pPr>
        <w:spacing w:before="160" w:after="40" w:line="240" w:lineRule="auto"/>
      </w:pPr>
      <w:r>
        <w:rPr>
          <w:b/>
        </w:rPr>
        <w:t xml:space="preserve">[7] </w:t>
      </w:r>
      <w:hyperlink r:id="rId193">
        <w:r>
          <w:rPr>
            <w:color w:val="1155CC"/>
            <w:u w:val="single"/>
          </w:rPr>
          <w:t>多发射磁化鞘逃逸电流密度的预测模型</w:t>
        </w:r>
      </w:hyperlink>
    </w:p>
    <w:p>
      <w:pPr>
        <w:spacing w:before="0" w:after="80"/>
      </w:pPr>
      <w:r>
        <w:rPr>
          <w:i/>
          <w:sz w:val="20"/>
        </w:rPr>
        <w:t>EN: Predictive model of escaping current densities from multi-emissive magnetized sheaths</w:t>
      </w:r>
    </w:p>
    <w:p>
      <w:pPr>
        <w:spacing w:before="0" w:after="120"/>
      </w:pPr>
      <w:r>
        <w:rPr>
          <w:b/>
        </w:rPr>
        <w:t xml:space="preserve">Source: </w:t>
      </w:r>
      <w:r>
        <w:t>Nuclear Fusion - latest papers</w:t>
      </w:r>
      <w:r>
        <w:t xml:space="preserve">    </w:t>
      </w:r>
      <w:r>
        <w:rPr>
          <w:b/>
        </w:rPr>
        <w:t xml:space="preserve">Pub date: </w:t>
      </w:r>
      <w:r>
        <w:t>2026-06-23 23:00:00+00:00</w:t>
      </w:r>
      <w:r>
        <w:t xml:space="preserve">    </w:t>
      </w:r>
      <w:r>
        <w:rPr>
          <w:b/>
        </w:rPr>
        <w:t xml:space="preserve">DOI: </w:t>
      </w:r>
      <w:hyperlink r:id="rId194">
        <w:r>
          <w:rPr>
            <w:color w:val="1155CC"/>
            <w:u w:val="single"/>
          </w:rPr>
          <w:t>10.1088/1741-4326/ae7739</w:t>
        </w:r>
      </w:hyperlink>
    </w:p>
    <w:p>
      <w:pPr>
        <w:spacing w:before="0" w:after="120"/>
      </w:pPr>
      <w:r>
        <w:rPr>
          <w:b/>
        </w:rPr>
        <w:t xml:space="preserve">Notes: </w:t>
      </w:r>
      <w:r>
        <w:t>abstract_source=rss_description</w:t>
      </w:r>
    </w:p>
    <w:p>
      <w:pPr>
        <w:spacing w:before="0" w:after="80" w:lineRule="auto" w:line="276"/>
      </w:pPr>
      <w:r>
        <w:rPr>
          <w:b/>
        </w:rPr>
        <w:t xml:space="preserve">摘要（ZH）: </w:t>
      </w:r>
      <w:r>
        <w:t>从多发射磁化鞘逸出的电子电流密度构成了现代 ITER 等离子体组件 (PFC) 由于宏观熔体运动而变形的评估中的关键量。在 ITER 边缘局域模式下，电子可以通过场辅助热电子发射、二次电子发射 (SEE) 和电子背散射 (EBS) 从 PFC 发射。在空间电荷有限鞘层的情况下，总逃逸电流密度可使用解析半经验表达式。这里，针对经典单调鞘层的未探索情况提出了一个分析经验模型，包括（i）基于粒子轨道模拟的表面电场存在下的即时再沉积的现有半经验描述； (ii) SEE 和 EBS 电流作为电子温度函数的现有解析表达式； (iii) 总电子发射产率与表面电场之间的新的半经验关系； （iv）在没有电子发射的情况下表面电场强度的新相关性。新的预测模型对于任意磁场倾角都有效，并且以系统的细胞内粒子模拟为基准。</w:t>
      </w:r>
    </w:p>
    <w:p>
      <w:pPr>
        <w:spacing w:before="0" w:after="200" w:lineRule="auto" w:line="276"/>
      </w:pPr>
      <w:r>
        <w:rPr>
          <w:b/>
        </w:rPr>
        <w:t xml:space="preserve">Abstract (EN): </w:t>
      </w:r>
      <w:r>
        <w:t>The electron current density that escapes from multi-emissive magnetized sheaths constitutes a critical quantity in modern evaluations of ITER plasma-facing component (PFCs) deformation due to macroscopic melt motion. During ITER edge-localized modes, electrons can be emitted from the PFCs through field assisted thermionic emission, secondary electron emission (SEE) and electron backscattering (EBS). In the case of space-charge limited sheaths, an analytic semi-empirical expression is available for the total escaping current density. Here, an analytic empirical model is proposed for the unexplored case of classical monotonic sheaths comprising (i) an existing semi-empirical description of prompt re-deposition in the presence of surface electric fields based on particle orbit simulations; (ii) existing analytic expressions for the SEE and EBS currents as a function of the electron temperature; (iii) a new semi-empirical relation between the total electron emission yield and surface electric field; (iv) a novel correlation for the magnitude of the surface electric field in the absence of electron emission. The new predictive model is valid for arbitrary magnetic field inclination angles and is benchmarked against systematic particle-in-cell simulations.</w:t>
      </w:r>
    </w:p>
    <w:p>
      <w:pPr>
        <w:spacing w:before="120" w:after="120"/>
      </w:pPr>
      <w:r>
        <w:rPr>
          <w:sz w:val="18"/>
        </w:rPr>
        <w:t>——————————————————————————————————————————————————————————————————————</w:t>
      </w:r>
    </w:p>
    <w:p>
      <w:pPr>
        <w:spacing w:before="160" w:after="40" w:line="240" w:lineRule="auto"/>
      </w:pPr>
      <w:r>
        <w:rPr>
          <w:b/>
        </w:rPr>
        <w:t xml:space="preserve">[8] </w:t>
      </w:r>
      <w:hyperlink r:id="rId195">
        <w:r>
          <w:rPr>
            <w:color w:val="1155CC"/>
            <w:u w:val="single"/>
          </w:rPr>
          <w:t>欧洲对 ITER 等离子体诊断和端口集成实物贡献的进展</w:t>
        </w:r>
      </w:hyperlink>
    </w:p>
    <w:p>
      <w:pPr>
        <w:spacing w:before="0" w:after="80"/>
      </w:pPr>
      <w:r>
        <w:rPr>
          <w:i/>
          <w:sz w:val="20"/>
        </w:rPr>
        <w:t>EN: Advances in European in-kind contributions to plasma diagnostics and port integration for ITER</w:t>
      </w:r>
    </w:p>
    <w:p>
      <w:pPr>
        <w:spacing w:before="0" w:after="120"/>
      </w:pPr>
      <w:r>
        <w:rPr>
          <w:b/>
        </w:rPr>
        <w:t xml:space="preserve">Source: </w:t>
      </w:r>
      <w:r>
        <w:t>Nuclear Fusion - latest papers</w:t>
      </w:r>
      <w:r>
        <w:t xml:space="preserve">    </w:t>
      </w:r>
      <w:r>
        <w:rPr>
          <w:b/>
        </w:rPr>
        <w:t xml:space="preserve">Pub date: </w:t>
      </w:r>
      <w:r>
        <w:t>2026-06-24 23:00:00+00:00</w:t>
      </w:r>
      <w:r>
        <w:t xml:space="preserve">    </w:t>
      </w:r>
      <w:r>
        <w:rPr>
          <w:b/>
        </w:rPr>
        <w:t xml:space="preserve">DOI: </w:t>
      </w:r>
      <w:hyperlink r:id="rId196">
        <w:r>
          <w:rPr>
            <w:color w:val="1155CC"/>
            <w:u w:val="single"/>
          </w:rPr>
          <w:t>10.1088/1741-4326/ae7737</w:t>
        </w:r>
      </w:hyperlink>
    </w:p>
    <w:p>
      <w:pPr>
        <w:spacing w:before="0" w:after="120"/>
      </w:pPr>
      <w:r>
        <w:rPr>
          <w:b/>
        </w:rPr>
        <w:t xml:space="preserve">Notes: </w:t>
      </w:r>
      <w:r>
        <w:t>abstract_source=rss_description</w:t>
      </w:r>
    </w:p>
    <w:p>
      <w:pPr>
        <w:spacing w:before="0" w:after="80" w:lineRule="auto" w:line="276"/>
      </w:pPr>
      <w:r>
        <w:rPr>
          <w:b/>
        </w:rPr>
        <w:t xml:space="preserve">摘要（ZH）: </w:t>
      </w:r>
      <w:r>
        <w:t>EURATOM 对 ITER 项目的贡献包括等离子体和第一壁诊断，提供了避免损坏、控制等离子体和探索其物理特性所需的大约四分之一的主要测量。这些贡献包括八个诊断系统，以及六个端口插头（容纳各种诊断和其他 ITER 系统）和广泛的船内电气系统，提供与船内诊断的连接。这些系统的设计阶段已接近完成，许多系统已经投入生产。本文总结了开发的设计，并强调了所解决的挑战。</w:t>
      </w:r>
    </w:p>
    <w:p>
      <w:pPr>
        <w:spacing w:before="0" w:after="200" w:lineRule="auto" w:line="276"/>
      </w:pPr>
      <w:r>
        <w:rPr>
          <w:b/>
        </w:rPr>
        <w:t xml:space="preserve">Abstract (EN): </w:t>
      </w:r>
      <w:r>
        <w:t>EURATOM contributions to the ITER Project include plasma and first wall diagnostics providing around a quarter of the primary measurements needed to avoid damage, to control the plasma and to explore its physics. These contributions include eight diagnostic systems, as well as six port plugs (housing a variety of diagnostics and other ITER systems) and extensive in-vessel electrical systems, providing connections to in-vessel diagnostics. The design phase for these systems is close to completion, and many are already in manufacture. This paper summarises the designs developed, and highlights the challenges addressed.</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97">
        <w:r>
          <w:rPr>
            <w:color w:val="1155CC"/>
            <w:u w:val="single"/>
          </w:rPr>
          <w:t>多工况下质子交换膜水电解膜电极组件的动态降解机理</w:t>
        </w:r>
      </w:hyperlink>
    </w:p>
    <w:p>
      <w:pPr>
        <w:spacing w:before="0" w:after="80"/>
      </w:pPr>
      <w:r>
        <w:rPr>
          <w:i/>
          <w:sz w:val="20"/>
        </w:rPr>
        <w:t>EN: Dynamic degradation mechanisms of PEM water electrolysis membrane electrode assembly under multiple operating conditions</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98">
        <w:r>
          <w:rPr>
            <w:color w:val="1155CC"/>
            <w:u w:val="single"/>
          </w:rPr>
          <w:t>使用贝叶斯优化的 LSTM-XGBoost 融合模型预测汽车 PEMFC 堆栈的高频电阻</w:t>
        </w:r>
      </w:hyperlink>
    </w:p>
    <w:p>
      <w:pPr>
        <w:spacing w:before="0" w:after="80"/>
      </w:pPr>
      <w:r>
        <w:rPr>
          <w:i/>
          <w:sz w:val="20"/>
        </w:rPr>
        <w:t>EN: Prediction of high-frequency resistance for automotive PEMFC stacks using a Bayesian-optimized LSTM-XGBoost fusion model</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99">
        <w:r>
          <w:rPr>
            <w:color w:val="1155CC"/>
            <w:u w:val="single"/>
          </w:rPr>
          <w:t>集成多尺度建模和协调工厂平衡优化，以最大限度地提高重型燃料电池电动汽车的车辆系统效率</w:t>
        </w:r>
      </w:hyperlink>
    </w:p>
    <w:p>
      <w:pPr>
        <w:spacing w:before="0" w:after="80"/>
      </w:pPr>
      <w:r>
        <w:rPr>
          <w:i/>
          <w:sz w:val="20"/>
        </w:rPr>
        <w:t>EN: Integrated multiscale modeling and coordinated balance-of-plant optimization to maximize vehicle system efficiency in a heavy-duty fuel cell electric vehicle</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44">
        <w:r>
          <w:rPr>
            <w:color w:val="1155CC"/>
            <w:u w:val="single"/>
          </w:rPr>
          <w:t>通过 NiFe 合金晶格应变调节中间吸附和界面水网络促进低浓度硝酸盐电还原</w:t>
        </w:r>
      </w:hyperlink>
    </w:p>
    <w:p>
      <w:pPr>
        <w:spacing w:before="0" w:after="80"/>
      </w:pPr>
      <w:r>
        <w:rPr>
          <w:i/>
          <w:sz w:val="20"/>
        </w:rPr>
        <w:t>EN: Tuning Intermediate Adsorption and Interfacial Water Networks via Lattice Strain of NiFe Alloys Boosts Low‐Concentration Nitrate Electroreduction</w:t>
      </w:r>
    </w:p>
    <w:p>
      <w:pPr>
        <w:spacing w:before="0" w:after="120"/>
      </w:pPr>
      <w:r>
        <w:rPr>
          <w:b/>
        </w:rPr>
        <w:t xml:space="preserve">Source: </w:t>
      </w:r>
      <w:r>
        <w:t>Wiley: Advanced Materials: Table of Contents</w:t>
      </w:r>
      <w:r>
        <w:t xml:space="preserve">    </w:t>
      </w:r>
      <w:r>
        <w:rPr>
          <w:b/>
        </w:rPr>
        <w:t xml:space="preserve">Pub date: </w:t>
      </w:r>
      <w:r>
        <w:t>2026-06-20 05:31:04+00:00</w:t>
      </w:r>
      <w:r>
        <w:t xml:space="preserve">    </w:t>
      </w:r>
      <w:r>
        <w:rPr>
          <w:b/>
        </w:rPr>
        <w:t xml:space="preserve">DOI: </w:t>
      </w:r>
      <w:hyperlink r:id="rId45">
        <w:r>
          <w:rPr>
            <w:color w:val="1155CC"/>
            <w:u w:val="single"/>
          </w:rPr>
          <w:t>10.1002/adma.73761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电化学硝酸盐还原氨（NO</w:t>
      </w:r>
      <w:r>
        <w:rPr>
          <w:vertAlign w:val="subscript"/>
        </w:rPr>
        <w:t>3</w:t>
      </w:r>
      <w:r>
        <w:t>-</w:t>
      </w:r>
      <w:r>
        <w:t>低浓度中性介质中的RR）通常受到缓慢的传质和竞争性析氢反应（HER）的阻碍。在此，我们提出了一种通过共蒸发少量铁杂原子将晶格应变引入镍催化剂的策略。根据原位光谱和理论计算，应变效应可以优化</w:t>
      </w:r>
      <w:r>
        <w:t xml:space="preserve"> </w:t>
      </w:r>
      <w:r>
        <w:t>d</w:t>
      </w:r>
      <w:r>
        <w:t xml:space="preserve"> </w:t>
      </w:r>
      <w:r>
        <w:t>‐Ni活性位点的能带中心，从而调节关键中间体的吸附强度（</w:t>
      </w:r>
      <w:r>
        <w:t xml:space="preserve"> </w:t>
      </w:r>
      <w:r>
        <w:t>*</w:t>
      </w:r>
      <w:r>
        <w:t xml:space="preserve"> </w:t>
      </w:r>
      <w:r>
        <w:t>否</w:t>
      </w:r>
      <w:r>
        <w:rPr>
          <w:vertAlign w:val="subscript"/>
        </w:rPr>
        <w:t>3</w:t>
      </w:r>
      <w:r>
        <w:t>-</w:t>
      </w:r>
      <w:r>
        <w:t>,</w:t>
      </w:r>
      <w:r>
        <w:t xml:space="preserve"> </w:t>
      </w:r>
      <w:r>
        <w:t>*</w:t>
      </w:r>
      <w:r>
        <w:t xml:space="preserve"> </w:t>
      </w:r>
      <w:r>
        <w:t>否</w:t>
      </w:r>
      <w:r>
        <w:rPr>
          <w:vertAlign w:val="subscript"/>
        </w:rPr>
        <w:t>2</w:t>
      </w:r>
      <w:r>
        <w:t>,</w:t>
      </w:r>
      <w:r>
        <w:t xml:space="preserve"> </w:t>
      </w:r>
      <w:r>
        <w:t>*</w:t>
      </w:r>
      <w:r>
        <w:t xml:space="preserve"> </w:t>
      </w:r>
      <w:r>
        <w:t>NO) 并增强 NO 的内在活性</w:t>
      </w:r>
      <w:r>
        <w:rPr>
          <w:vertAlign w:val="subscript"/>
        </w:rPr>
        <w:t>3</w:t>
      </w:r>
      <w:r>
        <w:t>-</w:t>
      </w:r>
      <w:r>
        <w:t>RR。此外，应变表面可以重组界面氢键网络并调节自由水的比例，从而平衡活性氢的供应（</w:t>
      </w:r>
      <w:r>
        <w:t xml:space="preserve"> </w:t>
      </w:r>
      <w:r>
        <w:t>*</w:t>
      </w:r>
      <w:r>
        <w:t xml:space="preserve"> </w:t>
      </w:r>
      <w:r>
        <w:t>H) 抑制 HER。因此，NiFe-T1.4 实现了显着的 NH</w:t>
      </w:r>
      <w:r>
        <w:rPr>
          <w:vertAlign w:val="subscript"/>
        </w:rPr>
        <w:t>3</w:t>
      </w:r>
      <w:r>
        <w:t>法拉第效率 (FE) 高达 95.5%，产率高达 8.57 mg h</w:t>
      </w:r>
      <w:r>
        <w:t xml:space="preserve"> </w:t>
      </w:r>
      <w:r>
        <w:t>−1</w:t>
      </w:r>
      <w:r>
        <w:t xml:space="preserve"> </w:t>
      </w:r>
      <w:r>
        <w:t>厘米</w:t>
      </w:r>
      <w:r>
        <w:t xml:space="preserve"> </w:t>
      </w:r>
      <w:r>
        <w:t>−2</w:t>
      </w:r>
      <w:r>
        <w:t xml:space="preserve"> </w:t>
      </w:r>
      <w:r>
        <w:t>中性低浓度（5-50 m</w:t>
      </w:r>
    </w:p>
    <w:p>
      <w:pPr>
        <w:spacing w:before="0" w:after="200" w:lineRule="auto" w:line="276"/>
      </w:pPr>
      <w:r>
        <w:rPr>
          <w:b/>
        </w:rPr>
        <w:t xml:space="preserve">Abstract (EN): </w:t>
      </w:r>
      <w:r>
        <w:t>The electrochemical nitrate‐to‐ammonia reduction (NO</w:t>
      </w:r>
      <w:r>
        <w:rPr>
          <w:vertAlign w:val="subscript"/>
        </w:rPr>
        <w:t>3</w:t>
      </w:r>
      <w:r>
        <w:t>−</w:t>
      </w:r>
      <w:r>
        <w:t>RR) in low‐concentration neutral media is often hindered by sluggish mass transfer and competitive hydrogen evolution reaction (HER). Herein, we propose a strategy to introduce lattice strain into a Ni catalyst through the co‐evaporation of a small proportion of Fe heteroatoms. According to in situ spectroscopy and theoretical calculations, the strain effect can optimize the</w:t>
      </w:r>
      <w:r>
        <w:t xml:space="preserve"> </w:t>
      </w:r>
      <w:r>
        <w:t>d</w:t>
      </w:r>
      <w:r>
        <w:t xml:space="preserve"> </w:t>
      </w:r>
      <w:r>
        <w:t>‐band center of the Ni active sites, thereby modulating the adsorption strength of key intermediates (</w:t>
      </w:r>
      <w:r>
        <w:t xml:space="preserve"> </w:t>
      </w:r>
      <w:r>
        <w:t>*</w:t>
      </w:r>
      <w:r>
        <w:t xml:space="preserve"> </w:t>
      </w:r>
      <w:r>
        <w:t>NO</w:t>
      </w:r>
      <w:r>
        <w:rPr>
          <w:vertAlign w:val="subscript"/>
        </w:rPr>
        <w:t>3</w:t>
      </w:r>
      <w:r>
        <w:t>−</w:t>
      </w:r>
      <w:r>
        <w:t>,</w:t>
      </w:r>
      <w:r>
        <w:t xml:space="preserve"> </w:t>
      </w:r>
      <w:r>
        <w:t>*</w:t>
      </w:r>
      <w:r>
        <w:t xml:space="preserve"> </w:t>
      </w:r>
      <w:r>
        <w:t>NO</w:t>
      </w:r>
      <w:r>
        <w:rPr>
          <w:vertAlign w:val="subscript"/>
        </w:rPr>
        <w:t>2</w:t>
      </w:r>
      <w:r>
        <w:t>,</w:t>
      </w:r>
      <w:r>
        <w:t xml:space="preserve"> </w:t>
      </w:r>
      <w:r>
        <w:t>*</w:t>
      </w:r>
      <w:r>
        <w:t xml:space="preserve"> </w:t>
      </w:r>
      <w:r>
        <w:t>NO) and enhancing the intrinsic activity for NO</w:t>
      </w:r>
      <w:r>
        <w:rPr>
          <w:vertAlign w:val="subscript"/>
        </w:rPr>
        <w:t>3</w:t>
      </w:r>
      <w:r>
        <w:t>−</w:t>
      </w:r>
      <w:r>
        <w:t>RR. Furthermore, the strained surface can reorganize the interfacial hydrogen‐bond network and modulate the proportion of free water, thereby balancing the supply of active hydrogen (</w:t>
      </w:r>
      <w:r>
        <w:t xml:space="preserve"> </w:t>
      </w:r>
      <w:r>
        <w:t>*</w:t>
      </w:r>
      <w:r>
        <w:t xml:space="preserve"> </w:t>
      </w:r>
      <w:r>
        <w:t>H) with the suppression of HER. Consequently, NiFe‐T1.4 achieves remarkable NH</w:t>
      </w:r>
      <w:r>
        <w:rPr>
          <w:vertAlign w:val="subscript"/>
        </w:rPr>
        <w:t>3</w:t>
      </w:r>
      <w:r>
        <w:t>Faradaic efficiencies (FE) up to 95.5% and yield rates up to 8.57 mg h</w:t>
      </w:r>
      <w:r>
        <w:t xml:space="preserve"> </w:t>
      </w:r>
      <w:r>
        <w:t>−1</w:t>
      </w:r>
      <w:r>
        <w:t xml:space="preserve"> </w:t>
      </w:r>
      <w:r>
        <w:t>cm</w:t>
      </w:r>
      <w:r>
        <w:t xml:space="preserve"> </w:t>
      </w:r>
      <w:r>
        <w:t>−2</w:t>
      </w:r>
      <w:r>
        <w:t xml:space="preserve"> </w:t>
      </w:r>
      <w:r>
        <w:t>in neutral low‐concentration (5–50 m</w:t>
      </w:r>
      <w:r>
        <w:t xml:space="preserve"> </w:t>
      </w:r>
      <w:r>
        <w:t>m</w:t>
      </w:r>
      <w:r>
        <w:t xml:space="preserve"> </w:t>
      </w:r>
      <w:r>
        <w:t>) nitrate solutions. Furthermore, NiFe‐T1.4 can also be employed as a cathode in a Zn‐NO</w:t>
      </w:r>
      <w:r>
        <w:rPr>
          <w:vertAlign w:val="subscript"/>
        </w:rPr>
        <w:t>3</w:t>
      </w:r>
      <w:r>
        <w:t>−</w:t>
      </w:r>
      <w:r>
        <w:t>battery, delivering a high open‐circuit voltage of 1.53 V and a peak power density of 8.10 mW cm</w:t>
      </w:r>
      <w:r>
        <w:t xml:space="preserve"> </w:t>
      </w:r>
      <w:r>
        <w:t>−2</w:t>
      </w:r>
      <w:r>
        <w:t xml:space="preserve"> </w:t>
      </w:r>
      <w:r>
        <w:t>. This work presents a feasible approach to engineering high‐performance catalysts for nitrate‐to‐ammonia conversion by combining lattice strain and interfacial water management.</w:t>
      </w:r>
    </w:p>
    <w:p>
      <w:pPr>
        <w:spacing w:before="120" w:after="120"/>
      </w:pPr>
      <w:r>
        <w:rPr>
          <w:sz w:val="18"/>
        </w:rPr>
        <w:t>——————————————————————————————————————————————————————————————————————</w:t>
      </w:r>
    </w:p>
    <w:p>
      <w:pPr>
        <w:spacing w:before="160" w:after="40" w:line="240" w:lineRule="auto"/>
      </w:pPr>
      <w:r>
        <w:rPr>
          <w:b/>
        </w:rPr>
        <w:t xml:space="preserve">[5] </w:t>
      </w:r>
      <w:hyperlink r:id="rId200">
        <w:r>
          <w:rPr>
            <w:color w:val="1155CC"/>
            <w:u w:val="single"/>
          </w:rPr>
          <w:t>两亲键插层重塑活性位点和层间微环境，实现选择性和稳定的海水氧化</w:t>
        </w:r>
      </w:hyperlink>
    </w:p>
    <w:p>
      <w:pPr>
        <w:spacing w:before="0" w:after="80"/>
      </w:pPr>
      <w:r>
        <w:rPr>
          <w:i/>
          <w:sz w:val="20"/>
        </w:rPr>
        <w:t>EN: Amphiphilic Bonding Intercalation Reshapes Active Sites and Interlayer Microenvironment for Selective and Stable Seawater Oxidation</w:t>
      </w:r>
    </w:p>
    <w:p>
      <w:pPr>
        <w:spacing w:before="0" w:after="120"/>
      </w:pPr>
      <w:r>
        <w:rPr>
          <w:b/>
        </w:rPr>
        <w:t xml:space="preserve">Source: </w:t>
      </w:r>
      <w:r>
        <w:t>Wiley: Advanced Materials: Table of Contents</w:t>
      </w:r>
      <w:r>
        <w:t xml:space="preserve">    </w:t>
      </w:r>
      <w:r>
        <w:rPr>
          <w:b/>
        </w:rPr>
        <w:t xml:space="preserve">Pub date: </w:t>
      </w:r>
      <w:r>
        <w:t>2026-06-20 16:10:58+00:00</w:t>
      </w:r>
      <w:r>
        <w:t xml:space="preserve">    </w:t>
      </w:r>
      <w:r>
        <w:rPr>
          <w:b/>
        </w:rPr>
        <w:t xml:space="preserve">DOI: </w:t>
      </w:r>
      <w:hyperlink r:id="rId201">
        <w:r>
          <w:rPr>
            <w:color w:val="1155CC"/>
            <w:u w:val="single"/>
          </w:rPr>
          <w:t>10.1002/adma.73812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直接海水电解受到活性-耐久性权衡和氯化物引起的腐蚀的严重限制。在这里，我们通过将层间键合从弱静电吸引力转变为强配位来设计耐腐蚀、高选择性的层状双氢氧化物（LDH）催化剂。两亲性十二烷基苯磺酸盐 (SDBS) 与 Fe 活性中心配合，形成牢固的 Fe─O─S 键，从而建立安全锁定的微环境。密度泛函理论揭示了这种配位使Fe d带中心上移并增强了Fe─O共价性，降低了热力学析氧势垒。同时，分子动力学模拟表明疏水性烷基尾部重组了界面氢键网络。这形成了针对氯化物的动力学屏障，从而实现了氢氧化物到氯化物的高扩散选择性（D</w:t>
      </w:r>
      <w:r>
        <w:t xml:space="preserve"> </w:t>
      </w:r>
      <w:r>
        <w:t>羟基</w:t>
      </w:r>
      <w:r>
        <w:t xml:space="preserve"> </w:t>
      </w:r>
      <w:r>
        <w:t>-</w:t>
      </w:r>
      <w:r>
        <w:t>/D</w:t>
      </w:r>
      <w:r>
        <w:t xml:space="preserve"> </w:t>
      </w:r>
      <w:r>
        <w:t>氯</w:t>
      </w:r>
      <w:r>
        <w:t xml:space="preserve"> </w:t>
      </w:r>
      <w:r>
        <w:t>-</w:t>
      </w:r>
      <w:r>
        <w:t>约 1.94）。因此，NiFe-SDBS 电极将稳定性与活性解耦，在 10 mA cm 电流下提供 239 mV 的超低过电势</w:t>
      </w:r>
      <w:r>
        <w:t xml:space="preserve"> </w:t>
      </w:r>
      <w:r>
        <w:t>−2</w:t>
      </w:r>
      <w:r>
        <w:t xml:space="preserve"> </w:t>
      </w:r>
      <w:r>
        <w:t>并维持 1000 mA cm</w:t>
      </w:r>
      <w:r>
        <w:t xml:space="preserve"> </w:t>
      </w:r>
      <w:r>
        <w:t>−2</w:t>
      </w:r>
      <w:r>
        <w:t xml:space="preserve"> </w:t>
      </w:r>
      <w:r>
        <w:t>&gt;1000 小时，降解可忽略不计。在零间隙阴离子交换膜 (AEM) 电解槽中，电流达到 1000 mA cm</w:t>
      </w:r>
      <w:r>
        <w:t xml:space="preserve"> </w:t>
      </w:r>
      <w:r>
        <w:t>−2</w:t>
      </w:r>
      <w:r>
        <w:t xml:space="preserve"> </w:t>
      </w:r>
      <w:r>
        <w:t>〜4.64 kWh Nm</w:t>
      </w:r>
      <w:r>
        <w:t xml:space="preserve"> </w:t>
      </w:r>
      <w:r>
        <w:t>−3</w:t>
      </w:r>
      <w:r>
        <w:t xml:space="preserve"> </w:t>
      </w:r>
      <w:r>
        <w:t>并保持强大的稳定性（500 mA cm 下 &gt;600 小时</w:t>
      </w:r>
    </w:p>
    <w:p>
      <w:pPr>
        <w:spacing w:before="0" w:after="200" w:lineRule="auto" w:line="276"/>
      </w:pPr>
      <w:r>
        <w:rPr>
          <w:b/>
        </w:rPr>
        <w:t xml:space="preserve">Abstract (EN): </w:t>
      </w:r>
      <w:r>
        <w:t>Direct seawater electrolysis is severely constrained by the activity‐durability trade‐off and chloride‐induced corrosion. Herein, we design corrosion‐resistant, highly selective layered double hydroxide (LDH) catalysts by transitioning interlayer bonding from weak electrostatic attraction to strong coordination. Amphiphilic dodecylbenzenesulfonate (SDBS) coordinates with Fe active centers, forming robust Fe─O─S bonds that establish a securely locked microenvironment. Density functional theory reveals this coordination upshifts the Fe d‐band center and enhances Fe─O covalency, lowering the thermodynamic oxygen evolution barrier. Simultaneously, molecular dynamics simulations show that hydrophobic alkyl tails reorganize the interfacial hydrogen‐bond network. This creates a kinetic barrier against chloride, enabling high hydroxide‐to‐chloride diffusion selectivity (D</w:t>
      </w:r>
      <w:r>
        <w:t xml:space="preserve"> </w:t>
      </w:r>
      <w:r>
        <w:t>OH</w:t>
      </w:r>
      <w:r>
        <w:t xml:space="preserve"> </w:t>
      </w:r>
      <w:r>
        <w:t>−</w:t>
      </w:r>
      <w:r>
        <w:t>/D</w:t>
      </w:r>
      <w:r>
        <w:t xml:space="preserve"> </w:t>
      </w:r>
      <w:r>
        <w:t>Cl</w:t>
      </w:r>
      <w:r>
        <w:t xml:space="preserve"> </w:t>
      </w:r>
      <w:r>
        <w:t>−</w:t>
      </w:r>
      <w:r>
        <w:t>≈ 1.94). Consequently, the NiFe‐SDBS electrode decouples stability from activity, delivering an ultralow overpotential of 239 mV at 10 mA cm</w:t>
      </w:r>
      <w:r>
        <w:t xml:space="preserve"> </w:t>
      </w:r>
      <w:r>
        <w:t>−2</w:t>
      </w:r>
      <w:r>
        <w:t xml:space="preserve"> </w:t>
      </w:r>
      <w:r>
        <w:t>and sustaining 1000 mA cm</w:t>
      </w:r>
      <w:r>
        <w:t xml:space="preserve"> </w:t>
      </w:r>
      <w:r>
        <w:t>−2</w:t>
      </w:r>
      <w:r>
        <w:t xml:space="preserve"> </w:t>
      </w:r>
      <w:r>
        <w:t>for &amp;gt;1000 h with negligible degradation. In a zero‐gap anion exchange membrane (AEM) electrolyzer, it achieves 1000 mA cm</w:t>
      </w:r>
      <w:r>
        <w:t xml:space="preserve"> </w:t>
      </w:r>
      <w:r>
        <w:t>−2</w:t>
      </w:r>
      <w:r>
        <w:t xml:space="preserve"> </w:t>
      </w:r>
      <w:r>
        <w:t>at ∼4.64 kWh Nm</w:t>
      </w:r>
      <w:r>
        <w:t xml:space="preserve"> </w:t>
      </w:r>
      <w:r>
        <w:t>−3</w:t>
      </w:r>
      <w:r>
        <w:t xml:space="preserve"> </w:t>
      </w:r>
      <w:r>
        <w:t>and maintains robust stability (&amp;gt;600 h at 500 mA cm</w:t>
      </w:r>
      <w:r>
        <w:t xml:space="preserve"> </w:t>
      </w:r>
      <w:r>
        <w:t>−2</w:t>
      </w:r>
      <w:r>
        <w:t xml:space="preserve"> </w:t>
      </w:r>
      <w:r>
        <w:t>) with an ultra‐low degradation rate of 0.18 mV h</w:t>
      </w:r>
      <w:r>
        <w:t xml:space="preserve"> </w:t>
      </w:r>
      <w:r>
        <w:t>−1</w:t>
      </w:r>
      <w:r>
        <w:t xml:space="preserve"> </w:t>
      </w:r>
      <w:r>
        <w:t>. This work establishes coordination‐driven microenvironment engineering as a generalizable paradigm for durable electrocatalyst design.</w:t>
      </w:r>
    </w:p>
    <w:p>
      <w:pPr>
        <w:spacing w:before="120" w:after="120"/>
      </w:pPr>
      <w:r>
        <w:rPr>
          <w:sz w:val="18"/>
        </w:rPr>
        <w:t>——————————————————————————————————————————————————————————————————————</w:t>
      </w:r>
    </w:p>
    <w:p>
      <w:pPr>
        <w:spacing w:before="160" w:after="40" w:line="240" w:lineRule="auto"/>
      </w:pPr>
      <w:r>
        <w:rPr>
          <w:b/>
        </w:rPr>
        <w:t xml:space="preserve">[6] </w:t>
      </w:r>
      <w:hyperlink r:id="rId112">
        <w:r>
          <w:rPr>
            <w:color w:val="1155CC"/>
            <w:u w:val="single"/>
          </w:rPr>
          <w:t>海上风氢能岛的黑启动设计：并网电池和风力涡轮机技术的作用</w:t>
        </w:r>
      </w:hyperlink>
    </w:p>
    <w:p>
      <w:pPr>
        <w:spacing w:before="0" w:after="80"/>
      </w:pPr>
      <w:r>
        <w:rPr>
          <w:i/>
          <w:sz w:val="20"/>
        </w:rPr>
        <w:t>EN: Black start design for offshore wind–hydrogen energy Islands: Role of grid-forming battery and wind turbine technologies</w:t>
      </w:r>
    </w:p>
    <w:p>
      <w:pPr>
        <w:spacing w:before="0" w:after="120"/>
      </w:pPr>
      <w:r>
        <w:rPr>
          <w:b/>
        </w:rPr>
        <w:t xml:space="preserve">Source: </w:t>
      </w:r>
      <w:r>
        <w:t>ScienceDirect Publication: Applied Energy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202">
        <w:r>
          <w:rPr>
            <w:color w:val="1155CC"/>
            <w:u w:val="single"/>
          </w:rPr>
          <w:t>PEM 水电解中氢交叉预测和高压外推的硬约束物理残差网络</w:t>
        </w:r>
      </w:hyperlink>
    </w:p>
    <w:p>
      <w:pPr>
        <w:spacing w:before="0" w:after="80"/>
      </w:pPr>
      <w:r>
        <w:rPr>
          <w:i/>
          <w:sz w:val="20"/>
        </w:rPr>
        <w:t>EN: Hard-constraint physics-residual networks for hydrogen crossover prediction and high-pressure extrapolation in PEM water electrolysis</w:t>
      </w:r>
    </w:p>
    <w:p>
      <w:pPr>
        <w:spacing w:before="0" w:after="120"/>
      </w:pPr>
      <w:r>
        <w:rPr>
          <w:b/>
        </w:rPr>
        <w:t xml:space="preserve">Source: </w:t>
      </w:r>
      <w:r>
        <w:t>ScienceDirect Publication: Applied Energy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03">
        <w:r>
          <w:rPr>
            <w:color w:val="1155CC"/>
            <w:u w:val="single"/>
          </w:rPr>
          <w:t>完整的连接子去对称化使得能够构建包含两种类型的用于氨捕获的六锆节点的 EFT 拓扑 Zr(IV)-MOF</w:t>
        </w:r>
      </w:hyperlink>
    </w:p>
    <w:p>
      <w:pPr>
        <w:spacing w:before="0" w:after="80"/>
      </w:pPr>
      <w:r>
        <w:rPr>
          <w:i/>
          <w:sz w:val="20"/>
        </w:rPr>
        <w:t>EN: Complete Linker Desymmetrization Enabled Construction of an eft‐Topological Zr(IV)‐MOF Comprising Two Types of Hexazirconium Nodes for Ammonia Capture</w:t>
      </w:r>
    </w:p>
    <w:p>
      <w:pPr>
        <w:spacing w:before="0" w:after="120"/>
      </w:pPr>
      <w:r>
        <w:rPr>
          <w:b/>
        </w:rPr>
        <w:t xml:space="preserve">Source: </w:t>
      </w:r>
      <w:r>
        <w:t>Wiley: Angewandte Chemie International Edition: Table of Contents</w:t>
      </w:r>
      <w:r>
        <w:t xml:space="preserve">    </w:t>
      </w:r>
      <w:r>
        <w:rPr>
          <w:b/>
        </w:rPr>
        <w:t xml:space="preserve">Pub date: </w:t>
      </w:r>
      <w:r>
        <w:t>2026-06-21 15:40:16+00:00</w:t>
      </w:r>
      <w:r>
        <w:t xml:space="preserve">    </w:t>
      </w:r>
      <w:r>
        <w:rPr>
          <w:b/>
        </w:rPr>
        <w:t xml:space="preserve">DOI: </w:t>
      </w:r>
      <w:hyperlink r:id="rId204">
        <w:r>
          <w:rPr>
            <w:color w:val="1155CC"/>
            <w:u w:val="single"/>
          </w:rPr>
          <w:t>10.1002/anie.9211185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理性设计和偶然发现构成了分子科学的两个轮子。尽管在网状化学原理的指导下从高度对称的连接体构建金属有机框架取得了丰硕的成果，但具有不对称有机连接体的合成原理的制定虽然对于针对意想不到的结构和功能至关重要，但尚未得到充分发展。在此，我们实现了基于 Zr(IV) 的 MOF (SJTU-24)，具有计算模型的三节 (3,4,8) 连接</w:t>
      </w:r>
      <w:r>
        <w:t xml:space="preserve"> </w:t>
      </w:r>
      <w:r>
        <w:t>埃夫特</w:t>
      </w:r>
      <w:r>
        <w:t xml:space="preserve"> </w:t>
      </w:r>
      <w:r>
        <w:t>拓扑结构中两种类型的 Zr</w:t>
      </w:r>
      <w:r>
        <w:rPr>
          <w:vertAlign w:val="subscript"/>
        </w:rPr>
        <w:t>6</w:t>
      </w:r>
      <w:r>
        <w:t>通过完整的链接子去对称化方法，二级构建单元（SBU）共存，包括前所未有的 4 连接凹协调图。据我们所知，这种拓扑结构尚未在 Zr 基 MOF 中通过实验实现，这凸显了连接子对称性操作在发现具有非默认拓扑结构的材料中的关键作用。 SJTU-24 在 Zr 基 MOF 中表现出优异的氨捕获性能，在 1 和 0.1 bar 下分别达到 14.1 和 4.8 mmol/g 吸附容量。半原位红外 (IR) 和 X 射线光电子能谱 (XPS) 研究破译了 Zr 中的两个 Brønsted 酸性羟基位点</w:t>
      </w:r>
      <w:r>
        <w:rPr>
          <w:vertAlign w:val="subscript"/>
        </w:rPr>
        <w:t>6</w:t>
      </w:r>
      <w:r>
        <w:t>连接子中的 SBU 和单齿配位的羧酸酯部分参与与 NH 的相互作用</w:t>
      </w:r>
      <w:r>
        <w:rPr>
          <w:vertAlign w:val="subscript"/>
        </w:rPr>
        <w:t>3</w:t>
      </w:r>
      <w:r>
        <w:t>。这项工作因此提供</w:t>
      </w:r>
    </w:p>
    <w:p>
      <w:pPr>
        <w:spacing w:before="0" w:after="200" w:lineRule="auto" w:line="276"/>
      </w:pPr>
      <w:r>
        <w:rPr>
          <w:b/>
        </w:rPr>
        <w:t xml:space="preserve">Abstract (EN): </w:t>
      </w:r>
      <w:r>
        <w:t>Rational design and serendipitous discovery constitute the two wheels of molecular science. Despite the fruitful achievements of constructing metal‐organic frameworks from highly symmetric linkers under the guidance of reticular chemistry principles, the formulation of synthetic principles with unsymmetric organic linkers, while fundamentally important for targeting unexpected structures and functions, has been underdeveloped. Herein, we achieved a Zr(IV)‐based MOF (SJTU‐24) with a computationally modelled trinodal (3,4,8)‐connected</w:t>
      </w:r>
      <w:r>
        <w:t xml:space="preserve"> </w:t>
      </w:r>
      <w:r>
        <w:t>eft</w:t>
      </w:r>
      <w:r>
        <w:t xml:space="preserve"> </w:t>
      </w:r>
      <w:r>
        <w:t>topology where two types of Zr</w:t>
      </w:r>
      <w:r>
        <w:rPr>
          <w:vertAlign w:val="subscript"/>
        </w:rPr>
        <w:t>6</w:t>
      </w:r>
      <w:r>
        <w:t>secondary building units (SBUs) co‐exist, including an unprecedented 4‐connected concave coordination figure, through a complete linker desymmetrization approach. This topology, to our knowledge, has not been experimentally achieved in Zr‐based MOFs, highlighting the pivotal role of linker symmetry manipulation in the discovery of materials with non‐default topology. SJTU‐24 exhibits exceptional ammonia capture performance among Zr‐based MOFs, reaching 14.1 and 4.8 mmol/g adsorption capacity at 1 and 0.1 bar, respectively. Semi‐in situ Infrared (IR) and x‐ray photoelectron spectroscopic (XPS) studies decipher that both the Brønsted acidic hydroxyl sites in the Zr</w:t>
      </w:r>
      <w:r>
        <w:rPr>
          <w:vertAlign w:val="subscript"/>
        </w:rPr>
        <w:t>6</w:t>
      </w:r>
      <w:r>
        <w:t>SBUs and the monodentately‐coordinated carboxylate moieties in the linkers participate in the interactions with NH</w:t>
      </w:r>
      <w:r>
        <w:rPr>
          <w:vertAlign w:val="subscript"/>
        </w:rPr>
        <w:t>3</w:t>
      </w:r>
      <w:r>
        <w:t>. This work, thus provides a valuable insight into leveraging complete linker desymmetrization engineering to unlock non‐default and sophisticated structures with improved properties.</w:t>
      </w:r>
    </w:p>
    <w:p>
      <w:pPr>
        <w:spacing w:before="120" w:after="120"/>
      </w:pPr>
      <w:r>
        <w:rPr>
          <w:sz w:val="18"/>
        </w:rPr>
        <w:t>——————————————————————————————————————————————————————————————————————</w:t>
      </w:r>
    </w:p>
    <w:p>
      <w:pPr>
        <w:spacing w:before="160" w:after="40" w:line="240" w:lineRule="auto"/>
      </w:pPr>
      <w:r>
        <w:rPr>
          <w:b/>
        </w:rPr>
        <w:t xml:space="preserve">[9] </w:t>
      </w:r>
      <w:hyperlink r:id="rId205">
        <w:r>
          <w:rPr>
            <w:color w:val="1155CC"/>
            <w:u w:val="single"/>
          </w:rPr>
          <w:t>超分子质子高速公路的构造转变</w:t>
        </w:r>
      </w:hyperlink>
    </w:p>
    <w:p>
      <w:pPr>
        <w:spacing w:before="0" w:after="80"/>
      </w:pPr>
      <w:r>
        <w:rPr>
          <w:i/>
          <w:sz w:val="20"/>
        </w:rPr>
        <w:t>EN: A tectonic shift in supramolecular proton highways</w:t>
      </w:r>
    </w:p>
    <w:p>
      <w:pPr>
        <w:spacing w:before="0" w:after="120"/>
      </w:pPr>
      <w:r>
        <w:rPr>
          <w:b/>
        </w:rPr>
        <w:t xml:space="preserve">Source: </w:t>
      </w:r>
      <w:r>
        <w:t>Nature Chemistry</w:t>
      </w:r>
      <w:r>
        <w:t xml:space="preserve">    </w:t>
      </w:r>
      <w:r>
        <w:rPr>
          <w:b/>
        </w:rPr>
        <w:t xml:space="preserve">Pub date: </w:t>
      </w:r>
      <w:r>
        <w:t>2026-06-22 00:00:00+00:00</w:t>
      </w:r>
      <w:r>
        <w:t xml:space="preserve">    </w:t>
      </w:r>
      <w:r>
        <w:rPr>
          <w:b/>
        </w:rPr>
        <w:t xml:space="preserve">DOI: </w:t>
      </w:r>
      <w:hyperlink r:id="rId206">
        <w:r>
          <w:rPr>
            <w:color w:val="1155CC"/>
            <w:u w:val="single"/>
          </w:rPr>
          <w:t>10.1038/s41557-026-02183-w</w:t>
        </w:r>
      </w:hyperlink>
    </w:p>
    <w:p>
      <w:pPr>
        <w:spacing w:before="0" w:after="120"/>
      </w:pPr>
      <w:r>
        <w:rPr>
          <w:b/>
        </w:rPr>
        <w:t xml:space="preserve">Notes: </w:t>
      </w:r>
      <w:r>
        <w:t>abstract_source=nature_html</w:t>
      </w:r>
    </w:p>
    <w:p>
      <w:pPr>
        <w:spacing w:before="0" w:after="80" w:lineRule="auto" w:line="276"/>
      </w:pPr>
      <w:r>
        <w:rPr>
          <w:b/>
        </w:rPr>
        <w:t xml:space="preserve">摘要（ZH）: </w:t>
      </w:r>
      <w:r>
        <w:t>虽然质子交换膜中选择性、快速的质子传输对于燃料电池应用至关重要，但高性能、无序系统与那些定义明确但导电性差的系统之间存在结构-功能差距。现在，一种明确的自组装材料将分子设计与所需的电导率联系起来。</w:t>
      </w:r>
    </w:p>
    <w:p>
      <w:pPr>
        <w:spacing w:before="0" w:after="200" w:lineRule="auto" w:line="276"/>
      </w:pPr>
      <w:r>
        <w:rPr>
          <w:b/>
        </w:rPr>
        <w:t xml:space="preserve">Abstract (EN): </w:t>
      </w:r>
      <w:r>
        <w:t>While selective, rapid proton transport in proton exchange membranes is crucial for fuel cell applications, there is a structure–function gap between high-performing, disordered systems and those that are well-defined, yet poorly conductive. Now, a well-defined, self-assembled material links molecular design to desirable conductivities.</w:t>
      </w:r>
    </w:p>
    <w:p>
      <w:pPr>
        <w:spacing w:before="120" w:after="120"/>
      </w:pPr>
      <w:r>
        <w:rPr>
          <w:sz w:val="18"/>
        </w:rPr>
        <w:t>——————————————————————————————————————————————————————————————————————</w:t>
      </w:r>
    </w:p>
    <w:p>
      <w:pPr>
        <w:spacing w:before="160" w:after="40" w:line="240" w:lineRule="auto"/>
      </w:pPr>
      <w:r>
        <w:rPr>
          <w:b/>
        </w:rPr>
        <w:t xml:space="preserve">[10] </w:t>
      </w:r>
      <w:hyperlink r:id="rId207">
        <w:r>
          <w:rPr>
            <w:color w:val="1155CC"/>
            <w:u w:val="single"/>
          </w:rPr>
          <w:t>绿氢流量波动下草酸二甲酯加氢工艺动态多目标运行优化</w:t>
        </w:r>
      </w:hyperlink>
    </w:p>
    <w:p>
      <w:pPr>
        <w:spacing w:before="0" w:after="80"/>
      </w:pPr>
      <w:r>
        <w:rPr>
          <w:i/>
          <w:sz w:val="20"/>
        </w:rPr>
        <w:t>EN: Dynamic multi-objective operation optimization of dimethyl oxalate hydrogenation process under green hydrogen flow fluctuation</w:t>
      </w:r>
    </w:p>
    <w:p>
      <w:pPr>
        <w:spacing w:before="0" w:after="120"/>
      </w:pPr>
      <w:r>
        <w:rPr>
          <w:b/>
        </w:rPr>
        <w:t xml:space="preserve">Source: </w:t>
      </w:r>
      <w:r>
        <w:t>ScienceDirect Publication: Applied Energy</w:t>
      </w:r>
      <w:r>
        <w:t xml:space="preserve">    </w:t>
      </w:r>
      <w:r>
        <w:rPr>
          <w:b/>
        </w:rPr>
        <w:t xml:space="preserve">Pub date: </w:t>
      </w:r>
      <w:r>
        <w:t>2026-06-22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08">
        <w:r>
          <w:rPr>
            <w:color w:val="1155CC"/>
            <w:u w:val="single"/>
          </w:rPr>
          <w:t>Ni/NiFe层状双氢氧化物复合材料中电子隔离带固化的Fe─O键用于稳定的安培级模拟海水氧化</w:t>
        </w:r>
      </w:hyperlink>
    </w:p>
    <w:p>
      <w:pPr>
        <w:spacing w:before="0" w:after="80"/>
      </w:pPr>
      <w:r>
        <w:rPr>
          <w:i/>
          <w:sz w:val="20"/>
        </w:rPr>
        <w:t>EN: Electron‐Isolating Band Solidified Fe─O Bond in Ni/NiFe Layered Double Hydroxide Composite for Stable Ampere‐Level Simulated Seawater Oxidation</w:t>
      </w:r>
    </w:p>
    <w:p>
      <w:pPr>
        <w:spacing w:before="0" w:after="120"/>
      </w:pPr>
      <w:r>
        <w:rPr>
          <w:b/>
        </w:rPr>
        <w:t xml:space="preserve">Source: </w:t>
      </w:r>
      <w:r>
        <w:t>Wiley: Angewandte Chemie International Edition: Table of Contents</w:t>
      </w:r>
      <w:r>
        <w:t xml:space="preserve">    </w:t>
      </w:r>
      <w:r>
        <w:rPr>
          <w:b/>
        </w:rPr>
        <w:t xml:space="preserve">Pub date: </w:t>
      </w:r>
      <w:r>
        <w:t>2026-06-22 13:41:21+00:00</w:t>
      </w:r>
      <w:r>
        <w:t xml:space="preserve">    </w:t>
      </w:r>
      <w:r>
        <w:rPr>
          <w:b/>
        </w:rPr>
        <w:t xml:space="preserve">DOI: </w:t>
      </w:r>
      <w:hyperlink r:id="rId209">
        <w:r>
          <w:rPr>
            <w:color w:val="1155CC"/>
            <w:u w:val="single"/>
          </w:rPr>
          <w:t>10.1002/anie.4672990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铁离子的溶解会引发镍铁层状双氢氧化物（NiFe LDH）不可逆的结构崩溃并导致灾难性的失活，这对其在可持续制氢中的实施提出了巨大的挑战。本文通过调整还原共沉淀法合成的 Ni/NiFe LDH 复合材料中 Ni 纳米粒子的含量，Fe t</w:t>
      </w:r>
      <w:r>
        <w:t xml:space="preserve"> </w:t>
      </w:r>
      <w:r>
        <w:t>2克</w:t>
      </w:r>
      <w:r>
        <w:t xml:space="preserve"> </w:t>
      </w:r>
      <w:r>
        <w:t>调节轨道占据以保护 Fe─O 键不被裂解。具体来说，大量电子从 Ni 转移到 Fe t</w:t>
      </w:r>
      <w:r>
        <w:t xml:space="preserve"> </w:t>
      </w:r>
      <w:r>
        <w:t>2克</w:t>
      </w:r>
      <w:r>
        <w:t xml:space="preserve"> </w:t>
      </w:r>
      <w:r>
        <w:t>轨道，Fe t 的低能反键</w:t>
      </w:r>
      <w:r>
        <w:t xml:space="preserve"> </w:t>
      </w:r>
      <w:r>
        <w:t>2克</w:t>
      </w:r>
      <w:r>
        <w:t xml:space="preserve"> </w:t>
      </w:r>
      <w:r>
        <w:t>* 能带与 (Fe─O) 键带分离，位于费米能级附近并与之交叉，X 射线吸收光谱 (XAS) 和计算的态密度证明了这一点。该能带充当电子隔离带，以避免电子从（Fe─O）键带中移出，这显着固化了原位XAS所证实的Fe─O键。此外，调制降低了 Cl 的吸附能</w:t>
      </w:r>
      <w:r>
        <w:t xml:space="preserve"> </w:t>
      </w:r>
      <w:r>
        <w:t>-</w:t>
      </w:r>
      <w:r>
        <w:t>，抑制海水电解中氯化物引起的电催化剂腐蚀。因此，最佳样品在 1 A cm 下稳定工作</w:t>
      </w:r>
      <w:r>
        <w:t xml:space="preserve"> </w:t>
      </w:r>
      <w:r>
        <w:t>−2</w:t>
      </w:r>
      <w:r>
        <w:t xml:space="preserve"> </w:t>
      </w:r>
      <w:r>
        <w:t>在模拟海水氧化条件下，在三电极系统中超过 10 000 小时，在阴离子交换膜水电解槽中超过 450 小时，跻身最先进的粉末型 NiFe LDH 基催化剂行列</w:t>
      </w:r>
    </w:p>
    <w:p>
      <w:pPr>
        <w:spacing w:before="0" w:after="200" w:lineRule="auto" w:line="276"/>
      </w:pPr>
      <w:r>
        <w:rPr>
          <w:b/>
        </w:rPr>
        <w:t xml:space="preserve">Abstract (EN): </w:t>
      </w:r>
      <w:r>
        <w:t>The dissolution of iron ions triggers irreversible structural collapse and resultant catastrophic deactivation in NiFe‐layered double hydroxides (NiFe LDHs), representing a formidable challenge to their implementation in sustainable hydrogen production. Herein, by adjusting the Ni nanoparticle content in Ni/NiFe LDH composites synthesized via reduction–coprecipitation method, Fe t</w:t>
      </w:r>
      <w:r>
        <w:t xml:space="preserve"> </w:t>
      </w:r>
      <w:r>
        <w:t>2g</w:t>
      </w:r>
      <w:r>
        <w:t xml:space="preserve"> </w:t>
      </w:r>
      <w:r>
        <w:t>orbital occupancy is regulated to protect the Fe─O bond from cleavage. Specifically, with considerable electron transfer from Ni to Fe t</w:t>
      </w:r>
      <w:r>
        <w:t xml:space="preserve"> </w:t>
      </w:r>
      <w:r>
        <w:t>2g</w:t>
      </w:r>
      <w:r>
        <w:t xml:space="preserve"> </w:t>
      </w:r>
      <w:r>
        <w:t>orbital, the low‐energy antibonding of Fe t</w:t>
      </w:r>
      <w:r>
        <w:t xml:space="preserve"> </w:t>
      </w:r>
      <w:r>
        <w:t>2g</w:t>
      </w:r>
      <w:r>
        <w:t xml:space="preserve"> </w:t>
      </w:r>
      <w:r>
        <w:t>* band separates from the (Fe─O) bonding band, lying near and crossing the Fermi level, as evidenced by x‐ray absorption spectra (XAS) and the calculated density of states. This band serves as an electron‐isolating band to avoid electron removal from the (Fe─O) bonding band, which significantly solidifies the Fe─O bond confirmed by operando XAS. Additionally, the modulation lowers the adsorption energy of Cl</w:t>
      </w:r>
      <w:r>
        <w:t xml:space="preserve"> </w:t>
      </w:r>
      <w:r>
        <w:t>−</w:t>
      </w:r>
      <w:r>
        <w:t>, suppressing the chloride‐induced electrocatalyst corrosion in seawater electrolysis. Consequently, the optimal sample operates stably at 1 A cm</w:t>
      </w:r>
      <w:r>
        <w:t xml:space="preserve"> </w:t>
      </w:r>
      <w:r>
        <w:t>−2</w:t>
      </w:r>
      <w:r>
        <w:t xml:space="preserve"> </w:t>
      </w:r>
      <w:r>
        <w:t>for over 10 000 h in the three‐electrode system and beyond 450 h in an anion‐exchange membrane water electrolyzer under simulated seawater oxidation, ranking among the state‐of‐the‐art powder‐type NiFe LDH‐based catalysts. This work highlights the manipulation of antibonding orbital state for fundamentally enhancing electrocatalyst stability.</w:t>
      </w:r>
    </w:p>
    <w:p>
      <w:pPr>
        <w:spacing w:before="120" w:after="120"/>
      </w:pPr>
      <w:r>
        <w:rPr>
          <w:sz w:val="18"/>
        </w:rPr>
        <w:t>——————————————————————————————————————————————————————————————————————</w:t>
      </w:r>
    </w:p>
    <w:p>
      <w:pPr>
        <w:spacing w:before="160" w:after="40" w:line="240" w:lineRule="auto"/>
      </w:pPr>
      <w:r>
        <w:rPr>
          <w:b/>
        </w:rPr>
        <w:t xml:space="preserve">[12] </w:t>
      </w:r>
      <w:hyperlink r:id="rId210">
        <w:r>
          <w:rPr>
            <w:color w:val="1155CC"/>
            <w:u w:val="single"/>
          </w:rPr>
          <w:t>增强具有高表面积和高稳定性的共价有机框架中的内置电场，以提高光催化活性</w:t>
        </w:r>
      </w:hyperlink>
    </w:p>
    <w:p>
      <w:pPr>
        <w:spacing w:before="0" w:after="80"/>
      </w:pPr>
      <w:r>
        <w:rPr>
          <w:i/>
          <w:sz w:val="20"/>
        </w:rPr>
        <w:t>EN: Enhancing Built‐in Electric Fields in Covalent Organic Frameworks With High Surface Area and High Stability for Boosted Photocatalytic Activity</w:t>
      </w:r>
    </w:p>
    <w:p>
      <w:pPr>
        <w:spacing w:before="0" w:after="120"/>
      </w:pPr>
      <w:r>
        <w:rPr>
          <w:b/>
        </w:rPr>
        <w:t xml:space="preserve">Source: </w:t>
      </w:r>
      <w:r>
        <w:t>Wiley: Angewandte Chemie International Edition: Table of Contents</w:t>
      </w:r>
      <w:r>
        <w:t xml:space="preserve">    </w:t>
      </w:r>
      <w:r>
        <w:rPr>
          <w:b/>
        </w:rPr>
        <w:t xml:space="preserve">Pub date: </w:t>
      </w:r>
      <w:r>
        <w:t>2026-06-22 13:59:13+00:00</w:t>
      </w:r>
      <w:r>
        <w:t xml:space="preserve">    </w:t>
      </w:r>
      <w:r>
        <w:rPr>
          <w:b/>
        </w:rPr>
        <w:t xml:space="preserve">DOI: </w:t>
      </w:r>
      <w:hyperlink r:id="rId211">
        <w:r>
          <w:rPr>
            <w:color w:val="1155CC"/>
            <w:u w:val="single"/>
          </w:rPr>
          <w:t>10.1002/anie.6138540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内建电场（BIEF）是控制光生电荷载流子分离、转移和寿命的基本驱动力，从而决定光催化剂的活性。在此，开发了一种局部p-π共轭调节策略，以将共价有机框架（COF）中的BIEF定制为先进的光催化剂。在温和条件下通过席夫碱反应合成了三种COFs：NKU-191、NKU-191-OH和NKU-191-OMe，具有强耐酸碱性、高稳定性和高比表面积。在不改变其内在主链结构的情况下，光催化析氢活性从 4.8 mmol g</w:t>
      </w:r>
      <w:r>
        <w:t xml:space="preserve"> </w:t>
      </w:r>
      <w:r>
        <w:t>−1</w:t>
      </w:r>
      <w:r>
        <w:t xml:space="preserve"> </w:t>
      </w:r>
      <w:r>
        <w:t>小时</w:t>
      </w:r>
      <w:r>
        <w:t xml:space="preserve"> </w:t>
      </w:r>
      <w:r>
        <w:t>−1</w:t>
      </w:r>
      <w:r>
        <w:t xml:space="preserve"> </w:t>
      </w:r>
      <w:r>
        <w:t>(NKU-191) 至 35.6 mmol g</w:t>
      </w:r>
      <w:r>
        <w:t xml:space="preserve"> </w:t>
      </w:r>
      <w:r>
        <w:t>−1</w:t>
      </w:r>
      <w:r>
        <w:t xml:space="preserve"> </w:t>
      </w:r>
      <w:r>
        <w:t>小时</w:t>
      </w:r>
      <w:r>
        <w:t xml:space="preserve"> </w:t>
      </w:r>
      <w:r>
        <w:t>−1</w:t>
      </w:r>
      <w:r>
        <w:t xml:space="preserve"> </w:t>
      </w:r>
      <w:r>
        <w:t>（NKU-191-OMe）。综合表征和系统分析表明，给电子基团的引入有效增强了COF骨架内的局部p-π共轭，从而增强了BIEF强度。这种增强的 BIEF 加速了光生电荷载流子的分离和迁移动力学，从而实现了显着的光催化活性。这项工作不仅建立了一种简便的合成方案来合成具有高比表面积和高稳定性的COF，而且阐明了局部p-π共轭在调节COF基光催化剂BIEF强度中的调节作用</w:t>
      </w:r>
    </w:p>
    <w:p>
      <w:pPr>
        <w:spacing w:before="0" w:after="200" w:lineRule="auto" w:line="276"/>
      </w:pPr>
      <w:r>
        <w:rPr>
          <w:b/>
        </w:rPr>
        <w:t xml:space="preserve">Abstract (EN): </w:t>
      </w:r>
      <w:r>
        <w:t>The built‐in electric field (BIEF) is a fundamental driving force governing the separation, transfer, and lifetime of photogenerated charge carriers, thereby dictating the activity of photocatalysts. Herein, a local p–π conjugation regulation strategy was developed to tailor the BIEF in covalent organic frameworks (COFs) as advanced photocatalysts. Three COFs of NKU‐191, NKU‐191‐OH, and NKU‐191‐OMe, featuring robust acid–base resistance, high stability, and high specific surface area, were synthesized via Schiff base reactions under mild conditions. Without altering their intrinsic backbone structure, the photocatalytic hydrogen evolution activity was enhanced from 4.8 mmol g</w:t>
      </w:r>
      <w:r>
        <w:t xml:space="preserve"> </w:t>
      </w:r>
      <w:r>
        <w:t>−1</w:t>
      </w:r>
      <w:r>
        <w:t xml:space="preserve"> </w:t>
      </w:r>
      <w:r>
        <w:t>h</w:t>
      </w:r>
      <w:r>
        <w:t xml:space="preserve"> </w:t>
      </w:r>
      <w:r>
        <w:t>−1</w:t>
      </w:r>
      <w:r>
        <w:t xml:space="preserve"> </w:t>
      </w:r>
      <w:r>
        <w:t>(NKU‐191) to 35.6 mmol g</w:t>
      </w:r>
      <w:r>
        <w:t xml:space="preserve"> </w:t>
      </w:r>
      <w:r>
        <w:t>−1</w:t>
      </w:r>
      <w:r>
        <w:t xml:space="preserve"> </w:t>
      </w:r>
      <w:r>
        <w:t>h</w:t>
      </w:r>
      <w:r>
        <w:t xml:space="preserve"> </w:t>
      </w:r>
      <w:r>
        <w:t>−1</w:t>
      </w:r>
      <w:r>
        <w:t xml:space="preserve"> </w:t>
      </w:r>
      <w:r>
        <w:t>(NKU‐191‐OMe). Comprehensive characterizations and systematic analysis revealed that the introduction of electron‐donating groups effectively strengthens the local p–π conjugation within the COF skeletons, which in turn reinforces the BIEF intensity. This enhanced BIEF accelerates the separation and migration kinetics of photogenerated charge carriers, thereby enabling remarkable photocatalytic activity. This work not only establishes a facile synthetic protocol for synthesizing COFs with high specific surface areas and high stability but also clarifies the regulatory role of local p–π conjugation in regulating the BIEF intensity of COF‐based photocatalysts, providing valuable insights for promoting the rational design and development of high‐performance COF‐based photocatalysts.</w:t>
      </w:r>
    </w:p>
    <w:p>
      <w:pPr>
        <w:spacing w:before="120" w:after="120"/>
      </w:pPr>
      <w:r>
        <w:rPr>
          <w:sz w:val="18"/>
        </w:rPr>
        <w:t>——————————————————————————————————————————————————————————————————————</w:t>
      </w:r>
    </w:p>
    <w:p>
      <w:pPr>
        <w:spacing w:before="160" w:after="40" w:line="240" w:lineRule="auto"/>
      </w:pPr>
      <w:r>
        <w:rPr>
          <w:b/>
        </w:rPr>
        <w:t xml:space="preserve">[13] </w:t>
      </w:r>
      <w:hyperlink r:id="rId52">
        <w:r>
          <w:rPr>
            <w:color w:val="1155CC"/>
            <w:u w:val="single"/>
          </w:rPr>
          <w:t>呼吸双金属 MOF 限域多金属氧酸盐用于水合层松动和电子重新分布以实现高效硝酸盐电还原和硝酸锌电池</w:t>
        </w:r>
      </w:hyperlink>
    </w:p>
    <w:p>
      <w:pPr>
        <w:spacing w:before="0" w:after="80"/>
      </w:pPr>
      <w:r>
        <w:rPr>
          <w:i/>
          <w:sz w:val="20"/>
        </w:rPr>
        <w:t>EN: Breathing Bimetallic MOF Confined Polyoxometalates for Hydration Layer Loosening and Electronic Redistribution Toward Efficient Nitrate Electroreduction and Zn−Nitrate Batteries</w:t>
      </w:r>
    </w:p>
    <w:p>
      <w:pPr>
        <w:spacing w:before="0" w:after="120"/>
      </w:pPr>
      <w:r>
        <w:rPr>
          <w:b/>
        </w:rPr>
        <w:t xml:space="preserve">Source: </w:t>
      </w:r>
      <w:r>
        <w:t>Wiley: Angewandte Chemie International Edition: Table of Contents</w:t>
      </w:r>
      <w:r>
        <w:t xml:space="preserve">    </w:t>
      </w:r>
      <w:r>
        <w:rPr>
          <w:b/>
        </w:rPr>
        <w:t xml:space="preserve">Pub date: </w:t>
      </w:r>
      <w:r>
        <w:t>2026-06-22 14:02:59+00:00</w:t>
      </w:r>
      <w:r>
        <w:t xml:space="preserve">    </w:t>
      </w:r>
      <w:r>
        <w:rPr>
          <w:b/>
        </w:rPr>
        <w:t xml:space="preserve">DOI: </w:t>
      </w:r>
      <w:hyperlink r:id="rId53">
        <w:r>
          <w:rPr>
            <w:color w:val="1155CC"/>
            <w:u w:val="single"/>
          </w:rPr>
          <w:t>10.1002/anie.6487495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哈伯-博世法条件恶劣、能耗高，而电催化硝酸盐还原氨（ENRA）是氨合成的绿色路线，可以作为硝酸锌电池的阴极反应。其发展受到缓慢的中间加氢反应和严重的析氢反应（HER）的限制。在此，我们开发了拓扑工程异构多金属氧酸盐（POM）限制的双金属金属有机骨架（MOF）电催化剂（NH</w:t>
      </w:r>
      <w:r>
        <w:rPr>
          <w:vertAlign w:val="subscript"/>
        </w:rPr>
        <w:t>2</w:t>
      </w:r>
      <w:r>
        <w:t>‐MIL‐53、‐88、‐101)。灵活的NH</w:t>
      </w:r>
      <w:r>
        <w:rPr>
          <w:vertAlign w:val="subscript"/>
        </w:rPr>
        <w:t>2</w:t>
      </w:r>
      <w:r>
        <w:t>‐MIL‐88(FeNi) 能够紧密封装 [PW</w:t>
      </w:r>
      <w:r>
        <w:rPr>
          <w:vertAlign w:val="subscript"/>
        </w:rPr>
        <w:t>12</w:t>
      </w:r>
      <w:r>
        <w:t>氧</w:t>
      </w:r>
      <w:r>
        <w:rPr>
          <w:vertAlign w:val="subscript"/>
        </w:rPr>
        <w:t>40</w:t>
      </w:r>
      <w:r>
        <w:t>]</w:t>
      </w:r>
      <w:r>
        <w:t xml:space="preserve"> </w:t>
      </w:r>
      <w:r>
        <w:t>3−</w:t>
      </w:r>
      <w:r>
        <w:t>（密码</w:t>
      </w:r>
      <w:r>
        <w:rPr>
          <w:vertAlign w:val="subscript"/>
        </w:rPr>
        <w:t>12</w:t>
      </w:r>
      <w:r>
        <w:t>）通过“呼吸效应”聚集，产生PW</w:t>
      </w:r>
      <w:r>
        <w:rPr>
          <w:vertAlign w:val="subscript"/>
        </w:rPr>
        <w:t>12</w:t>
      </w:r>
      <w:r>
        <w:t>@NH</w:t>
      </w:r>
      <w:r>
        <w:rPr>
          <w:vertAlign w:val="subscript"/>
        </w:rPr>
        <w:t>2</w:t>
      </w:r>
      <w:r>
        <w:t>‐MIL‐88(FeNi) 具有协同调制的电子分布和质子转移。结合实验和理论研究表明，受限 PW</w:t>
      </w:r>
      <w:r>
        <w:rPr>
          <w:vertAlign w:val="subscript"/>
        </w:rPr>
        <w:t>12</w:t>
      </w:r>
      <w:r>
        <w:t>诱导 Fe/Ni 中心上的电子重新分布，同时强化 NO</w:t>
      </w:r>
      <w:r>
        <w:rPr>
          <w:vertAlign w:val="subscript"/>
        </w:rPr>
        <w:t>3</w:t>
      </w:r>
      <w:r>
        <w:t>-</w:t>
      </w:r>
      <w:r>
        <w:t>吸附 Fe 并加速 *NO</w:t>
      </w:r>
      <w:r>
        <w:rPr>
          <w:vertAlign w:val="subscript"/>
        </w:rPr>
        <w:t>2</w:t>
      </w:r>
      <w:r>
        <w:t>Ni 上的氢化。除了电子效应之外，PW</w:t>
      </w:r>
      <w:r>
        <w:rPr>
          <w:vertAlign w:val="subscript"/>
        </w:rPr>
        <w:t>12</w:t>
      </w:r>
      <w:r>
        <w:t>放松坚硬的水化层</w:t>
      </w:r>
    </w:p>
    <w:p>
      <w:pPr>
        <w:spacing w:before="0" w:after="200" w:lineRule="auto" w:line="276"/>
      </w:pPr>
      <w:r>
        <w:rPr>
          <w:b/>
        </w:rPr>
        <w:t xml:space="preserve">Abstract (EN): </w:t>
      </w:r>
      <w:r>
        <w:t>The traditional Haber‐Bosch method suffers from harsh conditions and high energy consumption, while electrocatalytic nitrate reduction to ammonia (ENRA) is a green route for ammonia synthesis and can serve as a cathode reaction for Zn−nitrate batteries. Its development is limited by sluggish intermediate hydrogenation and severe hydrogen evolution reaction (HER). Herein, we develop topology‐engineered isomeric polyoxometalate (POM)‐confined bimetallic metal‐organic framework (MOF) electrocatalysts (NH</w:t>
      </w:r>
      <w:r>
        <w:rPr>
          <w:vertAlign w:val="subscript"/>
        </w:rPr>
        <w:t>2</w:t>
      </w:r>
      <w:r>
        <w:t>‐MIL‐53, ‐88, ‐101). Flexible NH</w:t>
      </w:r>
      <w:r>
        <w:rPr>
          <w:vertAlign w:val="subscript"/>
        </w:rPr>
        <w:t>2</w:t>
      </w:r>
      <w:r>
        <w:t>‐MIL‐88(FeNi) enables tight encapsulation of [PW</w:t>
      </w:r>
      <w:r>
        <w:rPr>
          <w:vertAlign w:val="subscript"/>
        </w:rPr>
        <w:t>12</w:t>
      </w:r>
      <w:r>
        <w:t>O</w:t>
      </w:r>
      <w:r>
        <w:rPr>
          <w:vertAlign w:val="subscript"/>
        </w:rPr>
        <w:t>40</w:t>
      </w:r>
      <w:r>
        <w:t>]</w:t>
      </w:r>
      <w:r>
        <w:t xml:space="preserve"> </w:t>
      </w:r>
      <w:r>
        <w:t>3−</w:t>
      </w:r>
      <w:r>
        <w:t>(PW</w:t>
      </w:r>
      <w:r>
        <w:rPr>
          <w:vertAlign w:val="subscript"/>
        </w:rPr>
        <w:t>12</w:t>
      </w:r>
      <w:r>
        <w:t>) clusters via the “breathing effect”, yielding PW</w:t>
      </w:r>
      <w:r>
        <w:rPr>
          <w:vertAlign w:val="subscript"/>
        </w:rPr>
        <w:t>12</w:t>
      </w:r>
      <w:r>
        <w:t>@NH</w:t>
      </w:r>
      <w:r>
        <w:rPr>
          <w:vertAlign w:val="subscript"/>
        </w:rPr>
        <w:t>2</w:t>
      </w:r>
      <w:r>
        <w:t>‐MIL‐88(FeNi) with synergistically modulated electronic distribution and proton transfer. Combined experimental and theoretical studies reveal that confined PW</w:t>
      </w:r>
      <w:r>
        <w:rPr>
          <w:vertAlign w:val="subscript"/>
        </w:rPr>
        <w:t>12</w:t>
      </w:r>
      <w:r>
        <w:t>induces electronic redistribution over Fe/Ni centers, concurrently strengthening NO</w:t>
      </w:r>
      <w:r>
        <w:rPr>
          <w:vertAlign w:val="subscript"/>
        </w:rPr>
        <w:t>3</w:t>
      </w:r>
      <w:r>
        <w:t>−</w:t>
      </w:r>
      <w:r>
        <w:t>adsorption on Fe and accelerating *NO</w:t>
      </w:r>
      <w:r>
        <w:rPr>
          <w:vertAlign w:val="subscript"/>
        </w:rPr>
        <w:t>2</w:t>
      </w:r>
      <w:r>
        <w:t>hydrogenation on Ni. Beyond electronic effects, PW</w:t>
      </w:r>
      <w:r>
        <w:rPr>
          <w:vertAlign w:val="subscript"/>
        </w:rPr>
        <w:t>12</w:t>
      </w:r>
      <w:r>
        <w:t>loosens the rigid hydration layer and forms conjugated acid‐base pairs with MOF amino groups, promoting proton diffusion, boosting *NO</w:t>
      </w:r>
      <w:r>
        <w:rPr>
          <w:vertAlign w:val="subscript"/>
        </w:rPr>
        <w:t>2</w:t>
      </w:r>
      <w:r>
        <w:t>hydrogenation, and suppressing HER. Thus, PW</w:t>
      </w:r>
      <w:r>
        <w:rPr>
          <w:vertAlign w:val="subscript"/>
        </w:rPr>
        <w:t>12</w:t>
      </w:r>
      <w:r>
        <w:t>@NH</w:t>
      </w:r>
      <w:r>
        <w:rPr>
          <w:vertAlign w:val="subscript"/>
        </w:rPr>
        <w:t>2</w:t>
      </w:r>
      <w:r>
        <w:t>‐MIL‐88(FeNi) achieves an NH</w:t>
      </w:r>
      <w:r>
        <w:rPr>
          <w:vertAlign w:val="subscript"/>
        </w:rPr>
        <w:t>3</w:t>
      </w:r>
      <w:r>
        <w:t>yield rate of 20.1 mg h</w:t>
      </w:r>
      <w:r>
        <w:t xml:space="preserve"> </w:t>
      </w:r>
      <w:r>
        <w:t>−1</w:t>
      </w:r>
      <w:r>
        <w:t xml:space="preserve"> </w:t>
      </w:r>
      <w:r>
        <w:t>mg</w:t>
      </w:r>
      <w:r>
        <w:t xml:space="preserve"> </w:t>
      </w:r>
      <w:r>
        <w:t>cat.</w:t>
      </w:r>
      <w:r>
        <w:t xml:space="preserve"> </w:t>
      </w:r>
      <w:r>
        <w:t>−1</w:t>
      </w:r>
      <w:r>
        <w:t xml:space="preserve"> </w:t>
      </w:r>
      <w:r>
        <w:t>with a Faradaic efficiency of 98.6% under neutral electrolytes. When used as a cathode in rechargeable Zn−nitrate batteries, it delivers a peak power density of 13.2 mW cm</w:t>
      </w:r>
      <w:r>
        <w:t xml:space="preserve"> </w:t>
      </w:r>
      <w:r>
        <w:t>−2</w:t>
      </w:r>
      <w:r>
        <w:t xml:space="preserve"> </w:t>
      </w:r>
      <w:r>
        <w:t>. This study establishes a generalizable paradigm for engineering interfacial proton transport and electronic properties</w:t>
      </w:r>
      <w:r>
        <w:t xml:space="preserve"> </w:t>
      </w:r>
      <w:r>
        <w:t>via</w:t>
      </w:r>
      <w:r>
        <w:t xml:space="preserve"> </w:t>
      </w:r>
      <w:r>
        <w:t>POM confinement in MOFs.</w:t>
      </w:r>
    </w:p>
    <w:p>
      <w:pPr>
        <w:spacing w:before="120" w:after="120"/>
      </w:pPr>
      <w:r>
        <w:rPr>
          <w:sz w:val="18"/>
        </w:rPr>
        <w:t>——————————————————————————————————————————————————————————————————————</w:t>
      </w:r>
    </w:p>
    <w:p>
      <w:pPr>
        <w:spacing w:before="160" w:after="40" w:line="240" w:lineRule="auto"/>
      </w:pPr>
      <w:r>
        <w:rPr>
          <w:b/>
        </w:rPr>
        <w:t xml:space="preserve">[14] </w:t>
      </w:r>
      <w:hyperlink r:id="rId212">
        <w:r>
          <w:rPr>
            <w:color w:val="1155CC"/>
            <w:u w:val="single"/>
          </w:rPr>
          <w:t>非超强酸催化制备高性能水电解槽阴离子交换膜</w:t>
        </w:r>
      </w:hyperlink>
    </w:p>
    <w:p>
      <w:pPr>
        <w:spacing w:before="0" w:after="80"/>
      </w:pPr>
      <w:r>
        <w:rPr>
          <w:i/>
          <w:sz w:val="20"/>
        </w:rPr>
        <w:t>EN: Non‐Superacid‐Catalyzed Preparation of Anion Exchange Membranes for High‐Performance Water Electrolyzers</w:t>
      </w:r>
    </w:p>
    <w:p>
      <w:pPr>
        <w:spacing w:before="0" w:after="120"/>
      </w:pPr>
      <w:r>
        <w:rPr>
          <w:b/>
        </w:rPr>
        <w:t xml:space="preserve">Source: </w:t>
      </w:r>
      <w:r>
        <w:t>Wiley: Angewandte Chemie International Edition: Table of Contents</w:t>
      </w:r>
      <w:r>
        <w:t xml:space="preserve">    </w:t>
      </w:r>
      <w:r>
        <w:rPr>
          <w:b/>
        </w:rPr>
        <w:t xml:space="preserve">Pub date: </w:t>
      </w:r>
      <w:r>
        <w:t>2026-06-22 14:04:45+00:00</w:t>
      </w:r>
      <w:r>
        <w:t xml:space="preserve">    </w:t>
      </w:r>
      <w:r>
        <w:rPr>
          <w:b/>
        </w:rPr>
        <w:t xml:space="preserve">DOI: </w:t>
      </w:r>
      <w:hyperlink r:id="rId213">
        <w:r>
          <w:rPr>
            <w:color w:val="1155CC"/>
            <w:u w:val="single"/>
          </w:rPr>
          <w:t>10.1002/anie.5675182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阴离子交换膜水电解槽（AEMWE）的最新进展主要是由超酸催化聚合制备的阴离子交换膜（AEM）驱动的。然而，对高腐蚀性三氟甲磺酸（TFSA；pKa = -14.7）同时用作催化剂和溶剂的依赖给工业 AEM 制造带来了重大的安全性、操作性和可扩展性挑战。在此，我们报告了 AEM 的非超强酸聚合策略，利用甲磺酸（MSA；pKa = -1.9）催化亲电子氨基苯甲醛和富电子二苯并-18-冠-6 之间的弗里德尔-克来福特烷基化。冠醚的掺入扩大了链间距，从而促进连续亲水离子传导通道的形成。此外，钾离子与冠醚部分的络合削弱了 K 之间的静电相互作用。</w:t>
      </w:r>
      <w:r>
        <w:t xml:space="preserve"> </w:t>
      </w:r>
      <w:r>
        <w:t>+</w:t>
      </w:r>
      <w:r>
        <w:t xml:space="preserve"> </w:t>
      </w:r>
      <w:r>
        <w:t>和羟基</w:t>
      </w:r>
      <w:r>
        <w:t xml:space="preserve"> </w:t>
      </w:r>
      <w:r>
        <w:t>-</w:t>
      </w:r>
      <w:r>
        <w:t>，从而降低KOH电解质的离解能。因此，优化后的 QPCA-70 膜表现出 628.93 mS cm 的高碱性电导率</w:t>
      </w:r>
      <w:r>
        <w:t xml:space="preserve"> </w:t>
      </w:r>
      <w:r>
        <w:t>−1</w:t>
      </w:r>
      <w:r>
        <w:t xml:space="preserve"> </w:t>
      </w:r>
      <w:r>
        <w:t>在 80 °C 下提供 8.8 A cm 的电流密度</w:t>
      </w:r>
      <w:r>
        <w:t xml:space="preserve"> </w:t>
      </w:r>
      <w:r>
        <w:t>−2</w:t>
      </w:r>
      <w:r>
        <w:t xml:space="preserve"> </w:t>
      </w:r>
      <w:r>
        <w:t>使用 NiFeCo 阳极，电压为 2.0 V。至关重要的是，MSA 是 TFSA 更安全、更实用且更具成本效益的替代品：它消除了与超强酸处理相关的极端危险，从而实现了可扩展、工业上可行且低风险的 A</w:t>
      </w:r>
    </w:p>
    <w:p>
      <w:pPr>
        <w:spacing w:before="0" w:after="200" w:lineRule="auto" w:line="276"/>
      </w:pPr>
      <w:r>
        <w:rPr>
          <w:b/>
        </w:rPr>
        <w:t xml:space="preserve">Abstract (EN): </w:t>
      </w:r>
      <w:r>
        <w:t>Recent advances in anion exchange membrane water electrolyzers (AEMWEs) have been primarily driven by anion exchange membranes (AEMs) prepared via superacid‐catalyzed polymerization. However, the reliance on highly corrosive trifluoromethanesulfonic acid (TFSA; pKa = −14.7) employed both as catalyst and solvent poses significant safety, handling, and scalability challenges for industrial AEM manufacturing. Herein, we report a nonsuperacid polymerization strategy for AEMs, utilizing methanesulfonic acid (MSA; pKa = −1.9) to catalyze the Friedel–Crafts alkylation between electrophilic aminobenzaldehyde and electron‐rich dibenzo‐18‐crown‐6. Crown ether incorporation expands interchain spacing, thereby facilitating the formation of continuous hydrophilic ion‐conducting channels. Furthermore, complexation of potassium ions with crown ether moieties weakens the electrostatic interaction between K</w:t>
      </w:r>
      <w:r>
        <w:t xml:space="preserve"> </w:t>
      </w:r>
      <w:r>
        <w:t>+</w:t>
      </w:r>
      <w:r>
        <w:t xml:space="preserve"> </w:t>
      </w:r>
      <w:r>
        <w:t>and OH</w:t>
      </w:r>
      <w:r>
        <w:t xml:space="preserve"> </w:t>
      </w:r>
      <w:r>
        <w:t>−</w:t>
      </w:r>
      <w:r>
        <w:t>, thereby lowering the dissociation energy of the KOH electrolyte. As a result, the optimized QPCA‐70 membrane exhibits a high alkaline conductivity of 628.93 mS cm</w:t>
      </w:r>
      <w:r>
        <w:t xml:space="preserve"> </w:t>
      </w:r>
      <w:r>
        <w:t>−1</w:t>
      </w:r>
      <w:r>
        <w:t xml:space="preserve"> </w:t>
      </w:r>
      <w:r>
        <w:t>at 80 °C and delivers a current density of 8.8 A cm</w:t>
      </w:r>
      <w:r>
        <w:t xml:space="preserve"> </w:t>
      </w:r>
      <w:r>
        <w:t>−2</w:t>
      </w:r>
      <w:r>
        <w:t xml:space="preserve"> </w:t>
      </w:r>
      <w:r>
        <w:t>at 2.0 V using a NiFeCo anode. Critically, MSA serves as a safer, more practical, and cost‐effective alternative to TFSA: it eliminates the extreme hazards associated with superacid handling, thereby enabling scalable, industrially viable, and low‐risk AEM production.</w:t>
      </w:r>
    </w:p>
    <w:p>
      <w:pPr>
        <w:spacing w:before="120" w:after="120"/>
      </w:pPr>
      <w:r>
        <w:rPr>
          <w:sz w:val="18"/>
        </w:rPr>
        <w:t>——————————————————————————————————————————————————————————————————————</w:t>
      </w:r>
    </w:p>
    <w:p>
      <w:pPr>
        <w:spacing w:before="160" w:after="40" w:line="240" w:lineRule="auto"/>
      </w:pPr>
      <w:r>
        <w:rPr>
          <w:b/>
        </w:rPr>
        <w:t xml:space="preserve">[15] </w:t>
      </w:r>
      <w:hyperlink r:id="rId131">
        <w:r>
          <w:rPr>
            <w:color w:val="1155CC"/>
            <w:u w:val="single"/>
          </w:rPr>
          <w:t>用于锌空气电池和水电解槽的具有精确表面重构的三功能电催化剂</w:t>
        </w:r>
      </w:hyperlink>
    </w:p>
    <w:p>
      <w:pPr>
        <w:spacing w:before="0" w:after="80"/>
      </w:pPr>
      <w:r>
        <w:rPr>
          <w:i/>
          <w:sz w:val="20"/>
        </w:rPr>
        <w:t>EN: Trifunctional electrocatalyst with accurate surface reconstruction for zinc-air batteries and water electrolyzers</w:t>
      </w:r>
    </w:p>
    <w:p>
      <w:pPr>
        <w:spacing w:before="0" w:after="120"/>
      </w:pPr>
      <w:r>
        <w:rPr>
          <w:b/>
        </w:rPr>
        <w:t xml:space="preserve">Source: </w:t>
      </w:r>
      <w:r>
        <w:t>Physical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利用经济高效的三功能电催化剂进行析氧反应、析氢反应和氧还原反应对于可持续能源转换和存储设备非常重要，但也具有挑战性。在这里，我们报道了一种单相三功能电催化剂Sr2CoRuO6-δ，具有明确的超交换双钙钛矿结构，可以在碱性条件下有效催化析氧、析氢和氧还原。作为空气电极，Sr2CoRuO6-δ可为液体可充电锌空气电池提供216 mW cm−2的高峰值功率密度、748 mAh g−1的高比容量和长达1000小时的长寿命，以及固态柔性锌空气电池的广泛温度和变形适应性。此外，采用Sr2CoRuO6-δ作为阴极和阳极的阴离子交换膜水电解槽在电流密度为1 A cm−2时需要1.90 V的电池电压，并且在与波动的太阳能电力耦合时表现出稳定和快速的响应。结合互补的原位和显微技术，全面研究了 Sr2CoRuO6-δ 在不同反应下的时空表面重构行为，并鉴定了真正的活性成分。</w:t>
      </w:r>
    </w:p>
    <w:p>
      <w:pPr>
        <w:spacing w:before="0" w:after="200" w:lineRule="auto" w:line="276"/>
      </w:pPr>
      <w:r>
        <w:rPr>
          <w:b/>
        </w:rPr>
        <w:t xml:space="preserve">Abstract (EN): </w:t>
      </w:r>
      <w:r>
        <w:t>Exploiting cost-effective trifunctional electrocatalysts toward oxygen evolution reaction, hydrogen evolution reaction and oxygen reduction reaction is important for sustainable energy conversion and storage devices yet challenging. Here, we report a single-phase trifunctional electrocatalyst Sr2CoRuO6-δ with well-defined super-exchange double perovskite structure, which can efficiently catalyze oxygen evolution, hydrogen evolution and oxygen reduction under alkaline conditions. As an air electrode, Sr2CoRuO6-δ delivers high peak power density of 216 mW cm−2, high specific capacity of 748 mAh g−1 and long lifespan up to 1000 h for liquid rechargeable zinc-air batteries, as well as broad temperature and deformation adaptability for solid-state flexible zinc-air batteries. Furthermore, an anion exchange membrane water electrolyzer employing Sr2CoRuO6-δ as both cathode and anode requires a cell voltage of 1.90 V at the current density of 1 A cm−2 and shows a stable and rapid response when coupled with fluctuating solar electricity. Combining complementary in-situ and microscopic techniques, spatiotemporal surface reconstruction behavior of Sr2CoRuO6-δ under varied reactions is comprehensively investigated and true active components are identified.</w:t>
      </w:r>
    </w:p>
    <w:p>
      <w:pPr>
        <w:spacing w:before="120" w:after="120"/>
      </w:pPr>
      <w:r>
        <w:rPr>
          <w:sz w:val="18"/>
        </w:rPr>
        <w:t>——————————————————————————————————————————————————————————————————————</w:t>
      </w:r>
    </w:p>
    <w:p>
      <w:pPr>
        <w:spacing w:before="160" w:after="40" w:line="240" w:lineRule="auto"/>
      </w:pPr>
      <w:r>
        <w:rPr>
          <w:b/>
        </w:rPr>
        <w:t xml:space="preserve">[16] </w:t>
      </w:r>
      <w:hyperlink r:id="rId214">
        <w:r>
          <w:rPr>
            <w:color w:val="1155CC"/>
            <w:u w:val="single"/>
          </w:rPr>
          <w:t>空气稳定表面电烯的制备及其在氨合成中的应用</w:t>
        </w:r>
      </w:hyperlink>
    </w:p>
    <w:p>
      <w:pPr>
        <w:spacing w:before="0" w:after="80"/>
      </w:pPr>
      <w:r>
        <w:rPr>
          <w:i/>
          <w:sz w:val="20"/>
        </w:rPr>
        <w:t>EN: Creation of an air-stable surface electrene and its application to ammonia synthesis</w:t>
      </w:r>
    </w:p>
    <w:p>
      <w:pPr>
        <w:spacing w:before="0" w:after="120"/>
      </w:pPr>
      <w:r>
        <w:rPr>
          <w:b/>
        </w:rPr>
        <w:t xml:space="preserve">Source: </w:t>
      </w:r>
      <w:r>
        <w:t>Physical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锂电烯是一种独特的材料，其特征是表面浮动电子层，从而产生超低功函数，使其成为通过电子捐赠催化化学反应的理想候选材料。然而，这些材料对空气和湿气极其敏感，从而限制了它们的潜在应用。在这里，我们证明氧掺杂的 BaSiN2 是一种空气稳定的表面驻电烯。其高活性表面，具有约1.5 eV的超低WF，可以将表面浮动电子捐赠给吸附的N2，形成N2钝化表面，该表面可以通过表面活化的N2氢化不断再生。这种交替途径，特别是在 Ru 负载的帮助下，有效地产生氨：Ru/BaSiN2:O 催化剂在 300 °C 和 0.9 MPa 下表现出 43 mmol gcat−1 h−1 的高氨合成速率，并且与迄今为止报道的最活跃的电子化合物和氢化物基多相催化剂相比，具有优越得多的空气稳定性。这一发现为电烯驱动的多相催化开辟了一条新途径。</w:t>
      </w:r>
    </w:p>
    <w:p>
      <w:pPr>
        <w:spacing w:before="0" w:after="200" w:lineRule="auto" w:line="276"/>
      </w:pPr>
      <w:r>
        <w:rPr>
          <w:b/>
        </w:rPr>
        <w:t xml:space="preserve">Abstract (EN): </w:t>
      </w:r>
      <w:r>
        <w:t>Electrenes are unique materials characterized by a surface floating electron layer, which results in an ultra-low work function, making them ideal candidates for catalyzing chemical reactions via electron donation. However, these materials are extremely sensitive to air and moisture, thereby limiting their potential applications. Here, we demonstrate that oxygen-doped BaSiN2 is an air-stable surface electrene. Its highly active surface, with an ultra-low WF of approximately 1.5 eV, can donate surface floating electrons to adsorbed N2, forming an N2-passivated surface, which can be constantly regenerated through hydrogenation of surface-activated N2. This alternating pathway, particularly with the assistance of Ru loading, effectively produce ammonia: the Ru/BaSiN2:O catalyst exhibits high ammonia synthesis rate of 43 mmol gcat−1 h−1 at 300 °C and 0.9 MPa, and much superior air stability compared to the most active electrides and hydrides-based heterogeneous catalysts reported to date. This discovery opens a new way for electrene-driven heterogeneous catalysis.</w:t>
      </w:r>
    </w:p>
    <w:p>
      <w:pPr>
        <w:spacing w:before="120" w:after="120"/>
      </w:pPr>
      <w:r>
        <w:rPr>
          <w:sz w:val="18"/>
        </w:rPr>
        <w:t>——————————————————————————————————————————————————————————————————————</w:t>
      </w:r>
    </w:p>
    <w:p>
      <w:pPr>
        <w:spacing w:before="160" w:after="40" w:line="240" w:lineRule="auto"/>
      </w:pPr>
      <w:r>
        <w:rPr>
          <w:b/>
        </w:rPr>
        <w:t xml:space="preserve">[17] </w:t>
      </w:r>
      <w:hyperlink r:id="rId215">
        <w:r>
          <w:rPr>
            <w:color w:val="1155CC"/>
            <w:u w:val="single"/>
          </w:rPr>
          <w:t>固体氧化物燃料电池能源系统的退化感知故障诊断和预测</w:t>
        </w:r>
      </w:hyperlink>
    </w:p>
    <w:p>
      <w:pPr>
        <w:spacing w:before="0" w:after="80"/>
      </w:pPr>
      <w:r>
        <w:rPr>
          <w:i/>
          <w:sz w:val="20"/>
        </w:rPr>
        <w:t>EN: Degradation-aware fault diagnosis and prognostics for solid oxide fuel cell energy systems</w:t>
      </w:r>
    </w:p>
    <w:p>
      <w:pPr>
        <w:spacing w:before="0" w:after="120"/>
      </w:pPr>
      <w:r>
        <w:rPr>
          <w:b/>
        </w:rPr>
        <w:t xml:space="preserve">Source: </w:t>
      </w:r>
      <w:r>
        <w:t>ScienceDirect Publication: Applied Energy</w:t>
      </w:r>
      <w:r>
        <w:t xml:space="preserve">    </w:t>
      </w:r>
      <w:r>
        <w:rPr>
          <w:b/>
        </w:rPr>
        <w:t xml:space="preserve">Pub date: </w:t>
      </w:r>
      <w:r>
        <w:t>2026-06-23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16">
        <w:r>
          <w:rPr>
            <w:color w:val="1155CC"/>
            <w:u w:val="single"/>
          </w:rPr>
          <w:t>通过金属触发表面缺陷工程自发对称性破缺实现持久压电催化析氢</w:t>
        </w:r>
      </w:hyperlink>
    </w:p>
    <w:p>
      <w:pPr>
        <w:spacing w:before="0" w:after="80"/>
      </w:pPr>
      <w:r>
        <w:rPr>
          <w:i/>
          <w:sz w:val="20"/>
        </w:rPr>
        <w:t>EN: Spontaneous Symmetry Breaking via Metal‐Triggered Surface Defect Engineering for Durable Piezocatalytic Hydrogen Evolution</w:t>
      </w:r>
    </w:p>
    <w:p>
      <w:pPr>
        <w:spacing w:before="0" w:after="120"/>
      </w:pPr>
      <w:r>
        <w:rPr>
          <w:b/>
        </w:rPr>
        <w:t xml:space="preserve">Source: </w:t>
      </w:r>
      <w:r>
        <w:t>Wiley: Advanced Materials: Table of Contents</w:t>
      </w:r>
      <w:r>
        <w:t xml:space="preserve">    </w:t>
      </w:r>
      <w:r>
        <w:rPr>
          <w:b/>
        </w:rPr>
        <w:t xml:space="preserve">Pub date: </w:t>
      </w:r>
      <w:r>
        <w:t>2026-06-23 16:40:55+00:00</w:t>
      </w:r>
      <w:r>
        <w:t xml:space="preserve">    </w:t>
      </w:r>
      <w:r>
        <w:rPr>
          <w:b/>
        </w:rPr>
        <w:t xml:space="preserve">DOI: </w:t>
      </w:r>
      <w:hyperlink r:id="rId217">
        <w:r>
          <w:rPr>
            <w:color w:val="1155CC"/>
            <w:u w:val="single"/>
          </w:rPr>
          <w:t>10.1002/adma.73832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压电催化将无处不在的机械能转化为化学燃料，为分布式氢生产提供了一条可持续的途径。然而，该领域的进展很大程度上局限于材料级研究，通常具有极化弱、活性位点不足以及缺乏长期器件级演示的特点。在这里，我们提出了一种金属触发的表面缺陷策略，该策略将表面金属锚定与缺陷形成相结合，以同时增强极化并增加活性位点的密度。使用 Au-ZnSnO</w:t>
      </w:r>
      <w:r>
        <w:rPr>
          <w:vertAlign w:val="subscript"/>
        </w:rPr>
        <w:t>3</w:t>
      </w:r>
      <w:r>
        <w:t>作为模型系统，我们证明金锚定会自发诱导锌空位形成，打破表面对称性并将压电响应增强五倍以上。这些协同效应使析氢速率提高了 3.7 倍，使该材料跻身性能最佳的压电催化剂之列。至关重要的是，将催化剂集成到定制设计的连续流微反应器中，首次演示了超过 158 小时的超长设备级压电催化制氢，为该领域的耐用性树立了新基准。实验和理论分析表明，Au锚定降低了Zn空位的形成能并优化了氢吸附能量，从而实现了质子还原和氢解吸之间的平衡。这项工作将金属触发的表面缺陷工程确立为一种有前途的设计策略，它将s</w:t>
      </w:r>
    </w:p>
    <w:p>
      <w:pPr>
        <w:spacing w:before="0" w:after="200" w:lineRule="auto" w:line="276"/>
      </w:pPr>
      <w:r>
        <w:rPr>
          <w:b/>
        </w:rPr>
        <w:t xml:space="preserve">Abstract (EN): </w:t>
      </w:r>
      <w:r>
        <w:t>Piezocatalysis, which converts ubiquitous mechanical energy into chemical fuels, offers a sustainable route for distributed hydrogen production. However, progress in this field has largely been limited to material–level studies, often characterized by weak polarization, insufficient active sites, and a lack of long–term device–level demonstrations. Here, we propose a metal–triggered surface defect strategy that integrates surface metal anchoring with defect formation to simultaneously enhance polarization and increase the density of active sites. Using Au–ZnSnO</w:t>
      </w:r>
      <w:r>
        <w:rPr>
          <w:vertAlign w:val="subscript"/>
        </w:rPr>
        <w:t>3</w:t>
      </w:r>
      <w:r>
        <w:t>as a model system, we demonstrate that Au anchoring spontaneously induces Zn vacancy formation, breaking surface symmetry and strengthening the piezoelectric response by more than fivefold. These synergistic effects result in a 3.7‐fold enhancement in the hydrogen evolution rate, placing this material among the top‐performing piezocatalysts. Crucially, integrating the catalyst into a custom‐designed continuous–flow microreactor enables the first demonstration of ultra–long, device–level piezocatalytic hydrogen production for over 158 h, establishing a new benchmark for durability in this field. Experimental and theoretical analyses reveal that Au anchoring reduces the formation energy of Zn vacancies and optimizes hydrogen adsorption energetics, thereby achieving a balance between proton reduction and hydrogen desorption. This work establishes metal–triggered surface defect engineering as a promising design strategy that links structural symmetry with catalytic reactivity in mechanically driven energy conversion systems.</w:t>
      </w:r>
    </w:p>
    <w:p>
      <w:pPr>
        <w:spacing w:before="120" w:after="120"/>
      </w:pPr>
      <w:r>
        <w:rPr>
          <w:sz w:val="18"/>
        </w:rPr>
        <w:t>——————————————————————————————————————————————————————————————————————</w:t>
      </w:r>
    </w:p>
    <w:p>
      <w:pPr>
        <w:spacing w:before="160" w:after="40" w:line="240" w:lineRule="auto"/>
      </w:pPr>
      <w:r>
        <w:rPr>
          <w:b/>
        </w:rPr>
        <w:t xml:space="preserve">[19] </w:t>
      </w:r>
      <w:hyperlink r:id="rId218">
        <w:r>
          <w:rPr>
            <w:color w:val="1155CC"/>
            <w:u w:val="single"/>
          </w:rPr>
          <w:t>富电子钌纳米团簇介导磷化物催化剂表面重构以实现高效水电解</w:t>
        </w:r>
      </w:hyperlink>
    </w:p>
    <w:p>
      <w:pPr>
        <w:spacing w:before="0" w:after="80"/>
      </w:pPr>
      <w:r>
        <w:rPr>
          <w:i/>
          <w:sz w:val="20"/>
        </w:rPr>
        <w:t>EN: Electron‐Enriched Ru Nanoclusters Mediating Surface Reconstruction of Phosphide Catalysts for Efficient Water Electrolysis</w:t>
      </w:r>
    </w:p>
    <w:p>
      <w:pPr>
        <w:spacing w:before="0" w:after="120"/>
      </w:pPr>
      <w:r>
        <w:rPr>
          <w:b/>
        </w:rPr>
        <w:t xml:space="preserve">Source: </w:t>
      </w:r>
      <w:r>
        <w:t>Wiley: Advanced Materials: Table of Contents</w:t>
      </w:r>
      <w:r>
        <w:t xml:space="preserve">    </w:t>
      </w:r>
      <w:r>
        <w:rPr>
          <w:b/>
        </w:rPr>
        <w:t xml:space="preserve">Pub date: </w:t>
      </w:r>
      <w:r>
        <w:t>2026-06-23 16:52:01+00:00</w:t>
      </w:r>
      <w:r>
        <w:t xml:space="preserve">    </w:t>
      </w:r>
      <w:r>
        <w:rPr>
          <w:b/>
        </w:rPr>
        <w:t xml:space="preserve">DOI: </w:t>
      </w:r>
      <w:hyperlink r:id="rId219">
        <w:r>
          <w:rPr>
            <w:color w:val="1155CC"/>
            <w:u w:val="single"/>
          </w:rPr>
          <w:t>10.1002/adma.73792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过渡金属磷化物（TMP）是用于碱性水电解的有吸引力的双功能电催化剂。然而，它们的实际部署受到根本重建悖论的阻碍。富含电子的金属-磷框架本质上有利于析氢反应（HER），而有效的析氧反应（OER）则需要快速原位转化为高价金属（羟基）氢氧化物，这种转化在传统的TMP中通常是动力学缓慢的。在这里，我们报告了一种动态预催化剂结构，其中富电子的 Ru 纳米团簇锚定在双金属 FeCo 磷化物 (Ru-FeCoP@NF) 的界面上。 Ru 纳米团簇充当局部电位响应电子库，通过界面电荷转移途径从相邻的 Fe/Co 位点提取电子并重新分布。这种界面电子泵效应选择性地破坏金属-磷框架的稳定性，显着降低 OH 的动力学势垒</w:t>
      </w:r>
      <w:r>
        <w:t xml:space="preserve"> </w:t>
      </w:r>
      <w:r>
        <w:t>-</w:t>
      </w:r>
      <w:r>
        <w:t>‐诱导表面重建并促进催化活性 FeCo（羟基）氢氧化物的早期出现。因此，催化剂保持有利于 HER 的富电子金属态，同时加速 OER 的动态表面演化。当集成到阴离子交换膜水电解槽中时，Ru–FeCoP@NF 可达到 1.0 A cm</w:t>
      </w:r>
      <w:r>
        <w:t xml:space="preserve"> </w:t>
      </w:r>
      <w:r>
        <w:t>-</w:t>
      </w:r>
      <w:r>
        <w:rPr>
          <w:vertAlign w:val="subscript"/>
        </w:rPr>
        <w:t>2</w:t>
      </w:r>
      <w:r>
        <w:t>在 1.77 V 下，在 80°C 的 1.0 M KOH 中持续 300 小时，提供工业</w:t>
      </w:r>
    </w:p>
    <w:p>
      <w:pPr>
        <w:spacing w:before="0" w:after="200" w:lineRule="auto" w:line="276"/>
      </w:pPr>
      <w:r>
        <w:rPr>
          <w:b/>
        </w:rPr>
        <w:t xml:space="preserve">Abstract (EN): </w:t>
      </w:r>
      <w:r>
        <w:t>Transition metal phosphides (TMPs) are attractive bifunctional electrocatalysts for alkaline water electrolysis. However, their practical deployment is hindered by a fundamental reconstruction paradox. Electron‐rich metal–phosphorus frameworks are intrinsically favorable for the hydrogen evolution reaction (HER), whereas efficient oxygen evolution reaction (OER) requires rapid in situ conversion into high‐valence metal (oxy)hydroxides—a transformation that is typically kinetically sluggish in conventional TMPs. Here, we report a dynamic pre‐catalyst architecture in which electron‐enriched Ru nanoclusters are anchored at the interfaces of bimetallic FeCo phosphides (Ru–FeCoP@NF). The Ru nanoclusters act as localized, potential‐responsive electron reservoirs, extracting and redistributing electrons from adjacent Fe/Co sites via interfacial charge‐transfer pathways. This interfacial electron‐pump effect selectively destabilizes the metal–phosphorus framework, markedly reducing the kinetic barrier for OH</w:t>
      </w:r>
      <w:r>
        <w:t xml:space="preserve"> </w:t>
      </w:r>
      <w:r>
        <w:t>−</w:t>
      </w:r>
      <w:r>
        <w:t>‐induced surface reconstruction and enabling the early emergence of catalytically active FeCo (oxy)hydroxide species. Consequently, the catalyst maintains an electron‐rich metallic state conducive to HER while simultaneously accelerating dynamic surface evolution for OER. When integrated into an anion exchange membrane water electrolyzer, Ru–FeCoP@NF achieves 1.0 A cm</w:t>
      </w:r>
      <w:r>
        <w:t xml:space="preserve"> </w:t>
      </w:r>
      <w:r>
        <w:t>−</w:t>
      </w:r>
      <w:r>
        <w:rPr>
          <w:vertAlign w:val="subscript"/>
        </w:rPr>
        <w:t>2</w:t>
      </w:r>
      <w:r>
        <w:t>at 1.77 V for 300 h in 1.0 M KOH at 80°C, delivering industrially relevant efficiency and operational durability.</w:t>
      </w:r>
    </w:p>
    <w:p>
      <w:pPr>
        <w:spacing w:before="120" w:after="120"/>
      </w:pPr>
      <w:r>
        <w:rPr>
          <w:sz w:val="18"/>
        </w:rPr>
        <w:t>——————————————————————————————————————————————————————————————————————</w:t>
      </w:r>
    </w:p>
    <w:p>
      <w:pPr>
        <w:spacing w:before="160" w:after="40" w:line="240" w:lineRule="auto"/>
      </w:pPr>
      <w:r>
        <w:rPr>
          <w:b/>
        </w:rPr>
        <w:t xml:space="preserve">[20] </w:t>
      </w:r>
      <w:hyperlink r:id="rId220">
        <w:r>
          <w:rPr>
            <w:color w:val="1155CC"/>
            <w:u w:val="single"/>
          </w:rPr>
          <w:t>脉冲设计能够从实际废水中的稀硝酸盐中电合成氨</w:t>
        </w:r>
      </w:hyperlink>
    </w:p>
    <w:p>
      <w:pPr>
        <w:spacing w:before="0" w:after="80"/>
      </w:pPr>
      <w:r>
        <w:rPr>
          <w:i/>
          <w:sz w:val="20"/>
        </w:rPr>
        <w:t>EN: Pulsed Design Enables Ammonia Electrosynthesis From Dilute Nitrate in Real Wastewater</w:t>
      </w:r>
    </w:p>
    <w:p>
      <w:pPr>
        <w:spacing w:before="0" w:after="120"/>
      </w:pPr>
      <w:r>
        <w:rPr>
          <w:b/>
        </w:rPr>
        <w:t xml:space="preserve">Source: </w:t>
      </w:r>
      <w:r>
        <w:t>Wiley: Angewandte Chemie International Edition: Table of Contents</w:t>
      </w:r>
      <w:r>
        <w:t xml:space="preserve">    </w:t>
      </w:r>
      <w:r>
        <w:rPr>
          <w:b/>
        </w:rPr>
        <w:t xml:space="preserve">Pub date: </w:t>
      </w:r>
      <w:r>
        <w:t>2026-06-24 04:56:41+00:00</w:t>
      </w:r>
      <w:r>
        <w:t xml:space="preserve">    </w:t>
      </w:r>
      <w:r>
        <w:rPr>
          <w:b/>
        </w:rPr>
        <w:t xml:space="preserve">DOI: </w:t>
      </w:r>
      <w:hyperlink r:id="rId221">
        <w:r>
          <w:rPr>
            <w:color w:val="1155CC"/>
            <w:u w:val="single"/>
          </w:rPr>
          <w:t>10.1002/anie.9630862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硝酸盐（NO</w:t>
      </w:r>
      <w:r>
        <w:rPr>
          <w:vertAlign w:val="subscript"/>
        </w:rPr>
        <w:t>3</w:t>
      </w:r>
      <w:r>
        <w:t>-</w:t>
      </w:r>
      <w:r>
        <w:t>) 转化为氨 (NH</w:t>
      </w:r>
      <w:r>
        <w:rPr>
          <w:vertAlign w:val="subscript"/>
        </w:rPr>
        <w:t>3</w:t>
      </w:r>
      <w:r>
        <w:t>）提供了一种可持续的废物增值方法。然而，实际废水中低硝酸盐含量和干扰离子的共存严重影响了催化选择性和稳定性。在此，我们首次报告脉冲设计可实现高效 NH</w:t>
      </w:r>
      <w:r>
        <w:rPr>
          <w:vertAlign w:val="subscript"/>
        </w:rPr>
        <w:t>3</w:t>
      </w:r>
      <w:r>
        <w:t>由稀NO合成</w:t>
      </w:r>
      <w:r>
        <w:rPr>
          <w:vertAlign w:val="subscript"/>
        </w:rPr>
        <w:t>3</w:t>
      </w:r>
      <w:r>
        <w:t>-</w:t>
      </w:r>
      <w:r>
        <w:t>在真实的废水中。使用石墨烯生产厂的稀释废水（∼5 mM NO</w:t>
      </w:r>
      <w:r>
        <w:rPr>
          <w:vertAlign w:val="subscript"/>
        </w:rPr>
        <w:t>3</w:t>
      </w:r>
      <w:r>
        <w:t>-</w:t>
      </w:r>
      <w:r>
        <w:t>与各种干扰离子），阳极和阴极脉冲的周期性应用（</w:t>
      </w:r>
      <w:r>
        <w:t xml:space="preserve"> </w:t>
      </w:r>
      <w:r>
        <w:t>乙</w:t>
      </w:r>
      <w:r>
        <w:t xml:space="preserve"> </w:t>
      </w:r>
      <w:r>
        <w:t>一个</w:t>
      </w:r>
      <w:r>
        <w:t xml:space="preserve"> </w:t>
      </w:r>
      <w:r>
        <w:t>= 0.8 V，</w:t>
      </w:r>
      <w:r>
        <w:t xml:space="preserve"> </w:t>
      </w:r>
      <w:r>
        <w:t>t</w:t>
      </w:r>
      <w:r>
        <w:t xml:space="preserve"> </w:t>
      </w:r>
      <w:r>
        <w:t>一个</w:t>
      </w:r>
      <w:r>
        <w:t xml:space="preserve"> </w:t>
      </w:r>
      <w:r>
        <w:t>= 0.5 秒，</w:t>
      </w:r>
      <w:r>
        <w:t xml:space="preserve"> </w:t>
      </w:r>
      <w:r>
        <w:t>乙</w:t>
      </w:r>
      <w:r>
        <w:t xml:space="preserve"> </w:t>
      </w:r>
      <w:r>
        <w:t>c</w:t>
      </w:r>
      <w:r>
        <w:t xml:space="preserve"> </w:t>
      </w:r>
      <w:r>
        <w:t>=−0.4V，并且</w:t>
      </w:r>
      <w:r>
        <w:t xml:space="preserve"> </w:t>
      </w:r>
      <w:r>
        <w:t>t</w:t>
      </w:r>
      <w:r>
        <w:t xml:space="preserve"> </w:t>
      </w:r>
      <w:r>
        <w:t>c</w:t>
      </w:r>
      <w:r>
        <w:t xml:space="preserve"> </w:t>
      </w:r>
      <w:r>
        <w:t>= 5 s) 在 Ru@Cu 催化剂上实现了高 NH</w:t>
      </w:r>
      <w:r>
        <w:rPr>
          <w:vertAlign w:val="subscript"/>
        </w:rPr>
        <w:t>3</w:t>
      </w:r>
      <w:r>
        <w:t>法拉第效率 (FE) 为 90.2%，NH</w:t>
      </w:r>
      <w:r>
        <w:rPr>
          <w:vertAlign w:val="subscript"/>
        </w:rPr>
        <w:t>3</w:t>
      </w:r>
      <w:r>
        <w:t>产率 1.48 mg·h</w:t>
      </w:r>
      <w:r>
        <w:t xml:space="preserve"> </w:t>
      </w:r>
      <w:r>
        <w:t>−1</w:t>
      </w:r>
      <w:r>
        <w:t xml:space="preserve"> </w:t>
      </w:r>
      <w:r>
        <w:t>厘米</w:t>
      </w:r>
      <w:r>
        <w:t xml:space="preserve"> </w:t>
      </w:r>
      <w:r>
        <w:t>−2</w:t>
      </w:r>
      <w:r>
        <w:t xml:space="preserve"> </w:t>
      </w:r>
      <w:r>
        <w:t>，显着超过FE(NH</w:t>
      </w:r>
      <w:r>
        <w:rPr>
          <w:vertAlign w:val="subscript"/>
        </w:rPr>
        <w:t>3</w:t>
      </w:r>
      <w:r>
        <w:t>）在恒电位条件下获得的45.0%。值得注意的是，催化剂稳定性得到改善</w:t>
      </w:r>
    </w:p>
    <w:p>
      <w:pPr>
        <w:spacing w:before="0" w:after="200" w:lineRule="auto" w:line="276"/>
      </w:pPr>
      <w:r>
        <w:rPr>
          <w:b/>
        </w:rPr>
        <w:t xml:space="preserve">Abstract (EN): </w:t>
      </w:r>
      <w:r>
        <w:t>Electroreduction of nitrate (NO</w:t>
      </w:r>
      <w:r>
        <w:rPr>
          <w:vertAlign w:val="subscript"/>
        </w:rPr>
        <w:t>3</w:t>
      </w:r>
      <w:r>
        <w:t>−</w:t>
      </w:r>
      <w:r>
        <w:t>) to ammonia (NH</w:t>
      </w:r>
      <w:r>
        <w:rPr>
          <w:vertAlign w:val="subscript"/>
        </w:rPr>
        <w:t>3</w:t>
      </w:r>
      <w:r>
        <w:t>) provides a sustainable method for waste valorization. However, low nitrate levels and the coexistence of interfering ions in real wastewater severely affect catalytic selectivity and stability. Herein, we report for the first time that pulsed design enables efficient NH</w:t>
      </w:r>
      <w:r>
        <w:rPr>
          <w:vertAlign w:val="subscript"/>
        </w:rPr>
        <w:t>3</w:t>
      </w:r>
      <w:r>
        <w:t>synthesis from dilute NO</w:t>
      </w:r>
      <w:r>
        <w:rPr>
          <w:vertAlign w:val="subscript"/>
        </w:rPr>
        <w:t>3</w:t>
      </w:r>
      <w:r>
        <w:t>−</w:t>
      </w:r>
      <w:r>
        <w:t>in real wastewater. Using diluted wastewater from a graphene production plant (∼5 mM NO</w:t>
      </w:r>
      <w:r>
        <w:rPr>
          <w:vertAlign w:val="subscript"/>
        </w:rPr>
        <w:t>3</w:t>
      </w:r>
      <w:r>
        <w:t>−</w:t>
      </w:r>
      <w:r>
        <w:t>with various interfering ions), the periodic application of anodic and cathodic pulses (</w:t>
      </w:r>
      <w:r>
        <w:t xml:space="preserve"> </w:t>
      </w:r>
      <w:r>
        <w:t>E</w:t>
      </w:r>
      <w:r>
        <w:t xml:space="preserve"> </w:t>
      </w:r>
      <w:r>
        <w:t>a</w:t>
      </w:r>
      <w:r>
        <w:t xml:space="preserve"> </w:t>
      </w:r>
      <w:r>
        <w:t>= 0.8 V,</w:t>
      </w:r>
      <w:r>
        <w:t xml:space="preserve"> </w:t>
      </w:r>
      <w:r>
        <w:t>t</w:t>
      </w:r>
      <w:r>
        <w:t xml:space="preserve"> </w:t>
      </w:r>
      <w:r>
        <w:t>a</w:t>
      </w:r>
      <w:r>
        <w:t xml:space="preserve"> </w:t>
      </w:r>
      <w:r>
        <w:t>= 0.5 s,</w:t>
      </w:r>
      <w:r>
        <w:t xml:space="preserve"> </w:t>
      </w:r>
      <w:r>
        <w:t>E</w:t>
      </w:r>
      <w:r>
        <w:t xml:space="preserve"> </w:t>
      </w:r>
      <w:r>
        <w:t>c</w:t>
      </w:r>
      <w:r>
        <w:t xml:space="preserve"> </w:t>
      </w:r>
      <w:r>
        <w:t>= −0.4 V, and</w:t>
      </w:r>
      <w:r>
        <w:t xml:space="preserve"> </w:t>
      </w:r>
      <w:r>
        <w:t>t</w:t>
      </w:r>
      <w:r>
        <w:t xml:space="preserve"> </w:t>
      </w:r>
      <w:r>
        <w:t>c</w:t>
      </w:r>
      <w:r>
        <w:t xml:space="preserve"> </w:t>
      </w:r>
      <w:r>
        <w:t>= 5 s) over a Ru@Cu catalyst achieved a high NH</w:t>
      </w:r>
      <w:r>
        <w:rPr>
          <w:vertAlign w:val="subscript"/>
        </w:rPr>
        <w:t>3</w:t>
      </w:r>
      <w:r>
        <w:t>Faradaic efficiency (FE) of 90.2% and an NH</w:t>
      </w:r>
      <w:r>
        <w:rPr>
          <w:vertAlign w:val="subscript"/>
        </w:rPr>
        <w:t>3</w:t>
      </w:r>
      <w:r>
        <w:t>yield rate of 1.48 mg·h</w:t>
      </w:r>
      <w:r>
        <w:t xml:space="preserve"> </w:t>
      </w:r>
      <w:r>
        <w:t>−1</w:t>
      </w:r>
      <w:r>
        <w:t xml:space="preserve"> </w:t>
      </w:r>
      <w:r>
        <w:t>cm</w:t>
      </w:r>
      <w:r>
        <w:t xml:space="preserve"> </w:t>
      </w:r>
      <w:r>
        <w:t>−2</w:t>
      </w:r>
      <w:r>
        <w:t xml:space="preserve"> </w:t>
      </w:r>
      <w:r>
        <w:t>, significantly surpassing the FE(NH</w:t>
      </w:r>
      <w:r>
        <w:rPr>
          <w:vertAlign w:val="subscript"/>
        </w:rPr>
        <w:t>3</w:t>
      </w:r>
      <w:r>
        <w:t>) of 45.0% obtained under potentiostatic conditions. Notably, the catalyst stability improved significantly under pulsed conditions, with FE(NH</w:t>
      </w:r>
      <w:r>
        <w:rPr>
          <w:vertAlign w:val="subscript"/>
        </w:rPr>
        <w:t>3</w:t>
      </w:r>
      <w:r>
        <w:t>) remaining above 86.3% after six cycles (3 h), compared to a sharp drop to 11.4% under potentiostatic conditions. Mechanistic studies reveal that the intermittent application of a positive potential generates a localized electric field that enriches NO</w:t>
      </w:r>
      <w:r>
        <w:rPr>
          <w:vertAlign w:val="subscript"/>
        </w:rPr>
        <w:t>3</w:t>
      </w:r>
      <w:r>
        <w:t>−</w:t>
      </w:r>
      <w:r>
        <w:t>and repels interfering cations near the cathode, thereby mitigating hydroxide precipitation and enhancing NO</w:t>
      </w:r>
      <w:r>
        <w:rPr>
          <w:vertAlign w:val="subscript"/>
        </w:rPr>
        <w:t>3</w:t>
      </w:r>
      <w:r>
        <w:t>−</w:t>
      </w:r>
      <w:r>
        <w:t>availability. This work establishes a sustainable and economically viable strategy for real wastewater treatment.</w:t>
      </w:r>
    </w:p>
    <w:p>
      <w:pPr>
        <w:spacing w:before="120" w:after="120"/>
      </w:pPr>
      <w:r>
        <w:rPr>
          <w:sz w:val="18"/>
        </w:rPr>
        <w:t>——————————————————————————————————————————————————————————————————————</w:t>
      </w:r>
    </w:p>
    <w:p>
      <w:pPr>
        <w:spacing w:before="160" w:after="40" w:line="240" w:lineRule="auto"/>
      </w:pPr>
      <w:r>
        <w:rPr>
          <w:b/>
        </w:rPr>
        <w:t xml:space="preserve">[21] </w:t>
      </w:r>
      <w:hyperlink r:id="rId222">
        <w:r>
          <w:rPr>
            <w:color w:val="1155CC"/>
            <w:u w:val="single"/>
          </w:rPr>
          <w:t>自活化催化剂中的不对称Ru─O位点用于高效电化学甲醇氧化和工业规模制氢</w:t>
        </w:r>
      </w:hyperlink>
    </w:p>
    <w:p>
      <w:pPr>
        <w:spacing w:before="0" w:after="80"/>
      </w:pPr>
      <w:r>
        <w:rPr>
          <w:i/>
          <w:sz w:val="20"/>
        </w:rPr>
        <w:t>EN: Asymmetric Ru─O sites in self-activated catalysts for efficient electrochemical methanol oxidation and industrial-scale hydrogen generation</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223">
        <w:r>
          <w:rPr>
            <w:color w:val="1155CC"/>
            <w:u w:val="single"/>
          </w:rPr>
          <w:t>10.1126/sciadv.aeb1299</w:t>
        </w:r>
      </w:hyperlink>
    </w:p>
    <w:p>
      <w:pPr>
        <w:spacing w:before="0" w:after="120"/>
      </w:pPr>
      <w:r>
        <w:rPr>
          <w:b/>
        </w:rPr>
        <w:t xml:space="preserve">Notes: </w:t>
      </w:r>
      <w:r>
        <w:t>abstract_source=crossref</w:t>
      </w:r>
    </w:p>
    <w:p>
      <w:pPr>
        <w:spacing w:before="0" w:after="80" w:lineRule="auto" w:line="276"/>
      </w:pPr>
      <w:r>
        <w:rPr>
          <w:b/>
        </w:rPr>
        <w:t xml:space="preserve">摘要（ZH）: </w:t>
      </w:r>
      <w:r>
        <w:t>电化学水分解是可持续、大规模制氢的一种有前景的策略。然而，该技术的商业化受到阳极析氧反应（OER）的缓慢动力学和高过电势的阻碍，导致能耗增加。用甲醇氧化反应 (MOR) 代替 OER 提供了一种更节能的替代方案，但开发在安培级电流密度下提供高活性、选择性和长期稳定性的电催化剂仍然是一个显着的挑战。在这里，我们报告了一种界面设计的 RuO</w:t>
      </w:r>
      <w:r>
        <w:t xml:space="preserve"> </w:t>
      </w:r>
      <w:r>
        <w:t>x</w:t>
      </w:r>
      <w:r>
        <w:t xml:space="preserve"> </w:t>
      </w:r>
      <w:r>
        <w:t>@Mo(Mn)O</w:t>
      </w:r>
      <w:r>
        <w:t xml:space="preserve"> </w:t>
      </w:r>
      <w:r>
        <w:t>x</w:t>
      </w:r>
      <w:r>
        <w:t xml:space="preserve"> </w:t>
      </w:r>
      <w:r>
        <w:t>[氧化钌</w:t>
      </w:r>
      <w:r>
        <w:t xml:space="preserve"> </w:t>
      </w:r>
      <w:r>
        <w:t>x</w:t>
      </w:r>
      <w:r>
        <w:t xml:space="preserve"> </w:t>
      </w:r>
      <w:r>
        <w:t>沉积在 Mo(Mn)O 上的纳米粒子</w:t>
      </w:r>
      <w:r>
        <w:t xml:space="preserve"> </w:t>
      </w:r>
      <w:r>
        <w:t>x</w:t>
      </w:r>
      <w:r>
        <w:t xml:space="preserve"> </w:t>
      </w:r>
      <w:r>
        <w:t>基质]催化剂具有Ru─O位点和不对称配位环境，可优化电子转移并稳定高活性Ru物质。这种结构创新允许在工业相关电流密度 [1000 毫安每平方厘米 (mA cm</w:t>
      </w:r>
      <w:r>
        <w:t xml:space="preserve"> </w:t>
      </w:r>
      <w:r>
        <w:t>−2</w:t>
      </w:r>
      <w:r>
        <w:t xml:space="preserve"> </w:t>
      </w:r>
      <w:r>
        <w:t>）在 1.41 伏与可逆氢电极相比]，实现高选择性（&gt;98% 法拉第效率）和低阳极电位。钌O</w:t>
      </w:r>
      <w:r>
        <w:t xml:space="preserve"> </w:t>
      </w:r>
      <w:r>
        <w:t>x</w:t>
      </w:r>
      <w:r>
        <w:t xml:space="preserve"> </w:t>
      </w:r>
      <w:r>
        <w:t>@Mo(Mn)O</w:t>
      </w:r>
      <w:r>
        <w:t xml:space="preserve"> </w:t>
      </w:r>
      <w:r>
        <w:t>x</w:t>
      </w:r>
    </w:p>
    <w:p>
      <w:pPr>
        <w:spacing w:before="0" w:after="200" w:lineRule="auto" w:line="276"/>
      </w:pPr>
      <w:r>
        <w:rPr>
          <w:b/>
        </w:rPr>
        <w:t xml:space="preserve">Abstract (EN): </w:t>
      </w:r>
      <w:r>
        <w:t>Electrochemical water splitting is a promising strategy for sustainable, large-scale hydrogen production. However, the commercialization of this technology is hindered by the sluggish kinetics and high overpotential of the oxygen evolution reaction (OER) at the anode, leading to elevated energy consumption. Replacing OER with the methanol oxidation reaction (MOR) offers a more energy-efficient alternative, yet the development of electrocatalysts that deliver high activity, selectivity, and long-term stability at ampere-level current densities remains a notable challenge. Here, we report an interface-engineered RuO</w:t>
      </w:r>
      <w:r>
        <w:t xml:space="preserve"> </w:t>
      </w:r>
      <w:r>
        <w:t>x</w:t>
      </w:r>
      <w:r>
        <w:t xml:space="preserve"> </w:t>
      </w:r>
      <w:r>
        <w:t>@Mo(Mn)O</w:t>
      </w:r>
      <w:r>
        <w:t xml:space="preserve"> </w:t>
      </w:r>
      <w:r>
        <w:t>x</w:t>
      </w:r>
      <w:r>
        <w:t xml:space="preserve"> </w:t>
      </w:r>
      <w:r>
        <w:t>[RuO</w:t>
      </w:r>
      <w:r>
        <w:t xml:space="preserve"> </w:t>
      </w:r>
      <w:r>
        <w:t>x</w:t>
      </w:r>
      <w:r>
        <w:t xml:space="preserve"> </w:t>
      </w:r>
      <w:r>
        <w:t>nanoparticles deposited on a Mo(Mn)O</w:t>
      </w:r>
      <w:r>
        <w:t xml:space="preserve"> </w:t>
      </w:r>
      <w:r>
        <w:t>x</w:t>
      </w:r>
      <w:r>
        <w:t xml:space="preserve"> </w:t>
      </w:r>
      <w:r>
        <w:t>matrix] catalyst featuring Ru─O sites with an asymmetric coordination environment, which enables optimized electron transfer and stabilization of highly active Ru species. This structural innovation allows for efficient methanol electrooxidation at industrially relevant current densities [1000 milliamperes per square centimeter (mA cm</w:t>
      </w:r>
      <w:r>
        <w:t xml:space="preserve"> </w:t>
      </w:r>
      <w:r>
        <w:t>−2</w:t>
      </w:r>
      <w:r>
        <w:t xml:space="preserve"> </w:t>
      </w:r>
      <w:r>
        <w:t>) at 1.41 volts versus reversible hydrogen electrode], achieving high selectivity (&amp;gt;98% Faradaic efficiency) and low anodic potentials. The RuO</w:t>
      </w:r>
      <w:r>
        <w:t xml:space="preserve"> </w:t>
      </w:r>
      <w:r>
        <w:t>x</w:t>
      </w:r>
      <w:r>
        <w:t xml:space="preserve"> </w:t>
      </w:r>
      <w:r>
        <w:t>@Mo(Mn)O</w:t>
      </w:r>
      <w:r>
        <w:t xml:space="preserve"> </w:t>
      </w:r>
      <w:r>
        <w:t>x</w:t>
      </w:r>
      <w:r>
        <w:t xml:space="preserve"> </w:t>
      </w:r>
      <w:r>
        <w:t>-based two-electrode electrolyzer maintains 1000 mA cm</w:t>
      </w:r>
      <w:r>
        <w:t xml:space="preserve"> </w:t>
      </w:r>
      <w:r>
        <w:t>−2</w:t>
      </w:r>
      <w:r>
        <w:t xml:space="preserve"> </w:t>
      </w:r>
      <w:r>
        <w:t>at a low cell voltage of 1.58 volts and remains stable for over 300 hours. Furthermore, in an anion exchange membrane electrolyzer, the catalyst demonstrates stable operation at 1000 mA cm</w:t>
      </w:r>
      <w:r>
        <w:t xml:space="preserve"> </w:t>
      </w:r>
      <w:r>
        <w:t>−2</w:t>
      </w:r>
      <w:r>
        <w:t xml:space="preserve"> </w:t>
      </w:r>
      <w:r>
        <w:t>and a cell voltage of only 1.87 volts, highlighting its potential for industrial coproduction of green hydrogen and value-added chemicals. This work demonstrates how interface engineering at the atomic level can enable industrial-scale electrochemical processes with Ru-based catalysts, offering a scalable solution for the advancement of sustainable energy and chemical manufacturing.</w:t>
      </w:r>
    </w:p>
    <w:p>
      <w:pPr>
        <w:spacing w:before="120" w:after="120"/>
      </w:pPr>
      <w:r>
        <w:rPr>
          <w:sz w:val="18"/>
        </w:rPr>
        <w:t>——————————————————————————————————————————————————————————————————————</w:t>
      </w:r>
    </w:p>
    <w:p>
      <w:pPr>
        <w:spacing w:before="160" w:after="40" w:line="240" w:lineRule="auto"/>
      </w:pPr>
      <w:r>
        <w:rPr>
          <w:b/>
        </w:rPr>
        <w:t xml:space="preserve">[22] </w:t>
      </w:r>
      <w:hyperlink r:id="rId224">
        <w:r>
          <w:rPr>
            <w:color w:val="1155CC"/>
            <w:u w:val="single"/>
          </w:rPr>
          <w:t>用于仿生光电化学氨合成的亚纳米级动态集成催化系统</w:t>
        </w:r>
      </w:hyperlink>
    </w:p>
    <w:p>
      <w:pPr>
        <w:spacing w:before="0" w:after="80"/>
      </w:pPr>
      <w:r>
        <w:rPr>
          <w:i/>
          <w:sz w:val="20"/>
        </w:rPr>
        <w:t>EN: A subnanoscale dynamic-integrated catalytic system for bioinspired photoelectrochemical ammonia synthesis</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225">
        <w:r>
          <w:rPr>
            <w:color w:val="1155CC"/>
            <w:u w:val="single"/>
          </w:rPr>
          <w:t>10.1126/sciadv.aee9634</w:t>
        </w:r>
      </w:hyperlink>
    </w:p>
    <w:p>
      <w:pPr>
        <w:spacing w:before="0" w:after="120"/>
      </w:pPr>
      <w:r>
        <w:rPr>
          <w:b/>
        </w:rPr>
        <w:t xml:space="preserve">Notes: </w:t>
      </w:r>
      <w:r>
        <w:t>abstract_source=crossref</w:t>
      </w:r>
    </w:p>
    <w:p>
      <w:pPr>
        <w:spacing w:before="0" w:after="80" w:lineRule="auto" w:line="276"/>
      </w:pPr>
      <w:r>
        <w:rPr>
          <w:b/>
        </w:rPr>
        <w:t xml:space="preserve">摘要（ZH）: </w:t>
      </w:r>
      <w:r>
        <w:t>光电化学将氮 (N) 固定为氨 (NH</w:t>
      </w:r>
      <w:r>
        <w:rPr>
          <w:vertAlign w:val="subscript"/>
        </w:rPr>
        <w:t>3</w:t>
      </w:r>
      <w:r>
        <w:t>）是一种可持续的储氢途径，但受到顽固的 N−N 键和竞争性界面反应动力学的限制。受固氮酶的启发，我们设计了单原子铁（Fe）掺杂氧化钨（WO</w:t>
      </w:r>
      <w:r>
        <w:rPr>
          <w:vertAlign w:val="subscript"/>
        </w:rPr>
        <w:t>3</w:t>
      </w:r>
      <w:r>
        <w:t>）亚纳米线作为受生物启发的动态集成催化平台，系统地克服了这些挑战：（i）扭曲的晶格和不对称位点创建了一个动态响应的催化中心，其中光诱导的价晶格振荡驱动电子离域，改变了传统的N</w:t>
      </w:r>
      <w:r>
        <w:rPr>
          <w:vertAlign w:val="subscript"/>
        </w:rPr>
        <w:t>2</w:t>
      </w:r>
      <w:r>
        <w:t>吸附方式及反应途径； (ii) 独特的自粘性和成膜特性可实现坚固、无粘合剂的电极，并最大限度地暴露活性位点； (iii) 表面配体工程建立了一个仿生微环境，选择性地富集 N</w:t>
      </w:r>
      <w:r>
        <w:rPr>
          <w:vertAlign w:val="subscript"/>
        </w:rPr>
        <w:t>2</w:t>
      </w:r>
      <w:r>
        <w:t>并调节质子的进入。该系统实现了 NH</w:t>
      </w:r>
      <w:r>
        <w:rPr>
          <w:vertAlign w:val="subscript"/>
        </w:rPr>
        <w:t>3</w:t>
      </w:r>
      <w:r>
        <w:t>每小时每毫克催化剂的产量为 286 微克，比传统 Fe-WO 提高了 24 倍</w:t>
      </w:r>
      <w:r>
        <w:rPr>
          <w:vertAlign w:val="subscript"/>
        </w:rPr>
        <w:t>3</w:t>
      </w:r>
      <w:r>
        <w:t>纳米线，30个循环以上性能稳定。这项工作展示了亚纳米尺度的功能集成、仿生催化，为有效的分子转化提供了范例。</w:t>
      </w:r>
    </w:p>
    <w:p>
      <w:pPr>
        <w:spacing w:before="0" w:after="200" w:lineRule="auto" w:line="276"/>
      </w:pPr>
      <w:r>
        <w:rPr>
          <w:b/>
        </w:rPr>
        <w:t xml:space="preserve">Abstract (EN): </w:t>
      </w:r>
      <w:r>
        <w:t>Photoelectrochemical nitrogen (N) fixation to ammonia (NH</w:t>
      </w:r>
      <w:r>
        <w:rPr>
          <w:vertAlign w:val="subscript"/>
        </w:rPr>
        <w:t>3</w:t>
      </w:r>
      <w:r>
        <w:t>) is a sustainable route for hydrogen storage yet limited by the stubborn N≡N bond and competitive interfacial reaction kinetics. Inspired by nitrogenase, we design single-atom iron (Fe)–doped tungsten oxide (WO</w:t>
      </w:r>
      <w:r>
        <w:rPr>
          <w:vertAlign w:val="subscript"/>
        </w:rPr>
        <w:t>3</w:t>
      </w:r>
      <w:r>
        <w:t>) subnanowires as a bioinspired, dynamically integrated catalytic platform to systematically overcome these challenges: (i) The distorted lattice and asymmetric sites create a dynamically responsive catalytic center, where photoinduced valence-lattice oscillation drives electron delocalization, shifting the conventional N</w:t>
      </w:r>
      <w:r>
        <w:rPr>
          <w:vertAlign w:val="subscript"/>
        </w:rPr>
        <w:t>2</w:t>
      </w:r>
      <w:r>
        <w:t>adsorption mode and reaction pathway; (ii) the unique self-adhesive and film-forming properties enable robust, binder-free electrodes with maximized active-site exposure; and (iii) surface ligand engineering establishes a bioinspired microenvironment that selectively enriches N</w:t>
      </w:r>
      <w:r>
        <w:rPr>
          <w:vertAlign w:val="subscript"/>
        </w:rPr>
        <w:t>2</w:t>
      </w:r>
      <w:r>
        <w:t>and regulates proton access. This system achieves an NH</w:t>
      </w:r>
      <w:r>
        <w:rPr>
          <w:vertAlign w:val="subscript"/>
        </w:rPr>
        <w:t>3</w:t>
      </w:r>
      <w:r>
        <w:t>yield of 286 micrograms per milligram of catalyst per hour, a 24-fold improvement over conventional Fe-WO</w:t>
      </w:r>
      <w:r>
        <w:rPr>
          <w:vertAlign w:val="subscript"/>
        </w:rPr>
        <w:t>3</w:t>
      </w:r>
      <w:r>
        <w:t>nanowires, with stable performance over 30 cycles. This work demonstrates functionally integrated, bioinspired catalysis at the subnanoscale, offering a paradigm for efficient molecular conversion.</w:t>
      </w:r>
    </w:p>
    <w:p>
      <w:pPr>
        <w:spacing w:before="120" w:after="120"/>
      </w:pPr>
      <w:r>
        <w:rPr>
          <w:sz w:val="18"/>
        </w:rPr>
        <w:t>——————————————————————————————————————————————————————————————————————</w:t>
      </w:r>
    </w:p>
    <w:p>
      <w:pPr>
        <w:spacing w:before="160" w:after="40" w:line="240" w:lineRule="auto"/>
      </w:pPr>
      <w:r>
        <w:rPr>
          <w:b/>
        </w:rPr>
        <w:t xml:space="preserve">[23] </w:t>
      </w:r>
      <w:hyperlink r:id="rId226">
        <w:r>
          <w:rPr>
            <w:color w:val="1155CC"/>
            <w:u w:val="single"/>
          </w:rPr>
          <w:t>限制工程 Ir-IrO2 界面激活氢键介导的氧化物途径机制，实现持久酸性水氧化</w:t>
        </w:r>
      </w:hyperlink>
    </w:p>
    <w:p>
      <w:pPr>
        <w:spacing w:before="0" w:after="80"/>
      </w:pPr>
      <w:r>
        <w:rPr>
          <w:i/>
          <w:sz w:val="20"/>
        </w:rPr>
        <w:t>EN: Confinement‐Engineered Ir‐IrO2 Interfaces Activate Hydrogen‐Bond‐Mediated Oxide Pathway Mechanism for Durable Acidic Water Oxidation</w:t>
      </w:r>
    </w:p>
    <w:p>
      <w:pPr>
        <w:spacing w:before="0" w:after="120"/>
      </w:pPr>
      <w:r>
        <w:rPr>
          <w:b/>
        </w:rPr>
        <w:t xml:space="preserve">Source: </w:t>
      </w:r>
      <w:r>
        <w:t>Wiley: Advanced Materials: Table of Contents</w:t>
      </w:r>
      <w:r>
        <w:t xml:space="preserve">    </w:t>
      </w:r>
      <w:r>
        <w:rPr>
          <w:b/>
        </w:rPr>
        <w:t xml:space="preserve">Pub date: </w:t>
      </w:r>
      <w:r>
        <w:t>2026-06-24 08:12:43+00:00</w:t>
      </w:r>
      <w:r>
        <w:t xml:space="preserve">    </w:t>
      </w:r>
      <w:r>
        <w:rPr>
          <w:b/>
        </w:rPr>
        <w:t xml:space="preserve">DOI: </w:t>
      </w:r>
      <w:hyperlink r:id="rId227">
        <w:r>
          <w:rPr>
            <w:color w:val="1155CC"/>
            <w:u w:val="single"/>
          </w:rPr>
          <w:t>10.1002/adma.73818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在低铱负载量下实现持久的酸性析氧仍然是质子交换膜水电解（PEMWE）的瓶颈。传统的 Ir 催化剂受到吸附质演化机制结垢和晶格氧诱导降解的限制，而由于亚 2.9 Å Ir─Ir 双位点在高阳极电位下的不稳定性，氧化物途径机制 (OPM) 仍然难以实现。在这里，我们报告了一种限制工程策略，将 Ir 前体定位在层状共价有机框架的纳米通道和层间画廊内，产生超薄孪生 Ir-IrO</w:t>
      </w:r>
      <w:r>
        <w:rPr>
          <w:vertAlign w:val="subscript"/>
        </w:rPr>
        <w:t>2</w:t>
      </w:r>
      <w:r>
        <w:t>具有收缩的 2.68 Å Ir─Ir 双位点几何结构的界面。操作光谱分析表明，这些界面在 OER 过程中激活了氧化物途径。动力学分析揭示了氢键介导的 OPM (HB-OPM)，其中表面中间体之间的氢键 (</w:t>
      </w:r>
      <w:r>
        <w:t xml:space="preserve"> </w:t>
      </w:r>
      <w:r>
        <w:t>*</w:t>
      </w:r>
      <w:r>
        <w:t xml:space="preserve"> </w:t>
      </w:r>
      <w:r>
        <w:t>哦……</w:t>
      </w:r>
      <w:r>
        <w:t xml:space="preserve"> </w:t>
      </w:r>
      <w:r>
        <w:t>*</w:t>
      </w:r>
      <w:r>
        <w:t xml:space="preserve"> </w:t>
      </w:r>
      <w:r>
        <w:t>哦/</w:t>
      </w:r>
      <w:r>
        <w:t>*</w:t>
      </w:r>
      <w:r>
        <w:t xml:space="preserve"> </w:t>
      </w:r>
      <w:r>
        <w:t>氧·H2O</w:t>
      </w:r>
      <w:r>
        <w:t xml:space="preserve"> </w:t>
      </w:r>
      <w:r>
        <w:t>*</w:t>
      </w:r>
      <w:r>
        <w:t xml:space="preserve"> </w:t>
      </w:r>
      <w:r>
        <w:t>）和电场诱导的界面水重组共同降低了O─O耦合势垒并抑制Ir过度氧化。该催化剂实现了低铱含量（0.28 毫克</w:t>
      </w:r>
      <w:r>
        <w:t xml:space="preserve"> </w:t>
      </w:r>
      <w:r>
        <w:t>红外线</w:t>
      </w:r>
      <w:r>
        <w:t xml:space="preserve"> </w:t>
      </w:r>
      <w:r>
        <w:t>厘米</w:t>
      </w:r>
      <w:r>
        <w:t xml:space="preserve"> </w:t>
      </w:r>
      <w:r>
        <w:t>−2</w:t>
      </w:r>
      <w:r>
        <w:t xml:space="preserve"> </w:t>
      </w:r>
      <w:r>
        <w:t>) PEMWE 性能高活性 (2 A cm</w:t>
      </w:r>
      <w:r>
        <w:t xml:space="preserve"> </w:t>
      </w:r>
      <w:r>
        <w:t>−2</w:t>
      </w:r>
      <w:r>
        <w:t xml:space="preserve"> </w:t>
      </w:r>
      <w:r>
        <w:t>在 1.71 V）和卓越的耐用性，操作</w:t>
      </w:r>
    </w:p>
    <w:p>
      <w:pPr>
        <w:spacing w:before="0" w:after="200" w:lineRule="auto" w:line="276"/>
      </w:pPr>
      <w:r>
        <w:rPr>
          <w:b/>
        </w:rPr>
        <w:t xml:space="preserve">Abstract (EN): </w:t>
      </w:r>
      <w:r>
        <w:t>Achieving durable acidic oxygen evolution at low iridium loadings remains the bottleneck for proton exchange membrane water electrolysis (PEMWE). Conventional Ir catalysts are limited by adsorbate evolution mechanism scaling and lattice‐oxygen‐induced degradation, while the oxide pathway mechanism (OPM) has remained inaccessible due to the instability of sub‐2.9 Å Ir─Ir dual sites under high anodic potentials. Here, we report a confinement‐engineered strategy that localizes Ir precursors within the nanochannels and interlayer galleries of a layered covalent organic framework, yielding ultrathin twinned Ir‐IrO</w:t>
      </w:r>
      <w:r>
        <w:rPr>
          <w:vertAlign w:val="subscript"/>
        </w:rPr>
        <w:t>2</w:t>
      </w:r>
      <w:r>
        <w:t>interfaces with a contracted 2.68 Å Ir─Ir dual‐site geometry. Operando spectroscopic analyses establish that these interfaces activate the oxide pathway during OER. Kinetic analysis reveals a hydrogen‐bond‐mediated OPM (HB‐OPM), in which hydrogen bonding between surface intermediates (</w:t>
      </w:r>
      <w:r>
        <w:t xml:space="preserve"> </w:t>
      </w:r>
      <w:r>
        <w:t>*</w:t>
      </w:r>
      <w:r>
        <w:t xml:space="preserve"> </w:t>
      </w:r>
      <w:r>
        <w:t>OH···</w:t>
      </w:r>
      <w:r>
        <w:t xml:space="preserve"> </w:t>
      </w:r>
      <w:r>
        <w:t>*</w:t>
      </w:r>
      <w:r>
        <w:t xml:space="preserve"> </w:t>
      </w:r>
      <w:r>
        <w:t>OH/</w:t>
      </w:r>
      <w:r>
        <w:t>*</w:t>
      </w:r>
      <w:r>
        <w:t xml:space="preserve"> </w:t>
      </w:r>
      <w:r>
        <w:t>O···HO</w:t>
      </w:r>
      <w:r>
        <w:t xml:space="preserve"> </w:t>
      </w:r>
      <w:r>
        <w:t>*</w:t>
      </w:r>
      <w:r>
        <w:t xml:space="preserve"> </w:t>
      </w:r>
      <w:r>
        <w:t>) and electric‐field‐induced reorganization of interfacial water cooperatively lowers the O─O coupling barrier and suppresses Ir over‐oxidation. This catalyst achieves low‑iridium (0.28 mg</w:t>
      </w:r>
      <w:r>
        <w:t xml:space="preserve"> </w:t>
      </w:r>
      <w:r>
        <w:t>Ir</w:t>
      </w:r>
      <w:r>
        <w:t xml:space="preserve"> </w:t>
      </w:r>
      <w:r>
        <w:t>cm</w:t>
      </w:r>
      <w:r>
        <w:t xml:space="preserve"> </w:t>
      </w:r>
      <w:r>
        <w:t>−2</w:t>
      </w:r>
      <w:r>
        <w:t xml:space="preserve"> </w:t>
      </w:r>
      <w:r>
        <w:t>) PEMWE performance with high activity (2 A cm</w:t>
      </w:r>
      <w:r>
        <w:t xml:space="preserve"> </w:t>
      </w:r>
      <w:r>
        <w:t>−2</w:t>
      </w:r>
      <w:r>
        <w:t xml:space="preserve"> </w:t>
      </w:r>
      <w:r>
        <w:t>at 1.71 V) and exceptional durability, operating for over 5500 h at 1 A cm</w:t>
      </w:r>
      <w:r>
        <w:t xml:space="preserve"> </w:t>
      </w:r>
      <w:r>
        <w:t>−2</w:t>
      </w:r>
      <w:r>
        <w:t xml:space="preserve"> </w:t>
      </w:r>
      <w:r>
        <w:t>with a decay rate of 3.5 mV kh</w:t>
      </w:r>
      <w:r>
        <w:t xml:space="preserve"> </w:t>
      </w:r>
      <w:r>
        <w:t>−1</w:t>
      </w:r>
      <w:r>
        <w:t xml:space="preserve"> </w:t>
      </w:r>
      <w:r>
        <w:t>. These results demonstrate that confinement‐engineered Ir‐IrO</w:t>
      </w:r>
      <w:r>
        <w:rPr>
          <w:vertAlign w:val="subscript"/>
        </w:rPr>
        <w:t>2</w:t>
      </w:r>
      <w:r>
        <w:t>interfaces provide an effective strategy for activating OPM and support HB‐OPM as a key mechanism for designing durable, low‐Ir acidic OER catalysts.</w:t>
      </w:r>
    </w:p>
    <w:p>
      <w:pPr>
        <w:spacing w:before="120" w:after="120"/>
      </w:pPr>
      <w:r>
        <w:rPr>
          <w:sz w:val="18"/>
        </w:rPr>
        <w:t>——————————————————————————————————————————————————————————————————————</w:t>
      </w:r>
    </w:p>
    <w:p>
      <w:pPr>
        <w:spacing w:before="160" w:after="40" w:line="240" w:lineRule="auto"/>
      </w:pPr>
      <w:r>
        <w:rPr>
          <w:b/>
        </w:rPr>
        <w:t xml:space="preserve">[24] </w:t>
      </w:r>
      <w:hyperlink r:id="rId228">
        <w:r>
          <w:rPr>
            <w:color w:val="1155CC"/>
            <w:u w:val="single"/>
          </w:rPr>
          <w:t>通过质子陶瓷燃料电池阴极的原位反向原子捕获增强质子传导和氧还原动力学</w:t>
        </w:r>
      </w:hyperlink>
    </w:p>
    <w:p>
      <w:pPr>
        <w:spacing w:before="0" w:after="80"/>
      </w:pPr>
      <w:r>
        <w:rPr>
          <w:i/>
          <w:sz w:val="20"/>
        </w:rPr>
        <w:t>EN: Boosting Proton Conduction and Oxygen Reduction Kinetics via In Situ Reverse Atom Capture for Protonic Ceramic Fuel Cell Cathodes</w:t>
      </w:r>
    </w:p>
    <w:p>
      <w:pPr>
        <w:spacing w:before="0" w:after="120"/>
      </w:pPr>
      <w:r>
        <w:rPr>
          <w:b/>
        </w:rPr>
        <w:t xml:space="preserve">Source: </w:t>
      </w:r>
      <w:r>
        <w:t>Wiley: Advanced Energy Materials: Table of Contents</w:t>
      </w:r>
      <w:r>
        <w:t xml:space="preserve">    </w:t>
      </w:r>
      <w:r>
        <w:rPr>
          <w:b/>
        </w:rPr>
        <w:t xml:space="preserve">Pub date: </w:t>
      </w:r>
      <w:r>
        <w:t>2026-06-24 10:36:16+00:00</w:t>
      </w:r>
      <w:r>
        <w:t xml:space="preserve">    </w:t>
      </w:r>
      <w:r>
        <w:rPr>
          <w:b/>
        </w:rPr>
        <w:t xml:space="preserve">DOI: </w:t>
      </w:r>
      <w:hyperlink r:id="rId229">
        <w:r>
          <w:rPr>
            <w:color w:val="1155CC"/>
            <w:u w:val="single"/>
          </w:rPr>
          <w:t>10.1002/aenm.71226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尽管三导（H</w:t>
      </w:r>
      <w:r>
        <w:t xml:space="preserve"> </w:t>
      </w:r>
      <w:r>
        <w:t>+</w:t>
      </w:r>
      <w:r>
        <w:t xml:space="preserve"> </w:t>
      </w:r>
      <w:r>
        <w:t>/O</w:t>
      </w:r>
      <w:r>
        <w:t xml:space="preserve"> </w:t>
      </w:r>
      <w:r>
        <w:t>2−</w:t>
      </w:r>
      <w:r>
        <w:t>/e</w:t>
      </w:r>
      <w:r>
        <w:t xml:space="preserve"> </w:t>
      </w:r>
      <w:r>
        <w:t>-</w:t>
      </w:r>
      <w:r>
        <w:t>）阴极具有显着先进的质子陶瓷燃料电池（PCFC），有限的质子传输和表面阳离子分离仍然是商业化的主要挑战。在这里，我们提出了一种新型原子层沉积（ALD）启用的反向原子捕获策略，以实现钙钛矿阴极上质子导体的原位构建。 Sn 物质首先沉积在 PrBa 上</w:t>
      </w:r>
      <w:r>
        <w:t xml:space="preserve"> </w:t>
      </w:r>
      <w:r>
        <w:t>0.5</w:t>
      </w:r>
      <w:r>
        <w:t xml:space="preserve"> </w:t>
      </w:r>
      <w:r>
        <w:t>锶</w:t>
      </w:r>
      <w:r>
        <w:t xml:space="preserve"> </w:t>
      </w:r>
      <w:r>
        <w:t>0.5</w:t>
      </w:r>
      <w:r>
        <w:t xml:space="preserve"> </w:t>
      </w:r>
      <w:r>
        <w:t>钴</w:t>
      </w:r>
      <w:r>
        <w:t xml:space="preserve"> </w:t>
      </w:r>
      <w:r>
        <w:t>1.5</w:t>
      </w:r>
      <w:r>
        <w:t xml:space="preserve"> </w:t>
      </w:r>
      <w:r>
        <w:t>铁</w:t>
      </w:r>
      <w:r>
        <w:t xml:space="preserve"> </w:t>
      </w:r>
      <w:r>
        <w:t>0.5</w:t>
      </w:r>
      <w:r>
        <w:t xml:space="preserve"> </w:t>
      </w:r>
      <w:r>
        <w:t>氧</w:t>
      </w:r>
      <w:r>
        <w:t xml:space="preserve"> </w:t>
      </w:r>
      <w:r>
        <w:t>5+δ</w:t>
      </w:r>
      <w:r>
        <w:t xml:space="preserve"> </w:t>
      </w:r>
      <w:r>
        <w:t>(PBSCF)通过ALD，然后进行高温煅烧。通过反向原子捕获机制，Sn选择性地从PBSCF晶格中捕获Ba/Sr，原位形成(Ba/Sr)SnO</w:t>
      </w:r>
      <w:r>
        <w:t xml:space="preserve"> </w:t>
      </w:r>
      <w:r>
        <w:t>3-δ</w:t>
      </w:r>
      <w:r>
        <w:t xml:space="preserve"> </w:t>
      </w:r>
      <w:r>
        <w:t>(BSS)@PBSCF 异质结构。这种设计协同增加了 PBSCF 中的氧空位浓度，并利用 BSS 的高质子传导性，从而增强质子参与的氧还原反应动力学并抑制阳离子偏析。具有优化 Sn10-PBSCF 阴极的电池可提供 1.90 W cm 的峰值功率密度</w:t>
      </w:r>
      <w:r>
        <w:t xml:space="preserve"> </w:t>
      </w:r>
      <w:r>
        <w:t>−2</w:t>
      </w:r>
      <w:r>
        <w:t xml:space="preserve"> </w:t>
      </w:r>
      <w:r>
        <w:t>在 650°C 下运行并可稳定运行 210 小时以上。密度泛函理论计算进一步揭示了质子迁移的减少</w:t>
      </w:r>
    </w:p>
    <w:p>
      <w:pPr>
        <w:spacing w:before="0" w:after="200" w:lineRule="auto" w:line="276"/>
      </w:pPr>
      <w:r>
        <w:rPr>
          <w:b/>
        </w:rPr>
        <w:t xml:space="preserve">Abstract (EN): </w:t>
      </w:r>
      <w:r>
        <w:t>Although triple‐conducting (H</w:t>
      </w:r>
      <w:r>
        <w:t xml:space="preserve"> </w:t>
      </w:r>
      <w:r>
        <w:t>+</w:t>
      </w:r>
      <w:r>
        <w:t xml:space="preserve"> </w:t>
      </w:r>
      <w:r>
        <w:t>/O</w:t>
      </w:r>
      <w:r>
        <w:t xml:space="preserve"> </w:t>
      </w:r>
      <w:r>
        <w:t>2−</w:t>
      </w:r>
      <w:r>
        <w:t>/e</w:t>
      </w:r>
      <w:r>
        <w:t xml:space="preserve"> </w:t>
      </w:r>
      <w:r>
        <w:t>−</w:t>
      </w:r>
      <w:r>
        <w:t>) cathodes have significantly advanced protonic ceramic fuel cells (PCFCs), limited proton transport and surface cation segregation remain major challenges to commercialization. Here we present a novel atomic layer deposition (ALD)‐enabled reverse atom capture strategy to achieve the in‐situ construction of a protonic conductor on the perovskite cathode. Sn species are first deposited onto PrBa</w:t>
      </w:r>
      <w:r>
        <w:t xml:space="preserve"> </w:t>
      </w:r>
      <w:r>
        <w:t>0.5</w:t>
      </w:r>
      <w:r>
        <w:t xml:space="preserve"> </w:t>
      </w:r>
      <w:r>
        <w:t>Sr</w:t>
      </w:r>
      <w:r>
        <w:t xml:space="preserve"> </w:t>
      </w:r>
      <w:r>
        <w:t>0.5</w:t>
      </w:r>
      <w:r>
        <w:t xml:space="preserve"> </w:t>
      </w:r>
      <w:r>
        <w:t>Co</w:t>
      </w:r>
      <w:r>
        <w:t xml:space="preserve"> </w:t>
      </w:r>
      <w:r>
        <w:t>1.5</w:t>
      </w:r>
      <w:r>
        <w:t xml:space="preserve"> </w:t>
      </w:r>
      <w:r>
        <w:t>Fe</w:t>
      </w:r>
      <w:r>
        <w:t xml:space="preserve"> </w:t>
      </w:r>
      <w:r>
        <w:t>0.5</w:t>
      </w:r>
      <w:r>
        <w:t xml:space="preserve"> </w:t>
      </w:r>
      <w:r>
        <w:t>O</w:t>
      </w:r>
      <w:r>
        <w:t xml:space="preserve"> </w:t>
      </w:r>
      <w:r>
        <w:t>5+δ</w:t>
      </w:r>
      <w:r>
        <w:t xml:space="preserve"> </w:t>
      </w:r>
      <w:r>
        <w:t>(PBSCF) via ALD, followed by high‐temperature calcination. Through a reverse atom capture mechanism, Sn selectively captures Ba/Sr from the PBSCF lattice to in‐situ form a (Ba/Sr)SnO</w:t>
      </w:r>
      <w:r>
        <w:t xml:space="preserve"> </w:t>
      </w:r>
      <w:r>
        <w:t>3‐δ</w:t>
      </w:r>
      <w:r>
        <w:t xml:space="preserve"> </w:t>
      </w:r>
      <w:r>
        <w:t>(BSS)@PBSCF heterostructure. This design synergistically increases oxygen vacancy concentration in PBSCF and harnesses the high protonic conductivity of BSS, thereby enhancing proton‐involved oxygen reduction reaction kinetics and suppressing cation segregation. The cells with the optimized Sn10‐PBSCF cathode deliver a peak power density of 1.90 W cm</w:t>
      </w:r>
      <w:r>
        <w:t xml:space="preserve"> </w:t>
      </w:r>
      <w:r>
        <w:t>−2</w:t>
      </w:r>
      <w:r>
        <w:t xml:space="preserve"> </w:t>
      </w:r>
      <w:r>
        <w:t>at 650°C and demonstrate stable operation over 210 h. Density functional theory calculations further reveal a reduced proton migration barrier in BSS. This work introduces an efficient ALD‐enabled reverse atom capture strategy to advance the commercial viability of PCFCs.</w:t>
      </w:r>
    </w:p>
    <w:p>
      <w:pPr>
        <w:spacing w:before="120" w:after="120"/>
      </w:pPr>
      <w:r>
        <w:rPr>
          <w:sz w:val="18"/>
        </w:rPr>
        <w:t>——————————————————————————————————————————————————————————————————————</w:t>
      </w:r>
    </w:p>
    <w:p>
      <w:pPr>
        <w:spacing w:before="160" w:after="40" w:line="240" w:lineRule="auto"/>
      </w:pPr>
      <w:r>
        <w:rPr>
          <w:b/>
        </w:rPr>
        <w:t xml:space="preserve">[25] </w:t>
      </w:r>
      <w:hyperlink r:id="rId178">
        <w:r>
          <w:rPr>
            <w:color w:val="1155CC"/>
            <w:u w:val="single"/>
          </w:rPr>
          <w:t>太阳能驱动的光热制氢：最新进展和未来展望（Adv. Energy Mater. 24/2026）</w:t>
        </w:r>
      </w:hyperlink>
    </w:p>
    <w:p>
      <w:pPr>
        <w:spacing w:before="0" w:after="80"/>
      </w:pPr>
      <w:r>
        <w:rPr>
          <w:i/>
          <w:sz w:val="20"/>
        </w:rPr>
        <w:t>EN: Solar‐Driven Photothermal Hydrogen Production: Recent Advances and Future Perspectives (Adv. Energy Mater. 24/2026)</w:t>
      </w:r>
    </w:p>
    <w:p>
      <w:pPr>
        <w:spacing w:before="0" w:after="120"/>
      </w:pPr>
      <w:r>
        <w:rPr>
          <w:b/>
        </w:rPr>
        <w:t xml:space="preserve">Source: </w:t>
      </w:r>
      <w:r>
        <w:t>Wiley: Advanced Energy Materials: Table of Contents</w:t>
      </w:r>
      <w:r>
        <w:t xml:space="preserve">    </w:t>
      </w:r>
      <w:r>
        <w:rPr>
          <w:b/>
        </w:rPr>
        <w:t xml:space="preserve">Pub date: </w:t>
      </w:r>
      <w:r>
        <w:t>2026-06-24 13:52:06+00:00</w:t>
      </w:r>
      <w:r>
        <w:t xml:space="preserve">    </w:t>
      </w:r>
      <w:r>
        <w:rPr>
          <w:b/>
        </w:rPr>
        <w:t xml:space="preserve">DOI: </w:t>
      </w:r>
      <w:hyperlink r:id="rId179">
        <w:r>
          <w:rPr>
            <w:color w:val="1155CC"/>
            <w:u w:val="single"/>
          </w:rPr>
          <w:t>10.1002/aenm.71120</w:t>
        </w:r>
      </w:hyperlink>
    </w:p>
    <w:p>
      <w:pPr>
        <w:spacing w:before="0" w:after="120"/>
      </w:pPr>
      <w:r>
        <w:rPr>
          <w:b/>
        </w:rPr>
        <w:t xml:space="preserve">Notes: </w:t>
      </w:r>
      <w:r>
        <w:t>abstract_source=openalex</w:t>
      </w:r>
    </w:p>
    <w:p>
      <w:pPr>
        <w:spacing w:before="0" w:after="80" w:lineRule="auto" w:line="276"/>
      </w:pPr>
      <w:r>
        <w:rPr>
          <w:b/>
        </w:rPr>
        <w:t xml:space="preserve">摘要（ZH）: </w:t>
      </w:r>
      <w:r>
        <w:t>光热制氢光热制氢将太阳光收集与局部热量产生相结合，以协同调节光吸收、电荷动力学和界面反应途径。通过尺寸和形态工程、热场调制和局部光热加热，光热系统可以抑制逆反应，降低活化势垒，优化吸附/解吸过程，加速析氢动力学，从而促进太阳能驱动的氢气生产。更多内容请参见文章编号 e70941，Zhangxing Chen、Heng Zhu 及其同事。</w:t>
      </w:r>
    </w:p>
    <w:p>
      <w:pPr>
        <w:spacing w:before="0" w:after="200" w:lineRule="auto" w:line="276"/>
      </w:pPr>
      <w:r>
        <w:rPr>
          <w:b/>
        </w:rPr>
        <w:t xml:space="preserve">Abstract (EN): </w:t>
      </w:r>
      <w:r>
        <w:t>Photothermal Hydrogen Production Photothermal hydrogen production integrates solar light harvesting with localized heat generation to synergistically regulate light absorption, charge dynamics, and interfacial reaction pathways. Through size and morphology engineering, thermal field modulation, and local photothermal heating, photothermal systems can suppress reverse reactions, lower activation barriers, optimize adsorption/desorption processes, and accelerate hydrogen evolution kinetics, thus promote solar-driven hydrogen production. More in article number e70941, Zhangxing Chen, Heng Zhao, and co-workers.</w:t>
      </w:r>
    </w:p>
    <w:p>
      <w:pPr>
        <w:spacing w:before="120" w:after="120"/>
      </w:pPr>
      <w:r>
        <w:rPr>
          <w:sz w:val="18"/>
        </w:rPr>
        <w:t>——————————————————————————————————————————————————————————————————————</w:t>
      </w:r>
    </w:p>
    <w:p>
      <w:pPr>
        <w:spacing w:before="160" w:after="40" w:line="240" w:lineRule="auto"/>
      </w:pPr>
      <w:r>
        <w:rPr>
          <w:b/>
        </w:rPr>
        <w:t xml:space="preserve">[26] </w:t>
      </w:r>
      <w:hyperlink r:id="rId230">
        <w:r>
          <w:rPr>
            <w:color w:val="1155CC"/>
            <w:u w:val="single"/>
          </w:rPr>
          <w:t>异质界面上的内置电场和 Ir-Cl 基序可实现选择性且持久的海水电解</w:t>
        </w:r>
      </w:hyperlink>
    </w:p>
    <w:p>
      <w:pPr>
        <w:spacing w:before="0" w:after="80"/>
      </w:pPr>
      <w:r>
        <w:rPr>
          <w:i/>
          <w:sz w:val="20"/>
        </w:rPr>
        <w:t>EN: Built-In Electric Fields and Ir-Cl Motifs at Heterointerfaces Enable Selective and Durable Seawater Electrolysis</w:t>
      </w:r>
    </w:p>
    <w:p>
      <w:pPr>
        <w:spacing w:before="0" w:after="120"/>
      </w:pPr>
      <w:r>
        <w:rPr>
          <w:b/>
        </w:rPr>
        <w:t xml:space="preserve">Source: </w:t>
      </w:r>
      <w:r>
        <w:t>RSC - Energy Environ. Sci. latest articles</w:t>
      </w:r>
      <w:r>
        <w:t xml:space="preserve">    </w:t>
      </w:r>
      <w:r>
        <w:rPr>
          <w:b/>
        </w:rPr>
        <w:t xml:space="preserve">Pub date: </w:t>
      </w:r>
      <w:r>
        <w:t>2026-06-24 23:00:00+00:00</w:t>
      </w:r>
    </w:p>
    <w:p>
      <w:pPr>
        <w:spacing w:before="0" w:after="120"/>
      </w:pPr>
      <w:r>
        <w:rPr>
          <w:b/>
        </w:rPr>
        <w:t xml:space="preserve">Notes: </w:t>
      </w:r>
      <w:r>
        <w:t>abstract_source=rsc_html</w:t>
      </w:r>
    </w:p>
    <w:p>
      <w:pPr>
        <w:spacing w:before="0" w:after="80" w:lineRule="auto" w:line="276"/>
      </w:pPr>
      <w:r>
        <w:rPr>
          <w:b/>
        </w:rPr>
        <w:t xml:space="preserve">摘要（ZH）: </w:t>
      </w:r>
      <w:r>
        <w:t>碱性海水电解从根本上受到析氧反应 (OER) 活性、选择性和耐久性之间内在权衡的限制，这是由于 OER 动力学缓慢、寄生氯化物氧化和催化剂降解造成的。在这里，我们报告了 Ir/NiFe 层状双氢氧化物 (Ir/NiFe LDH) 异质结构的集成界面设计，该设计将双通道 OER 动力学促进与异质界面处的氯离子沉降效应结合起来。从金属 Ir 到 NiFe LDH 的自发界面电荷转移建立了一个内置电场，该电场调节 Ni/Fe 活性中心的电子结构，同时激活吸附质演化机制和晶格氧机制，从而加速 OER 动力学。同时，耦合的 Ir 域充当强大的氯离子汇：Cl- 优先与 Ir 位点配位，形成稳定的 Ir-Cl 基序，将腐蚀性氯离子重新引导远离 NiFe OER 活性中心，并抑制氯离子氧化副反应。因此，该催化剂在碱性天然海水中在 10 mA cm-2 下提供 201 mV 的超低过电势，并在商用电解槽中在 500 mA cm-2 下维持运行超过 5200 小时，电压衰减可忽略不计，实现 71.2% 的能源效率和 0.944 kg-1 H2 美元的电力成本。这项工作解决了碱性海水电解中长期存在的活性-选择性-耐久性权衡问题，并为化学竞争复合物中的高性能电催化提供了通用的界面工程策略</w:t>
      </w:r>
    </w:p>
    <w:p>
      <w:pPr>
        <w:spacing w:before="0" w:after="200" w:lineRule="auto" w:line="276"/>
      </w:pPr>
      <w:r>
        <w:rPr>
          <w:b/>
        </w:rPr>
        <w:t xml:space="preserve">Abstract (EN): </w:t>
      </w:r>
      <w:r>
        <w:t>Alkaline seawater electrolysis is fundamentally constrained by intrinsic trade-offs among oxygen evolution reaction (OER) activity, selectivity, and durability, arising from sluggish OER kinetics, parasitic chloride oxidation, and catalyst degradation. Here, we report an integrated interfacial design of an Ir/NiFe layered double hydroxide (Ir/NiFe LDH) heterostructure that unifies dual-pathway OER kinetic promotion with a chloride-sink effect at a heterointerface. Spontaneous interfacial charge transfer from metallic Ir to NiFe LDH establishes a built-in electric field, which regulates electronic structure of the Ni/Fe active centers and simultaneously activates both the adsorbate evolution mechanism and the lattice oxygen mechanism, thereby accelerating OER kinetics. Meanwhile, the coupled Ir domains serve as robust chloride sinks: Cl- preferentially coordinates to Ir sites to form stable Ir-Cl motifs, redirecting corrosive chloride species away from the NiFe OER active centers and suppressing chloride oxidation side reactions. Consequently, the catalyst delivers an ultralow overpotential of 201 mV at 10 mA cm-2 in alkaline natural seawater and sustains operation for over 5200 h at 500 mA cm-2 in a commercial electrolyzer with negligible voltage decay, achieving an energy efficiency of 71.2% and an electricity cost of US$0.944 kg-1 H2. This work resolves the long-standing activity-selectivity-durability trade-off in alkaline seawater electrolysis and provides a general interfacial engineering strategy for high-performance electrocatalysis in chemically competitive complex electrolytes.</w:t>
      </w:r>
    </w:p>
    <w:p>
      <w:pPr>
        <w:spacing w:before="120" w:after="120"/>
      </w:pPr>
      <w:r>
        <w:rPr>
          <w:sz w:val="18"/>
        </w:rPr>
        <w:t>——————————————————————————————————————————————————————————————————————</w:t>
      </w:r>
    </w:p>
    <w:p>
      <w:pPr>
        <w:spacing w:before="160" w:after="40" w:line="240" w:lineRule="auto"/>
      </w:pPr>
      <w:r>
        <w:rPr>
          <w:b/>
        </w:rPr>
        <w:t xml:space="preserve">[27] </w:t>
      </w:r>
      <w:hyperlink r:id="rId231">
        <w:r>
          <w:rPr>
            <w:color w:val="1155CC"/>
            <w:u w:val="single"/>
          </w:rPr>
          <w:t>氢在全球温室气体净零排放塑料行业中的作用</w:t>
        </w:r>
      </w:hyperlink>
    </w:p>
    <w:p>
      <w:pPr>
        <w:spacing w:before="0" w:after="80"/>
      </w:pPr>
      <w:r>
        <w:rPr>
          <w:i/>
          <w:sz w:val="20"/>
        </w:rPr>
        <w:t>EN: The role of hydrogen in a global net-zero greenhouse gas emission plastics industry</w:t>
      </w:r>
    </w:p>
    <w:p>
      <w:pPr>
        <w:spacing w:before="0" w:after="120"/>
      </w:pPr>
      <w:r>
        <w:rPr>
          <w:b/>
        </w:rPr>
        <w:t xml:space="preserve">Source: </w:t>
      </w:r>
      <w:r>
        <w:t>Joule</w:t>
      </w:r>
      <w:r>
        <w:t xml:space="preserve">    </w:t>
      </w:r>
      <w:r>
        <w:rPr>
          <w:b/>
        </w:rPr>
        <w:t xml:space="preserve">Pub date: </w:t>
      </w:r>
      <w:r>
        <w:t>2026-06-25 00:00:00+00:00</w:t>
      </w:r>
      <w:r>
        <w:t xml:space="preserve">    </w:t>
      </w:r>
      <w:r>
        <w:rPr>
          <w:b/>
        </w:rPr>
        <w:t xml:space="preserve">DOI: </w:t>
      </w:r>
      <w:hyperlink r:id="rId232">
        <w:r>
          <w:rPr>
            <w:color w:val="1155CC"/>
            <w:u w:val="single"/>
          </w:rPr>
          <w:t>10.1016/j.joule.2026.102537</w:t>
        </w:r>
      </w:hyperlink>
    </w:p>
    <w:p>
      <w:pPr>
        <w:spacing w:before="0" w:after="120"/>
      </w:pPr>
      <w:r>
        <w:rPr>
          <w:b/>
        </w:rPr>
        <w:t xml:space="preserve">Notes: </w:t>
      </w:r>
      <w:r>
        <w:t>abstract_source=rss_cell</w:t>
      </w:r>
    </w:p>
    <w:p>
      <w:pPr>
        <w:spacing w:before="0" w:after="80" w:lineRule="auto" w:line="276"/>
      </w:pPr>
      <w:r>
        <w:rPr>
          <w:b/>
        </w:rPr>
        <w:t xml:space="preserve">摘要（ZH）: </w:t>
      </w:r>
      <w:r>
        <w:t>脱化石塑料生产依赖于与生物质和碳捕获和利用（CCU）相结合的回收利用，这需要清洁的氢气。然而，生物基技术和 CCU 技术对氢气的需求尚不清楚。通过应用前瞻性生命周期评估，这项研究表明，到 2050 年实现全球塑料行业温室气体净零排放需要将氢气需求增加 14 倍，总计 126-145 公吨氢气。此外，通过结合生物基和电力制氢，塑料工业可以平衡多个地球边界。</w:t>
      </w:r>
    </w:p>
    <w:p>
      <w:pPr>
        <w:spacing w:before="0" w:after="200" w:lineRule="auto" w:line="276"/>
      </w:pPr>
      <w:r>
        <w:rPr>
          <w:b/>
        </w:rPr>
        <w:t xml:space="preserve">Abstract (EN): </w:t>
      </w:r>
      <w:r>
        <w:t>Defossilizing plastics production relies on recycling combined with biomass and carbon capture and utilization (CCU), which requires clean hydrogen. However, the hydrogen demand from bio-based and CCU technologies is unknown. By applying prospective life cycle assessment, this study shows that achieving a net-zero greenhouse gas emissions global plastics industry by 2050 requires a 14-fold increase in hydrogen demand, totaling 126–145 Mt of hydrogen. Moreover, by combining bio-based and electricity-based hydrogen production, the plastics industry can balance multiple planetary boundaries.</w:t>
      </w:r>
    </w:p>
    <w:p>
      <w:pPr>
        <w:spacing w:before="120" w:after="120"/>
      </w:pPr>
      <w:r>
        <w:rPr>
          <w:sz w:val="18"/>
        </w:rPr>
        <w:t>——————————————————————————————————————————————————————————————————————</w:t>
      </w:r>
    </w:p>
    <w:p>
      <w:pPr>
        <w:spacing w:before="160" w:after="40" w:line="240" w:lineRule="auto"/>
      </w:pPr>
      <w:r>
        <w:rPr>
          <w:b/>
        </w:rPr>
        <w:t xml:space="preserve">[28] </w:t>
      </w:r>
      <w:hyperlink r:id="rId233">
        <w:r>
          <w:rPr>
            <w:color w:val="1155CC"/>
            <w:u w:val="single"/>
          </w:rPr>
          <w:t>电池与燃料电池在中型和重型车辆脱碳应用中的比较</w:t>
        </w:r>
      </w:hyperlink>
    </w:p>
    <w:p>
      <w:pPr>
        <w:spacing w:before="0" w:after="80"/>
      </w:pPr>
      <w:r>
        <w:rPr>
          <w:i/>
          <w:sz w:val="20"/>
        </w:rPr>
        <w:t>EN: Batteries versus fuel cells for decarbonizing medium- and heavy-duty vehicles across applications</w:t>
      </w:r>
    </w:p>
    <w:p>
      <w:pPr>
        <w:spacing w:before="0" w:after="120"/>
      </w:pPr>
      <w:r>
        <w:rPr>
          <w:b/>
        </w:rPr>
        <w:t xml:space="preserve">Source: </w:t>
      </w:r>
      <w:r>
        <w:t>Nature Energy</w:t>
      </w:r>
      <w:r>
        <w:t xml:space="preserve">    </w:t>
      </w:r>
      <w:r>
        <w:rPr>
          <w:b/>
        </w:rPr>
        <w:t xml:space="preserve">Pub date: </w:t>
      </w:r>
      <w:r>
        <w:t>2026-06-25 00:00:00+00:00</w:t>
      </w:r>
      <w:r>
        <w:t xml:space="preserve">    </w:t>
      </w:r>
      <w:r>
        <w:rPr>
          <w:b/>
        </w:rPr>
        <w:t xml:space="preserve">DOI: </w:t>
      </w:r>
      <w:hyperlink r:id="rId234">
        <w:r>
          <w:rPr>
            <w:color w:val="1155CC"/>
            <w:u w:val="single"/>
          </w:rPr>
          <w:t>10.1038/s41560-026-02095-6</w:t>
        </w:r>
      </w:hyperlink>
    </w:p>
    <w:p>
      <w:pPr>
        <w:spacing w:before="0" w:after="120"/>
      </w:pPr>
      <w:r>
        <w:rPr>
          <w:b/>
        </w:rPr>
        <w:t xml:space="preserve">Notes: </w:t>
      </w:r>
      <w:r>
        <w:t>abstract_source=nature_html</w:t>
      </w:r>
    </w:p>
    <w:p>
      <w:pPr>
        <w:spacing w:before="0" w:after="80" w:lineRule="auto" w:line="276"/>
      </w:pPr>
      <w:r>
        <w:rPr>
          <w:b/>
        </w:rPr>
        <w:t xml:space="preserve">摘要（ZH）: </w:t>
      </w:r>
      <w:r>
        <w:t>中型和重型车辆是美国和全球温室气体 (GHG) 排放的主要来源。电池和燃料电池可以在该行业脱碳方面发挥关键作用。在此，我们对美国 3-8 类内燃机汽车、混合动力电动汽车 (HEV)、燃料电池电动汽车 (FCEV) 和纯电动汽车 (BEV) 进行生命周期温室气体评估。与传统的柴油燃料选项相比，替代动力系统可减少各种车辆类型的排放：HEV 减少 1-26%，使用蒸汽甲烷重整产生的氢气的 FCEV 减少 12-51%，由电网供电的 BEV 减少 44-68%，使用电解产生的氢气并由可再生电力提供动力的 FCEV 减少 72-82%，由可再生电力提供动力的 BEV 减少 87-92%。这些动力系统的订购涉及货物重量、行驶周期、区域电网和电网预测。我们还评估可再生电力消耗和氢气泄漏，这是评估不同动力系统脱碳适用性时必须考虑的两个因素。</w:t>
      </w:r>
    </w:p>
    <w:p>
      <w:pPr>
        <w:spacing w:before="0" w:after="200" w:lineRule="auto" w:line="276"/>
      </w:pPr>
      <w:r>
        <w:rPr>
          <w:b/>
        </w:rPr>
        <w:t xml:space="preserve">Abstract (EN): </w:t>
      </w:r>
      <w:r>
        <w:t>Medium- and heavy-duty vehicles are a major source of greenhouse gas (GHG) emissions in the United States and globally. Batteries and fuel cells can play a critical role in decarbonizing this sector. Here we conduct a life-cycle GHG assessment of class 3–8 internal combustion engine vehicles, hybrid electric vehicles (HEVs), fuel cell electric vehicles (FCEVs) and battery electric vehicles (BEVs) in the United States. Compared with conventional diesel-fuelled options, alternative powertrains reduce emissions across vehicle types: HEVs by 1–26%, FCEVs using hydrogen produced from steam methane reforming by 12–51%, BEVs powered by the grid by 44–68%, FCEVs using hydrogen produced from electrolysis powered by renewable electricity by 72–82% and BEVs powered by renewable electricity by 87–92%. The ordering of these powertrains holds across cargo weights, drive cycles, regional electricity grids and grid projections. We also assess renewable electricity consumption and hydrogen leakage, two factors that must be considered when evaluating the suitability of different powertrains for decarbonization.</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235">
        <w:r>
          <w:rPr>
            <w:color w:val="1155CC"/>
            <w:u w:val="single"/>
          </w:rPr>
          <w:t>作者更正：需求侧创新是材料脱碳的首要任务</w:t>
        </w:r>
      </w:hyperlink>
    </w:p>
    <w:p>
      <w:pPr>
        <w:spacing w:before="0" w:after="80"/>
      </w:pPr>
      <w:r>
        <w:rPr>
          <w:i/>
          <w:sz w:val="20"/>
        </w:rPr>
        <w:t>EN: Author Correction: Demand-side innovation is the priority for decarbonizing materials</w:t>
      </w:r>
    </w:p>
    <w:p>
      <w:pPr>
        <w:spacing w:before="0" w:after="120"/>
      </w:pPr>
      <w:r>
        <w:rPr>
          <w:b/>
        </w:rPr>
        <w:t xml:space="preserve">Source: </w:t>
      </w:r>
      <w:r>
        <w:t>Nature Reviews Materials</w:t>
      </w:r>
      <w:r>
        <w:t xml:space="preserve">    </w:t>
      </w:r>
      <w:r>
        <w:rPr>
          <w:b/>
        </w:rPr>
        <w:t xml:space="preserve">Pub date: </w:t>
      </w:r>
      <w:r>
        <w:t>2026-06-22 00:00:00+00:00</w:t>
      </w:r>
      <w:r>
        <w:t xml:space="preserve">    </w:t>
      </w:r>
      <w:r>
        <w:rPr>
          <w:b/>
        </w:rPr>
        <w:t xml:space="preserve">DOI: </w:t>
      </w:r>
      <w:hyperlink r:id="rId236">
        <w:r>
          <w:rPr>
            <w:color w:val="1155CC"/>
            <w:u w:val="single"/>
          </w:rPr>
          <w:t>10.1038/s41578-026-00939-x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37">
        <w:r>
          <w:rPr>
            <w:color w:val="1155CC"/>
            <w:u w:val="single"/>
          </w:rPr>
          <w:t>通过 CCS 和城市工业系统整合规划实现净零排放的道路：瑞士案例研究</w:t>
        </w:r>
      </w:hyperlink>
    </w:p>
    <w:p>
      <w:pPr>
        <w:spacing w:before="0" w:after="80"/>
      </w:pPr>
      <w:r>
        <w:rPr>
          <w:i/>
          <w:sz w:val="20"/>
        </w:rPr>
        <w:t>EN: Charting the path to net-zero via CCS and urban-industrial system integration: A Swiss case study</w:t>
      </w:r>
    </w:p>
    <w:p>
      <w:pPr>
        <w:spacing w:before="0" w:after="120"/>
      </w:pPr>
      <w:r>
        <w:rPr>
          <w:b/>
        </w:rPr>
        <w:t xml:space="preserve">Source: </w:t>
      </w:r>
      <w:r>
        <w:t>Joule</w:t>
      </w:r>
      <w:r>
        <w:t xml:space="preserve">    </w:t>
      </w:r>
      <w:r>
        <w:rPr>
          <w:b/>
        </w:rPr>
        <w:t xml:space="preserve">Pub date: </w:t>
      </w:r>
      <w:r>
        <w:t>2026-06-22 00:00:00+00:00</w:t>
      </w:r>
      <w:r>
        <w:t xml:space="preserve">    </w:t>
      </w:r>
      <w:r>
        <w:rPr>
          <w:b/>
        </w:rPr>
        <w:t xml:space="preserve">DOI: </w:t>
      </w:r>
      <w:hyperlink r:id="rId238">
        <w:r>
          <w:rPr>
            <w:color w:val="1155CC"/>
            <w:u w:val="single"/>
          </w:rPr>
          <w:t>10.1016/j.joule.2026.102533</w:t>
        </w:r>
      </w:hyperlink>
    </w:p>
    <w:p>
      <w:pPr>
        <w:spacing w:before="0" w:after="120"/>
      </w:pPr>
      <w:r>
        <w:rPr>
          <w:b/>
        </w:rPr>
        <w:t xml:space="preserve">Notes: </w:t>
      </w:r>
      <w:r>
        <w:t>abstract_source=rss_cell</w:t>
      </w:r>
    </w:p>
    <w:p>
      <w:pPr>
        <w:spacing w:before="0" w:after="80" w:lineRule="auto" w:line="276"/>
      </w:pPr>
      <w:r>
        <w:rPr>
          <w:b/>
        </w:rPr>
        <w:t xml:space="preserve">摘要（ZH）: </w:t>
      </w:r>
      <w:r>
        <w:t>城市工业集群提供了脱碳的重大机遇，因为它们拥有难以减少的排放和未开发的当地能源资源。本研究以瑞士莱茵河谷为试验场，对综合能源-碳关系进行建模，以确定 2050 年净零能源系统的成本最优解决方案。分析表明，协调的跨部门规划可以通过提高系统效率和减少对化石进口的依赖来降低长期系统成本。该研究为弹性区域脱碳提供了可扩展的蓝图。</w:t>
      </w:r>
    </w:p>
    <w:p>
      <w:pPr>
        <w:spacing w:before="0" w:after="200" w:lineRule="auto" w:line="276"/>
      </w:pPr>
      <w:r>
        <w:rPr>
          <w:b/>
        </w:rPr>
        <w:t xml:space="preserve">Abstract (EN): </w:t>
      </w:r>
      <w:r>
        <w:t>Urban-industrial clusters present major opportunities for decarbonization as they host both hard-to-abate emissions and untapped local energy resources. Using Switzerland’s Rheintal valley as a test bed, this study models the integrated energy-carbon nexus to identify cost-optimal solutions for a net-zero energy system 2050. The analysis shows that coordinated cross-sector planning can lower long-term system costs by increasing system efficiency and reducing reliance on fossil imports. The study provides a scalable blueprint for resilient regional decarbonization.</w:t>
      </w:r>
    </w:p>
    <w:p>
      <w:pPr>
        <w:spacing w:before="120" w:after="120"/>
      </w:pPr>
      <w:r>
        <w:rPr>
          <w:sz w:val="18"/>
        </w:rPr>
        <w:t>——————————————————————————————————————————————————————————————————————</w:t>
      </w:r>
    </w:p>
    <w:p>
      <w:pPr>
        <w:spacing w:before="160" w:after="40" w:line="240" w:lineRule="auto"/>
      </w:pPr>
      <w:r>
        <w:rPr>
          <w:b/>
        </w:rPr>
        <w:t xml:space="preserve">[3] </w:t>
      </w:r>
      <w:hyperlink r:id="rId239">
        <w:r>
          <w:rPr>
            <w:color w:val="1155CC"/>
            <w:u w:val="single"/>
          </w:rPr>
          <w:t>需求方因素是混凝土骨料循环中资源效率的主要驱动因素</w:t>
        </w:r>
      </w:hyperlink>
    </w:p>
    <w:p>
      <w:pPr>
        <w:spacing w:before="0" w:after="80"/>
      </w:pPr>
      <w:r>
        <w:rPr>
          <w:i/>
          <w:sz w:val="20"/>
        </w:rPr>
        <w:t>EN: Demand-side factors as dominant drivers of resource efficiency in the concrete aggregates cycle</w:t>
      </w:r>
    </w:p>
    <w:p>
      <w:pPr>
        <w:spacing w:before="0" w:after="120"/>
      </w:pPr>
      <w:r>
        <w:rPr>
          <w:b/>
        </w:rPr>
        <w:t xml:space="preserve">Source: </w:t>
      </w:r>
      <w:r>
        <w:t>Nature Sustainability</w:t>
      </w:r>
      <w:r>
        <w:t xml:space="preserve">    </w:t>
      </w:r>
      <w:r>
        <w:rPr>
          <w:b/>
        </w:rPr>
        <w:t xml:space="preserve">Pub date: </w:t>
      </w:r>
      <w:r>
        <w:t>2026-06-22 00:00:00+00:00</w:t>
      </w:r>
      <w:r>
        <w:t xml:space="preserve">    </w:t>
      </w:r>
      <w:r>
        <w:rPr>
          <w:b/>
        </w:rPr>
        <w:t xml:space="preserve">DOI: </w:t>
      </w:r>
      <w:hyperlink r:id="rId240">
        <w:r>
          <w:rPr>
            <w:color w:val="1155CC"/>
            <w:u w:val="single"/>
          </w:rPr>
          <w:t>10.1038/s41893-026-01860-5</w:t>
        </w:r>
      </w:hyperlink>
    </w:p>
    <w:p>
      <w:pPr>
        <w:spacing w:before="0" w:after="120"/>
      </w:pPr>
      <w:r>
        <w:rPr>
          <w:b/>
        </w:rPr>
        <w:t xml:space="preserve">Notes: </w:t>
      </w:r>
      <w:r>
        <w:t>abstract_source=nature_html</w:t>
      </w:r>
    </w:p>
    <w:p>
      <w:pPr>
        <w:spacing w:before="0" w:after="80" w:lineRule="auto" w:line="276"/>
      </w:pPr>
      <w:r>
        <w:rPr>
          <w:b/>
        </w:rPr>
        <w:t xml:space="preserve">摘要（ZH）: </w:t>
      </w:r>
      <w:r>
        <w:t>水泥、混凝土和骨料对于现代基础设施至关重要，但也推动了大量资源的使用。我们开发了全球混凝土骨料循环的综合框架，将流量、库存和服务结合到资源使用强度指标中，定义为人类发展指数的每单位资源使用量。使用 1990 年至 2018 年 184 个经济体的数据，我们将变化归因于生产侧和需求侧驱动因素。生产方面的改进，例如熟料替代或混凝土配方效率提高，仅产生了边际减少。相比之下，需求方驱动因素占主导地位。发展中经济体面临资金流入和流出之间的严重失衡，而工业化经济体则出现库存饱和和营业额下降的情况。有效的手段包括延长建筑寿命、通过设计和城市规划降低材料库存强度，以及实现再利用和结构强化。这些结果凸显了需求方战略在促进资源可持续性方面的决定性作用，同时强调了将资源效率与社会福利而不是经济产出联系起来的重要性。</w:t>
      </w:r>
    </w:p>
    <w:p>
      <w:pPr>
        <w:spacing w:before="0" w:after="200" w:lineRule="auto" w:line="276"/>
      </w:pPr>
      <w:r>
        <w:rPr>
          <w:b/>
        </w:rPr>
        <w:t xml:space="preserve">Abstract (EN): </w:t>
      </w:r>
      <w:r>
        <w:t>Cement, concrete and aggregates are essential to modern infrastructure, but drive substantial resource use. We develop an integrated framework of the global concrete aggregates cycle, combining flows, stocks and services into a resource-use intensity metric, defined as resource use per unit of the Human Development Index. Using data for 184 economies from 1990 to 2018, we attribute changes to production- and demand-side drivers. Production-side improvements, such as clinker substitution or efficiency gains in concrete formulation, have yielded only marginal reductions. By contrast, demand-side drivers dominate. Developing economies face large imbalances between inflows and outflows, while industrialized economies show stock saturation and declining turnover. Effective levers include extending building lifespans, reducing material stock intensity through design and urban planning, and enabling reuse and structural intensification. These results highlight the decisive role of demand-side strategies in advancing resource sustainability, while underscoring the importance of linking resource efficiency to social welfare rather than economic output.</w:t>
      </w:r>
    </w:p>
    <w:p>
      <w:pPr>
        <w:spacing w:before="120" w:after="120"/>
      </w:pPr>
      <w:r>
        <w:rPr>
          <w:sz w:val="18"/>
        </w:rPr>
        <w:t>——————————————————————————————————————————————————————————————————————</w:t>
      </w:r>
    </w:p>
    <w:p>
      <w:pPr>
        <w:spacing w:before="160" w:after="40" w:line="240" w:lineRule="auto"/>
      </w:pPr>
      <w:r>
        <w:rPr>
          <w:b/>
        </w:rPr>
        <w:t xml:space="preserve">[4] </w:t>
      </w:r>
      <w:hyperlink r:id="rId241">
        <w:r>
          <w:rPr>
            <w:color w:val="1155CC"/>
            <w:u w:val="single"/>
          </w:rPr>
          <w:t>电化学选择性氧转移可实现节能环保脱氧</w:t>
        </w:r>
      </w:hyperlink>
    </w:p>
    <w:p>
      <w:pPr>
        <w:spacing w:before="0" w:after="80"/>
      </w:pPr>
      <w:r>
        <w:rPr>
          <w:i/>
          <w:sz w:val="20"/>
        </w:rPr>
        <w:t>EN: Electrochemical selective oxygen transfer enables energy-efficient environmental deoxygenation</w:t>
      </w:r>
    </w:p>
    <w:p>
      <w:pPr>
        <w:spacing w:before="0" w:after="120"/>
      </w:pPr>
      <w:r>
        <w:rPr>
          <w:b/>
        </w:rPr>
        <w:t xml:space="preserve">Source: </w:t>
      </w:r>
      <w:r>
        <w:t>Physical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深度脱氧（定义为氧含量≤1%）越来越多地被用来抑制食品保存等应用中氧化驱动的腐败和副反应，但工业实践仍然依赖于变压吸附实现的氮气吹扫。由于通过稀释和置换来去除氧气取决于维持氮氧浓度梯度，因此这种方法需要大量的氮气通量和高功率输入。这种负担在冷链物流中尤其明显，因为制冷已经在运营成本和排放中占据主导地位。在这里，我们报告了一种电化学环境脱氧系统，该系统通过耦合的氧还原和析氧反应选择性地将氧气从受控环境传输到周围空气。该途径减少了熵的产生，并且比变压吸附更接近热力学最小值。当与低氧、中温保存相结合时，与传统的低温操作相比，该系统可将总能源消耗减少约 36%，同时保持或提高保存质量，支持可扩展、节能的氧气管理。</w:t>
      </w:r>
    </w:p>
    <w:p>
      <w:pPr>
        <w:spacing w:before="0" w:after="200" w:lineRule="auto" w:line="276"/>
      </w:pPr>
      <w:r>
        <w:rPr>
          <w:b/>
        </w:rPr>
        <w:t xml:space="preserve">Abstract (EN): </w:t>
      </w:r>
      <w:r>
        <w:t>Deep deoxygenation, defined as oxygen level ≤ 1%, is increasingly pursued to suppress oxidation-driven spoilage and side reactions in applications such as food preservation, yet industrial practice still relies on nitrogen purging enabled by pressure swing adsorption. Because oxygen removal by dilution and displacement depends on maintaining a nitrogen–oxygen concentration gradient, this approach requires substantial nitrogen throughput and high power input. This burden is especially pronounced in cold chain logistics, where refrigeration already dominates operating cost and emissions. Here we report an electrochemical environmental deoxygenation system that selectively transports oxygen from the controlled environment to ambient air through coupled oxygen reduction and oxygen evolution reactions. This pathway reduces entropy generation and operates closer to the thermodynamic minimum than pressure swing adsorption. When integrated with low-oxygen, moderate-temperature preservation, the system reduces total energy use by ~ 36% versus conventional low-temperature operation while maintaining or improving preservation quality, supporting scalable, energy-efficient oxygen management.</w:t>
      </w:r>
    </w:p>
    <w:p>
      <w:pPr>
        <w:spacing w:before="120" w:after="120"/>
      </w:pPr>
      <w:r>
        <w:rPr>
          <w:sz w:val="18"/>
        </w:rPr>
        <w:t>——————————————————————————————————————————————————————————————————————</w:t>
      </w:r>
    </w:p>
    <w:p>
      <w:pPr>
        <w:spacing w:before="160" w:after="40" w:line="240" w:lineRule="auto"/>
      </w:pPr>
      <w:r>
        <w:rPr>
          <w:b/>
        </w:rPr>
        <w:t xml:space="preserve">[5] </w:t>
      </w:r>
      <w:hyperlink r:id="rId242">
        <w:r>
          <w:rPr>
            <w:color w:val="1155CC"/>
            <w:u w:val="single"/>
          </w:rPr>
          <w:t>原油将廉价的多孔膜变成筛子，无需加热即可进行自我精炼</w:t>
        </w:r>
      </w:hyperlink>
    </w:p>
    <w:p>
      <w:pPr>
        <w:spacing w:before="0" w:after="80"/>
      </w:pPr>
      <w:r>
        <w:rPr>
          <w:i/>
          <w:sz w:val="20"/>
        </w:rPr>
        <w:t>EN: Crude oil turns cheap porous membrane into a sieve to refine itself without heat</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243">
        <w:r>
          <w:rPr>
            <w:color w:val="1155CC"/>
            <w:u w:val="single"/>
          </w:rPr>
          <w:t>10.1038/d41586-026-01896-9</w:t>
        </w:r>
      </w:hyperlink>
    </w:p>
    <w:p>
      <w:pPr>
        <w:spacing w:before="0" w:after="120"/>
      </w:pPr>
      <w:r>
        <w:rPr>
          <w:b/>
        </w:rPr>
        <w:t xml:space="preserve">Notes: </w:t>
      </w:r>
      <w:r>
        <w:t>abstract_source=nature_html</w:t>
      </w:r>
    </w:p>
    <w:p>
      <w:pPr>
        <w:spacing w:before="0" w:after="80" w:lineRule="auto" w:line="276"/>
      </w:pPr>
      <w:r>
        <w:rPr>
          <w:b/>
        </w:rPr>
        <w:t xml:space="preserve">摘要（ZH）: </w:t>
      </w:r>
      <w:r>
        <w:t>廉价的多孔聚合物膜有助于分离原油，无需加热或选择性涂层。重质碳氢化合物在孔隙内自组装，形成宽度可能小于 2 纳米的通道，将所得渗透混合物富集为轻质“石脑油系列”碳氢化合物，与传统蒸馏相比，能源成本和二氧化碳排放量减少 30%。长碳氢化合物沉积在孔壁上，使通道变窄，直到只有较小的分子可以通过。</w:t>
      </w:r>
    </w:p>
    <w:p>
      <w:pPr>
        <w:spacing w:before="0" w:after="200" w:lineRule="auto" w:line="276"/>
      </w:pPr>
      <w:r>
        <w:rPr>
          <w:b/>
        </w:rPr>
        <w:t xml:space="preserve">Abstract (EN): </w:t>
      </w:r>
      <w:r>
        <w:t>An inexpensive, porous polymer membrane helps to separate raw crude oil, without heat or selective coating. Heavy hydrocarbons self-assemble inside the pores to create channels that are likely to be less than 2 nanometres wide, enriching the resulting permeate mix into light, ‘naphtha range’ hydrocarbons with 30% less energy cost and carbon dioxide emissions than conventional distillation. Long hydrocarbons are deposited on pore walls, narrowing channels until only smaller molecules can pass through.</w:t>
      </w:r>
    </w:p>
    <w:p>
      <w:pPr>
        <w:spacing w:before="120" w:after="120"/>
      </w:pPr>
      <w:r>
        <w:rPr>
          <w:sz w:val="18"/>
        </w:rPr>
        <w:t>——————————————————————————————————————————————————————————————————————</w:t>
      </w:r>
    </w:p>
    <w:p>
      <w:pPr>
        <w:spacing w:before="160" w:after="40" w:line="240" w:lineRule="auto"/>
      </w:pPr>
      <w:r>
        <w:rPr>
          <w:b/>
        </w:rPr>
        <w:t xml:space="preserve">[6] </w:t>
      </w:r>
      <w:hyperlink r:id="rId244">
        <w:r>
          <w:rPr>
            <w:color w:val="1155CC"/>
            <w:u w:val="single"/>
          </w:rPr>
          <w:t>全球混凝土生产的资源消耗</w:t>
        </w:r>
      </w:hyperlink>
    </w:p>
    <w:p>
      <w:pPr>
        <w:spacing w:before="0" w:after="80"/>
      </w:pPr>
      <w:r>
        <w:rPr>
          <w:i/>
          <w:sz w:val="20"/>
        </w:rPr>
        <w:t>EN: Resource consumption in global concrete production</w:t>
      </w:r>
    </w:p>
    <w:p>
      <w:pPr>
        <w:spacing w:before="0" w:after="120"/>
      </w:pPr>
      <w:r>
        <w:rPr>
          <w:b/>
        </w:rPr>
        <w:t xml:space="preserve">Source: </w:t>
      </w:r>
      <w:r>
        <w:t>Nature Sustainability</w:t>
      </w:r>
      <w:r>
        <w:t xml:space="preserve">    </w:t>
      </w:r>
      <w:r>
        <w:rPr>
          <w:b/>
        </w:rPr>
        <w:t xml:space="preserve">Pub date: </w:t>
      </w:r>
      <w:r>
        <w:t>2026-06-24 00:00:00+00:00</w:t>
      </w:r>
      <w:r>
        <w:t xml:space="preserve">    </w:t>
      </w:r>
      <w:r>
        <w:rPr>
          <w:b/>
        </w:rPr>
        <w:t xml:space="preserve">DOI: </w:t>
      </w:r>
      <w:hyperlink r:id="rId245">
        <w:r>
          <w:rPr>
            <w:color w:val="1155CC"/>
            <w:u w:val="single"/>
          </w:rPr>
          <w:t>10.1038/s41893-026-01858-z</w:t>
        </w:r>
      </w:hyperlink>
    </w:p>
    <w:p>
      <w:pPr>
        <w:spacing w:before="0" w:after="120"/>
      </w:pPr>
      <w:r>
        <w:rPr>
          <w:b/>
        </w:rPr>
        <w:t xml:space="preserve">Notes: </w:t>
      </w:r>
      <w:r>
        <w:t>abstract_source=nature_html</w:t>
      </w:r>
    </w:p>
    <w:p>
      <w:pPr>
        <w:spacing w:before="0" w:after="80" w:lineRule="auto" w:line="276"/>
      </w:pPr>
      <w:r>
        <w:rPr>
          <w:b/>
        </w:rPr>
        <w:t xml:space="preserve">摘要（ZH）: </w:t>
      </w:r>
      <w:r>
        <w:t>目前，混凝土产量是所有其他工程材料的三倍多，产量大约是钢材的 20 倍，是实木产品的 40 倍。满足这种物质需求可能会导致局部资源短缺、生态系统退化和人类健康负担。混凝土主要由当地资源生产，且流量没有得到很好的监控，因此难以量化和减少消耗。在这里，我们确定了全球生产混凝土所消耗的矿物、能源和水资源，包括资源浪费。我们的结果显示，2019 年有 30 Gt 的矿产、能源和水资源直接用于制造混凝土和其他波特兰水泥基产品；然而，当包括由于隐性流动（例如，资源构成的函数）、效率低下（例如，能源转换）或供应链中的需求（例如，加工用水）造成的资源损失时，我们发现其中 66 Gt 的资源被消耗，这表明现有的估计大大低估了全球混凝土生产中的资源消耗。了解这种隐藏的资源消耗对于制定缓解战略和政策以减少混凝土生产的环境和资源使用负担至关重要。</w:t>
      </w:r>
    </w:p>
    <w:p>
      <w:pPr>
        <w:spacing w:before="0" w:after="200" w:lineRule="auto" w:line="276"/>
      </w:pPr>
      <w:r>
        <w:rPr>
          <w:b/>
        </w:rPr>
        <w:t xml:space="preserve">Abstract (EN): </w:t>
      </w:r>
      <w:r>
        <w:t>Currently, concrete production surpasses that of all other engineered materials by over threefold, with production approximately 20 times greater than steel and 40 times greater than solid-wood products. Meeting this material demand can lead to localized resource scarcity, degradation of ecosystems and human health burdens. Concrete is produced mostly from local resources, and the flows are not monitored well, making it difficult to quantify and reduce consumption. Here we determine the mineral, energy and water resources consumed to produce concrete worldwide, including resource wastage. Our results show that 30 Gt of mineral, energy resources and water resources were used directly to make concrete and other Portland cement-based products in 2019; however, when including losses of resources due to hidden flows (for example, a function of resource composition), inefficiencies (for example, energy conversion) or requirements in the supply chain (for example, water for processes), we find that 66 Gt of these resources were consumed, suggesting existing estimates drastically underestimate resource consumption in global concrete production. Understanding this hidden resource consumption is essential for developing mitigation strategies and policies to reduce the environmental and resource-use burdens of concrete production.</w:t>
      </w:r>
    </w:p>
    <w:p>
      <w:pPr>
        <w:spacing w:before="120" w:after="120"/>
      </w:pPr>
      <w:r>
        <w:rPr>
          <w:sz w:val="18"/>
        </w:rPr>
        <w:t>——————————————————————————————————————————————————————————————————————</w:t>
      </w:r>
    </w:p>
    <w:p>
      <w:pPr>
        <w:spacing w:before="160" w:after="40" w:line="240" w:lineRule="auto"/>
      </w:pPr>
      <w:r>
        <w:rPr>
          <w:b/>
        </w:rPr>
        <w:t xml:space="preserve">[7] </w:t>
      </w:r>
      <w:hyperlink r:id="rId246">
        <w:r>
          <w:rPr>
            <w:color w:val="1155CC"/>
            <w:u w:val="single"/>
          </w:rPr>
          <w:t>利用介孔聚丙烯腈膜进行原油分馏</w:t>
        </w:r>
      </w:hyperlink>
    </w:p>
    <w:p>
      <w:pPr>
        <w:spacing w:before="0" w:after="80"/>
      </w:pPr>
      <w:r>
        <w:rPr>
          <w:i/>
          <w:sz w:val="20"/>
        </w:rPr>
        <w:t>EN: Crude oil fractionation by means of mesoporous polyacrylonitrile membranes</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247">
        <w:r>
          <w:rPr>
            <w:color w:val="1155CC"/>
            <w:u w:val="single"/>
          </w:rPr>
          <w:t>10.1038/s41586-026-10677-3</w:t>
        </w:r>
      </w:hyperlink>
    </w:p>
    <w:p>
      <w:pPr>
        <w:spacing w:before="0" w:after="120"/>
      </w:pPr>
      <w:r>
        <w:rPr>
          <w:b/>
        </w:rPr>
        <w:t xml:space="preserve">Notes: </w:t>
      </w:r>
      <w:r>
        <w:t>abstract_source=nature_html</w:t>
      </w:r>
    </w:p>
    <w:p>
      <w:pPr>
        <w:spacing w:before="0" w:after="80" w:lineRule="auto" w:line="276"/>
      </w:pPr>
      <w:r>
        <w:rPr>
          <w:b/>
        </w:rPr>
        <w:t xml:space="preserve">摘要（ZH）: </w:t>
      </w:r>
      <w:r>
        <w:t>常压和真空蒸馏每年消耗超过 1,100 太瓦时，每年排放超过 1.6 亿吨二氧化碳当量1,2，使得基于膜的预分馏成为降低石油精炼的能源和碳强度的引人注目的改造策略3,4,5,6,7,8,9,10。在这里，我们证明了通常用作支撑层的多孔聚丙烯腈（PAN）膜可以在稳态下实现有效的原油分子精炼。在切向流下，PAN膜表现出高达0.591 ± 0.040 l m−2 h−1 bar−1的高原油渗透率，比之前的基准(−2 h−1 bar−1)1,11增加了23倍以上，选择性地产生了富集的轻质烃馏分，例如石脑油和煤油。这种意想不到的选择性源于重质烃在最初约 15 nm 表面介孔内的动态沉积，这将孔径缩小到亚 2 nm 尺寸。深度分辨化学鉴定揭示了正烷烃的选择性积累，表明了一种稳定选择性运输途径的自限性孔收缩机制。一旦正烷烃沉积稳定，原油就会发生选择性富集，并且持续稳定超过 4 周。工艺模拟表明，与传统常压蒸馏相比，基于PAN膜的预分馏可减少能源31.6%，冷却水减少20.7%，二氧化碳排放量减少37.6%。</w:t>
      </w:r>
    </w:p>
    <w:p>
      <w:pPr>
        <w:spacing w:before="0" w:after="200" w:lineRule="auto" w:line="276"/>
      </w:pPr>
      <w:r>
        <w:rPr>
          <w:b/>
        </w:rPr>
        <w:t xml:space="preserve">Abstract (EN): </w:t>
      </w:r>
      <w:r>
        <w:t>Atmospheric and vacuum distillation consume more than 1,100 TWh year−1 and emit more than 160 million metric tonnes of CO2 equivalent annually1,2, making membrane-based pre-fractionation a compelling retrofit strategy for lowering the energy and carbon intensity of petroleum refining3,4,5,6,7,8,9,10. Here we demonstrate that porous polyacrylonitrile (PAN) membranes, typically used as support layers, achieve effective molecular refining of crude oil at steady state. Under tangential flow, PAN membranes exhibited high crude oil permeances of up to 0.591 ± 0.040 l m−2 h−1 bar−1, a more than 23-fold increase over the previous benchmark (−2 h−1 bar−1)1,11, selectively yielding enriched lighter hydrocarbon fractions such as naphtha and kerosene. This unexpected selectivity arises from the dynamic deposition of heavy hydrocarbons within the initially approximately 15-nm surface mesopores, which narrows the pore diameter to sub-2-nm dimensions. Depth-resolved chemical identification reveals selective accumulation of n-alkanes, suggesting a self-limiting pore constriction mechanism that stabilizes selective transport pathways. Once the n-alkane deposition is stabilized, selective enrichment of raw crude oils occurs with sustained stability over 4 weeks. Process simulations show that PAN-membrane-based pre-fractionation could reduce energy by 31.6%, cooling water by 20.7% and CO2 emissions by 37.6% compared with traditional atmospheric distillation.</w:t>
      </w:r>
    </w:p>
    <w:p>
      <w:pPr>
        <w:spacing w:before="120" w:after="120"/>
      </w:pPr>
      <w:r>
        <w:rPr>
          <w:sz w:val="18"/>
        </w:rPr>
        <w:t>——————————————————————————————————————————————————————————————————————</w:t>
      </w:r>
    </w:p>
    <w:p>
      <w:pPr>
        <w:spacing w:before="160" w:after="40" w:line="240" w:lineRule="auto"/>
      </w:pPr>
      <w:r>
        <w:rPr>
          <w:b/>
        </w:rPr>
        <w:t xml:space="preserve">[8] </w:t>
      </w:r>
      <w:hyperlink r:id="rId248">
        <w:r>
          <w:rPr>
            <w:color w:val="1155CC"/>
            <w:u w:val="single"/>
          </w:rPr>
          <w:t>规避用于无溶剂有机转化的非均相金属催化剂的润湿性问题</w:t>
        </w:r>
      </w:hyperlink>
    </w:p>
    <w:p>
      <w:pPr>
        <w:spacing w:before="0" w:after="80"/>
      </w:pPr>
      <w:r>
        <w:rPr>
          <w:i/>
          <w:sz w:val="20"/>
        </w:rPr>
        <w:t>EN: Circumventing the wettability issue of heterogeneous metal catalysts for solvent-free organic transformations</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用可回收的非均相金属催化剂替代均相金属催化剂一直是催化领域的目标。然而，大多数方法产生的非均相金属催化剂在实际反应条件下通常表现出相对较低的稳定性和减弱的催化活性。在此，我们提出了一种通过将亚纳米 Rh 簇限制在自柱沸石结构内而获得的无机 Rh 催化剂。这种催化剂设计不仅稳定了亚纳米Rh活性位点，而且在无溶剂烯烃加氢甲酰化反应过程中促进了有效的传质性能。由于 Rh 簇的独特电子特性和沸石载体的最佳形态，最佳催化剂在无溶剂条件下在广泛的基质范围内实现了超过 1,100,000 次总转换。该策略可以扩展到自柱沸石内限制的其他金属，提供了一种避免非均相金属催化剂的润湿性问题的通用方法，用于无溶剂有机转化。</w:t>
      </w:r>
    </w:p>
    <w:p>
      <w:pPr>
        <w:spacing w:before="0" w:after="200" w:lineRule="auto" w:line="276"/>
      </w:pPr>
      <w:r>
        <w:rPr>
          <w:b/>
        </w:rPr>
        <w:t xml:space="preserve">Abstract (EN): </w:t>
      </w:r>
      <w:r>
        <w:t>Substituting homogeneous metal catalysts with recyclable heterogeneous metal catalysts has long been a goal in catalysis. However, most approaches yield heterogeneous metal catalysts that often exhibit relatively low stability and diminished catalytic activity under practical reaction conditions. Herein, we present an inorganic Rh catalyst obtained by confining subnanometer Rh clusters within a self-pillared zeolite structure. This catalyst design not only stabilizes the subnanometer Rh active sites but also facilitates efficient mass transport properties during solvent-free olefin hydroformylation reaction. Owing to the unique electronic properties of the Rh clusters and the optimal morphology of the zeolite support, the optimal catalyst achieves over 1,100,000 total turnovers across a broad substrate range under solvent-free conditions. This strategy can be extended to other metals confined within self-pillared zeolite, offering a general approach to circumvent the wettability issue of heterogeneous metal catalysts for solvent-free organic transformations.</w:t>
      </w:r>
    </w:p>
    <w:p>
      <w:pPr>
        <w:spacing w:before="120" w:after="120"/>
      </w:pPr>
      <w:r>
        <w:rPr>
          <w:sz w:val="18"/>
        </w:rPr>
        <w:t>——————————————————————————————————————————————————————————————————————</w:t>
      </w:r>
    </w:p>
    <w:p>
      <w:pPr>
        <w:spacing w:before="160" w:after="40" w:line="240" w:lineRule="auto"/>
      </w:pPr>
      <w:r>
        <w:rPr>
          <w:b/>
        </w:rPr>
        <w:t xml:space="preserve">[9] </w:t>
      </w:r>
      <w:hyperlink r:id="rId249">
        <w:r>
          <w:rPr>
            <w:color w:val="1155CC"/>
            <w:u w:val="single"/>
          </w:rPr>
          <w:t>通过可调超分子表面化学在活细胞乳液中进行装配线生物合成</w:t>
        </w:r>
      </w:hyperlink>
    </w:p>
    <w:p>
      <w:pPr>
        <w:spacing w:before="0" w:after="80"/>
      </w:pPr>
      <w:r>
        <w:rPr>
          <w:i/>
          <w:sz w:val="20"/>
        </w:rPr>
        <w:t>EN: Assembly-Line Biosynthesis in Living-Cell Emulsions via Tunable Supramolecular Surface Chemistry</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大自然将酶组织在微区室中，以实现高效的生物合成，激发多酶级联以产生复杂的分子。然而，实际实施常常受到酶不相容性、底物转移不良和催化剂回收效率低下的限制。在这里，我们报告了一个活的生物催化平台，它在皮克林乳液中作为工厂般的装配线运行。可调节的超分子化学用于将油源光催化剂移植到过度表达酶的大肠杆菌（E. coli）细胞上，产生两亲性“超细菌”，在水油界面上自组装并稳定乳液。这些界面上细菌加速了化学酶和多酶级联反应，反应速率比传统双相系统高出 45 倍。该平台支持单步、顺序和一锅级联反应，包括克级安息香合成。重要的是，动态超分子连接可以实现按需双重回收：要么重复使用活细胞缀合物，要么选择性回收合成催化剂并重新附着到新鲜细胞上。该策略将化学和生物催化整合到一个可持续、可扩展的平台中，以实现未来更绿色的工业生物合成。</w:t>
      </w:r>
    </w:p>
    <w:p>
      <w:pPr>
        <w:spacing w:before="0" w:after="200" w:lineRule="auto" w:line="276"/>
      </w:pPr>
      <w:r>
        <w:rPr>
          <w:b/>
        </w:rPr>
        <w:t xml:space="preserve">Abstract (EN): </w:t>
      </w:r>
      <w:r>
        <w:t>Nature organizes enzymes in micro-compartments to enable efficient biosynthesis, inspiring multienzyme cascades for producing complex molecules. However, practical implementation is often limited by enzyme incompatibility, poor substrate transfer, and inefficient catalyst recycling. Here, we report a living biocatalytic platform that operates as a factory-like assembly line within Pickering emulsions. Tunable supramolecular chemistry is used to graft an oil-derived photocatalyst onto enzyme-overexpressing Escherichia coli (E. coli) cells, generating amphiphilic “suprabacteria” that self-assemble at water–oil interfaces and stabilize emulsions. These interfacial suprabacteria accelerate chemoenzymatic and multienzyme cascades, achieving reaction rates up to 45-fold higher than conventional biphasic systems. The platform supports single-step, sequential, and one-pot cascade reactions, including gram-scale benzoin synthesis. Importantly, the dynamic supramolecular linkage enables on-demand dual recycling: either the living-cell conjugate is reused, or the synthetic catalyst is selectively recovered and reattached to fresh cells. This strategy integrates chemical and biological catalysis in a sustainable, scalable platform for future greener industrial biosynthesis.</w:t>
      </w:r>
    </w:p>
    <w:p>
      <w:pPr>
        <w:spacing w:before="120" w:after="120"/>
      </w:pPr>
      <w:r>
        <w:rPr>
          <w:sz w:val="18"/>
        </w:rPr>
        <w:t>——————————————————————————————————————————————————————————————————————</w:t>
      </w:r>
    </w:p>
    <w:p>
      <w:pPr>
        <w:spacing w:before="160" w:after="40" w:line="240" w:lineRule="auto"/>
      </w:pPr>
      <w:r>
        <w:rPr>
          <w:b/>
        </w:rPr>
        <w:t xml:space="preserve">[10] </w:t>
      </w:r>
      <w:hyperlink r:id="rId250">
        <w:r>
          <w:rPr>
            <w:color w:val="1155CC"/>
            <w:u w:val="single"/>
          </w:rPr>
          <w:t>通过自身群众动员开发响应控制的高层建筑</w:t>
        </w:r>
      </w:hyperlink>
    </w:p>
    <w:p>
      <w:pPr>
        <w:spacing w:before="0" w:after="80"/>
      </w:pPr>
      <w:r>
        <w:rPr>
          <w:i/>
          <w:sz w:val="20"/>
        </w:rPr>
        <w:t>EN: Development of response-controlled tall buildings through own-mass mobilisation</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本文描述了一种结构响应降低方法，该方法不是像传统的质量阻尼技术那样增加质量，而是利用建筑物内存在的大的固有质量，并使用其自身的质量以最小的差动运动产生大水平的可靠阻尼，并且不需要频率调谐。所提出的概念挑战了将高层建筑视为刚性、静态实体的传统前提，并利用运动来提高性能。通过在 300 米原型建筑的动态比例模型上进行专门设计的气动弹性风洞测试来研究基本前提，其中明确包含阻尼系统。结果表明，相对于传统的无阻尼配置，峰值加速度降低了 70% 以上，基础力矩降低了 50% 以上，同时在 50 年回风作用下，可移动地板和核心筒之间的位移差保持在 50 毫米以下。风洞试验的结果，加上补充的数值研究以及地震时程模拟，证明了所提出的系统在显着降低对上部结构和地基的要求方面具有巨大的前景。这为低碳、高性能高层建筑设计打开了大门，可以实现更具弹性和可持续的城市发展。</w:t>
      </w:r>
    </w:p>
    <w:p>
      <w:pPr>
        <w:spacing w:before="0" w:after="200" w:lineRule="auto" w:line="276"/>
      </w:pPr>
      <w:r>
        <w:rPr>
          <w:b/>
        </w:rPr>
        <w:t xml:space="preserve">Abstract (EN): </w:t>
      </w:r>
      <w:r>
        <w:t>This paper describes a structural response reduction approach that, rather than adding mass as in conventional mass damping techniques, takes advantage of the large inherent mass present within a building and uses its own mass to generate large levels of reliable damping with minimal differential movements and without the need for frequency tuning. The proposed concept challenges the traditional premise of conceiving tall buildings as rigid, static entities, and exploits movements to improve performance. The underlying premise is investigated using purpose-devised aeroelastic wind tunnel tests on a dynamically scaled model of a 300-metre prototype building in which the damping system is explicitly incorporated. The results show reductions exceeding 70% in peak accelerations and 50% in base moments, relative to a conventional undamped configuration, while maintaining differential displacements between the movable floors and the core below 50 mm under the 50-year return wind. The results of the wind tunnel tests, coupled with complementary numerical studies as well seismic time-history simulations, demonstrate the considerable promise of the proposed system for significantly reducing the demands on the superstructure and foundation. This opens the door for low-carbon, high-performance tall building designs that can enable more resilient and sustainable urban development.</w:t>
      </w:r>
    </w:p>
    <w:p>
      <w:pPr>
        <w:spacing w:before="120" w:after="120"/>
      </w:pPr>
      <w:r>
        <w:rPr>
          <w:sz w:val="18"/>
        </w:rPr>
        <w:t>——————————————————————————————————————————————————————————————————————</w:t>
      </w:r>
    </w:p>
    <w:p>
      <w:pPr>
        <w:spacing w:before="160" w:after="40" w:line="240" w:lineRule="auto"/>
      </w:pPr>
      <w:r>
        <w:rPr>
          <w:b/>
        </w:rPr>
        <w:t xml:space="preserve">[11] </w:t>
      </w:r>
      <w:hyperlink r:id="rId231">
        <w:r>
          <w:rPr>
            <w:color w:val="1155CC"/>
            <w:u w:val="single"/>
          </w:rPr>
          <w:t>氢在全球温室气体净零排放塑料行业中的作用</w:t>
        </w:r>
      </w:hyperlink>
    </w:p>
    <w:p>
      <w:pPr>
        <w:spacing w:before="0" w:after="80"/>
      </w:pPr>
      <w:r>
        <w:rPr>
          <w:i/>
          <w:sz w:val="20"/>
        </w:rPr>
        <w:t>EN: The role of hydrogen in a global net-zero greenhouse gas emission plastics industry</w:t>
      </w:r>
    </w:p>
    <w:p>
      <w:pPr>
        <w:spacing w:before="0" w:after="120"/>
      </w:pPr>
      <w:r>
        <w:rPr>
          <w:b/>
        </w:rPr>
        <w:t xml:space="preserve">Source: </w:t>
      </w:r>
      <w:r>
        <w:t>Joule</w:t>
      </w:r>
      <w:r>
        <w:t xml:space="preserve">    </w:t>
      </w:r>
      <w:r>
        <w:rPr>
          <w:b/>
        </w:rPr>
        <w:t xml:space="preserve">Pub date: </w:t>
      </w:r>
      <w:r>
        <w:t>2026-06-25 00:00:00+00:00</w:t>
      </w:r>
      <w:r>
        <w:t xml:space="preserve">    </w:t>
      </w:r>
      <w:r>
        <w:rPr>
          <w:b/>
        </w:rPr>
        <w:t xml:space="preserve">DOI: </w:t>
      </w:r>
      <w:hyperlink r:id="rId232">
        <w:r>
          <w:rPr>
            <w:color w:val="1155CC"/>
            <w:u w:val="single"/>
          </w:rPr>
          <w:t>10.1016/j.joule.2026.102537</w:t>
        </w:r>
      </w:hyperlink>
    </w:p>
    <w:p>
      <w:pPr>
        <w:spacing w:before="0" w:after="120"/>
      </w:pPr>
      <w:r>
        <w:rPr>
          <w:b/>
        </w:rPr>
        <w:t xml:space="preserve">Notes: </w:t>
      </w:r>
      <w:r>
        <w:t>abstract_source=rss_cell</w:t>
      </w:r>
    </w:p>
    <w:p>
      <w:pPr>
        <w:spacing w:before="0" w:after="80" w:lineRule="auto" w:line="276"/>
      </w:pPr>
      <w:r>
        <w:rPr>
          <w:b/>
        </w:rPr>
        <w:t xml:space="preserve">摘要（ZH）: </w:t>
      </w:r>
      <w:r>
        <w:t>脱化石塑料生产依赖于与生物质和碳捕获和利用（CCU）相结合的回收利用，这需要清洁的氢气。然而，生物基技术和 CCU 技术对氢气的需求尚不清楚。通过应用前瞻性生命周期评估，这项研究表明，到 2050 年实现全球塑料行业温室气体净零排放需要将氢气需求增加 14 倍，总计 126-145 公吨氢气。此外，通过结合生物基和电力制氢，塑料工业可以平衡多个地球边界。</w:t>
      </w:r>
    </w:p>
    <w:p>
      <w:pPr>
        <w:spacing w:before="0" w:after="200" w:lineRule="auto" w:line="276"/>
      </w:pPr>
      <w:r>
        <w:rPr>
          <w:b/>
        </w:rPr>
        <w:t xml:space="preserve">Abstract (EN): </w:t>
      </w:r>
      <w:r>
        <w:t>Defossilizing plastics production relies on recycling combined with biomass and carbon capture and utilization (CCU), which requires clean hydrogen. However, the hydrogen demand from bio-based and CCU technologies is unknown. By applying prospective life cycle assessment, this study shows that achieving a net-zero greenhouse gas emissions global plastics industry by 2050 requires a 14-fold increase in hydrogen demand, totaling 126–145 Mt of hydrogen. Moreover, by combining bio-based and electricity-based hydrogen production, the plastics industry can balance multiple planetary boundaries.</w:t>
      </w:r>
    </w:p>
    <w:p>
      <w:pPr>
        <w:spacing w:before="120" w:after="120"/>
      </w:pPr>
      <w:r>
        <w:rPr>
          <w:sz w:val="18"/>
        </w:rPr>
        <w:t>——————————————————————————————————————————————————————————————————————</w:t>
      </w:r>
    </w:p>
    <w:p>
      <w:pPr>
        <w:spacing w:before="160" w:after="40" w:line="240" w:lineRule="auto"/>
      </w:pPr>
      <w:r>
        <w:rPr>
          <w:b/>
        </w:rPr>
        <w:t xml:space="preserve">[12] </w:t>
      </w:r>
      <w:hyperlink r:id="rId233">
        <w:r>
          <w:rPr>
            <w:color w:val="1155CC"/>
            <w:u w:val="single"/>
          </w:rPr>
          <w:t>电池与燃料电池在中型和重型车辆脱碳应用中的比较</w:t>
        </w:r>
      </w:hyperlink>
    </w:p>
    <w:p>
      <w:pPr>
        <w:spacing w:before="0" w:after="80"/>
      </w:pPr>
      <w:r>
        <w:rPr>
          <w:i/>
          <w:sz w:val="20"/>
        </w:rPr>
        <w:t>EN: Batteries versus fuel cells for decarbonizing medium- and heavy-duty vehicles across applications</w:t>
      </w:r>
    </w:p>
    <w:p>
      <w:pPr>
        <w:spacing w:before="0" w:after="120"/>
      </w:pPr>
      <w:r>
        <w:rPr>
          <w:b/>
        </w:rPr>
        <w:t xml:space="preserve">Source: </w:t>
      </w:r>
      <w:r>
        <w:t>Nature Energy</w:t>
      </w:r>
      <w:r>
        <w:t xml:space="preserve">    </w:t>
      </w:r>
      <w:r>
        <w:rPr>
          <w:b/>
        </w:rPr>
        <w:t xml:space="preserve">Pub date: </w:t>
      </w:r>
      <w:r>
        <w:t>2026-06-25 00:00:00+00:00</w:t>
      </w:r>
      <w:r>
        <w:t xml:space="preserve">    </w:t>
      </w:r>
      <w:r>
        <w:rPr>
          <w:b/>
        </w:rPr>
        <w:t xml:space="preserve">DOI: </w:t>
      </w:r>
      <w:hyperlink r:id="rId234">
        <w:r>
          <w:rPr>
            <w:color w:val="1155CC"/>
            <w:u w:val="single"/>
          </w:rPr>
          <w:t>10.1038/s41560-026-02095-6</w:t>
        </w:r>
      </w:hyperlink>
    </w:p>
    <w:p>
      <w:pPr>
        <w:spacing w:before="0" w:after="120"/>
      </w:pPr>
      <w:r>
        <w:rPr>
          <w:b/>
        </w:rPr>
        <w:t xml:space="preserve">Notes: </w:t>
      </w:r>
      <w:r>
        <w:t>abstract_source=nature_html</w:t>
      </w:r>
    </w:p>
    <w:p>
      <w:pPr>
        <w:spacing w:before="0" w:after="80" w:lineRule="auto" w:line="276"/>
      </w:pPr>
      <w:r>
        <w:rPr>
          <w:b/>
        </w:rPr>
        <w:t xml:space="preserve">摘要（ZH）: </w:t>
      </w:r>
      <w:r>
        <w:t>中型和重型车辆是美国和全球温室气体 (GHG) 排放的主要来源。电池和燃料电池可以在该行业脱碳方面发挥关键作用。在此，我们对美国 3-8 类内燃机汽车、混合动力电动汽车 (HEV)、燃料电池电动汽车 (FCEV) 和纯电动汽车 (BEV) 进行生命周期温室气体评估。与传统的柴油燃料选项相比，替代动力系统可减少各种车辆类型的排放：HEV 减少 1-26%，使用蒸汽甲烷重整产生的氢气的 FCEV 减少 12-51%，由电网供电的 BEV 减少 44-68%，使用电解产生的氢气并由可再生电力提供动力的 FCEV 减少 72-82%，由可再生电力提供动力的 BEV 减少 87-92%。这些动力系统的订购涉及货物重量、行驶周期、区域电网和电网预测。我们还评估可再生电力消耗和氢气泄漏，这是评估不同动力系统脱碳适用性时必须考虑的两个因素。</w:t>
      </w:r>
    </w:p>
    <w:p>
      <w:pPr>
        <w:spacing w:before="0" w:after="200" w:lineRule="auto" w:line="276"/>
      </w:pPr>
      <w:r>
        <w:rPr>
          <w:b/>
        </w:rPr>
        <w:t xml:space="preserve">Abstract (EN): </w:t>
      </w:r>
      <w:r>
        <w:t>Medium- and heavy-duty vehicles are a major source of greenhouse gas (GHG) emissions in the United States and globally. Batteries and fuel cells can play a critical role in decarbonizing this sector. Here we conduct a life-cycle GHG assessment of class 3–8 internal combustion engine vehicles, hybrid electric vehicles (HEVs), fuel cell electric vehicles (FCEVs) and battery electric vehicles (BEVs) in the United States. Compared with conventional diesel-fuelled options, alternative powertrains reduce emissions across vehicle types: HEVs by 1–26%, FCEVs using hydrogen produced from steam methane reforming by 12–51%, BEVs powered by the grid by 44–68%, FCEVs using hydrogen produced from electrolysis powered by renewable electricity by 72–82% and BEVs powered by renewable electricity by 87–92%. The ordering of these powertrains holds across cargo weights, drive cycles, regional electricity grids and grid projections. We also assess renewable electricity consumption and hydrogen leakage, two factors that must be considered when evaluating the suitability of different powertrains for decarbonization.</w:t>
      </w:r>
    </w:p>
    <w:p>
      <w:pPr>
        <w:spacing w:before="120" w:after="120"/>
      </w:pPr>
      <w:r>
        <w:rPr>
          <w:sz w:val="18"/>
        </w:rPr>
        <w:t>——————————————————————————————————————————————————————————————————————</w:t>
      </w:r>
    </w:p>
    <w:p>
      <w:pPr>
        <w:spacing w:before="160" w:after="40" w:line="240" w:lineRule="auto"/>
      </w:pPr>
      <w:r>
        <w:rPr>
          <w:b/>
        </w:rPr>
        <w:t xml:space="preserve">[13] </w:t>
      </w:r>
      <w:hyperlink r:id="rId251">
        <w:r>
          <w:rPr>
            <w:color w:val="1155CC"/>
            <w:u w:val="single"/>
          </w:rPr>
          <w:t>用于废物混合重整为燃料的工业规模纳米晶 Ni-Mo-MgO 催化剂</w:t>
        </w:r>
      </w:hyperlink>
    </w:p>
    <w:p>
      <w:pPr>
        <w:spacing w:before="0" w:after="80"/>
      </w:pPr>
      <w:r>
        <w:rPr>
          <w:i/>
          <w:sz w:val="20"/>
        </w:rPr>
        <w:t>EN: Industrial-scale nanocrystalline Ni–Mo–MgO catalysts for hybrid reforming of waste to fuels</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252">
        <w:r>
          <w:rPr>
            <w:color w:val="1155CC"/>
            <w:u w:val="single"/>
          </w:rPr>
          <w:t>10.1126/science.adp5208</w:t>
        </w:r>
      </w:hyperlink>
    </w:p>
    <w:p>
      <w:pPr>
        <w:spacing w:before="0" w:after="120"/>
      </w:pPr>
      <w:r>
        <w:rPr>
          <w:b/>
        </w:rPr>
        <w:t xml:space="preserve">Notes: </w:t>
      </w:r>
      <w:r>
        <w:t>abstract_source=crossref</w:t>
      </w:r>
    </w:p>
    <w:p>
      <w:pPr>
        <w:spacing w:before="0" w:after="80" w:lineRule="auto" w:line="276"/>
      </w:pPr>
      <w:r>
        <w:rPr>
          <w:b/>
        </w:rPr>
        <w:t xml:space="preserve">摘要（ZH）: </w:t>
      </w:r>
      <w:r>
        <w:t>降低碳氢化合物和废物的碳排放的策略必须克服与催化剂耐久性和废物预分类相关的挑战。用二氧化碳（CO</w:t>
      </w:r>
      <w:r>
        <w:rPr>
          <w:vertAlign w:val="subscript"/>
        </w:rPr>
        <w:t>2</w:t>
      </w:r>
      <w:r>
        <w:t>）提供了一种工业规模的途径，将废物流回收为燃料和化学品。我们开发了一种基于单晶氧化镁 (NiMoCat) 的镍钼合金纳米催化剂，其颗粒形式为公斤级，适用于高压工业反应器。脂肪烃（甲烷、</w:t>
      </w:r>
      <w:r>
        <w:t xml:space="preserve"> </w:t>
      </w:r>
      <w:r>
        <w:t>n</w:t>
      </w:r>
      <w:r>
        <w:t xml:space="preserve"> </w:t>
      </w:r>
      <w:r>
        <w:t>-丁烷）和芳烃（苯、甲苯）在加压 CO 下</w:t>
      </w:r>
      <w:r>
        <w:rPr>
          <w:vertAlign w:val="subscript"/>
        </w:rPr>
        <w:t>2</w:t>
      </w:r>
      <w:r>
        <w:t>产生定量合成气，没有甲烷化或不需要的氧化副产物，例如丁二烯或多环芳烃。放大的 NiMoCat 在长期运行期间保持活性，并实现两步过程，包括未分类废物气化，然后在真实烟气或 CO 下进行混合重整</w:t>
      </w:r>
      <w:r>
        <w:rPr>
          <w:vertAlign w:val="subscript"/>
        </w:rPr>
        <w:t>2</w:t>
      </w:r>
      <w:r>
        <w:t>流动。沼气转化为二甲醚的详细生命周期分析展示了可扩展、可持续的二氧化碳</w:t>
      </w:r>
      <w:r>
        <w:rPr>
          <w:vertAlign w:val="subscript"/>
        </w:rPr>
        <w:t>2</w:t>
      </w:r>
      <w:r>
        <w:t>利用与当前的燃料和化学基础设施兼容。</w:t>
      </w:r>
    </w:p>
    <w:p>
      <w:pPr>
        <w:spacing w:before="0" w:after="200" w:lineRule="auto" w:line="276"/>
      </w:pPr>
      <w:r>
        <w:rPr>
          <w:b/>
        </w:rPr>
        <w:t xml:space="preserve">Abstract (EN): </w:t>
      </w:r>
      <w:r>
        <w:t>Strategies for lowering carbon emissions from hydrocarbons and waste must overcome the challenges related to catalyst durability and the presorting of waste. Reforming low-value carbon sources with carbon dioxide (CO</w:t>
      </w:r>
      <w:r>
        <w:rPr>
          <w:vertAlign w:val="subscript"/>
        </w:rPr>
        <w:t>2</w:t>
      </w:r>
      <w:r>
        <w:t>) offers an industrial-scale pathway for recycling waste streams into fuels and chemicals. We developed a nickel-molybdenum alloy nanocatalyst on single-crystalline magnesium oxide (NiMoCat) in pellet form on a kilogram scale suitable for high-pressure industrial reactors. Aliphatic hydrocarbons (methane,</w:t>
      </w:r>
      <w:r>
        <w:t xml:space="preserve"> </w:t>
      </w:r>
      <w:r>
        <w:t>n</w:t>
      </w:r>
      <w:r>
        <w:t xml:space="preserve"> </w:t>
      </w:r>
      <w:r>
        <w:t>-butane) and aromatics (benzene, toluene) under pressurized CO</w:t>
      </w:r>
      <w:r>
        <w:rPr>
          <w:vertAlign w:val="subscript"/>
        </w:rPr>
        <w:t>2</w:t>
      </w:r>
      <w:r>
        <w:t>yielded quantitative syngas without methanation or undesired oxidative by-products, such as butadiene or polyaromatics. Scaled-up NiMoCat maintains activity during long-term operation and enables a two-step process involving gasification of unsorted waste followed by hybrid reforming under realistic flue gas or CO</w:t>
      </w:r>
      <w:r>
        <w:rPr>
          <w:vertAlign w:val="subscript"/>
        </w:rPr>
        <w:t>2</w:t>
      </w:r>
      <w:r>
        <w:t>flow. A detailed life-cycle analysis of biogas-to-dimethyl ether conversion showcases a scalable, sustainable CO</w:t>
      </w:r>
      <w:r>
        <w:rPr>
          <w:vertAlign w:val="subscript"/>
        </w:rPr>
        <w:t>2</w:t>
      </w:r>
      <w:r>
        <w:t>utilization compatible with current fuel and chemical infrastructures.</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253">
        <w:r>
          <w:rPr>
            <w:color w:val="1155CC"/>
            <w:u w:val="single"/>
          </w:rPr>
          <w:t>钳型 Ni-Zn 异双金属配合物对 H2 和 CO2 的双重活化</w:t>
        </w:r>
      </w:hyperlink>
    </w:p>
    <w:p>
      <w:pPr>
        <w:spacing w:before="0" w:after="80"/>
      </w:pPr>
      <w:r>
        <w:rPr>
          <w:i/>
          <w:sz w:val="20"/>
        </w:rPr>
        <w:t>EN: Dual Activation of H2 and CO2 by a Pincer‐Type Ni–Zn Heterobimetallic Complex</w:t>
      </w:r>
    </w:p>
    <w:p>
      <w:pPr>
        <w:spacing w:before="0" w:after="120"/>
      </w:pPr>
      <w:r>
        <w:rPr>
          <w:b/>
        </w:rPr>
        <w:t xml:space="preserve">Source: </w:t>
      </w:r>
      <w:r>
        <w:t>Wiley: Angewandte Chemie International Edition: Table of Contents</w:t>
      </w:r>
      <w:r>
        <w:t xml:space="preserve">    </w:t>
      </w:r>
      <w:r>
        <w:rPr>
          <w:b/>
        </w:rPr>
        <w:t xml:space="preserve">Pub date: </w:t>
      </w:r>
      <w:r>
        <w:t>2026-06-20 09:07:57+00:00</w:t>
      </w:r>
      <w:r>
        <w:t xml:space="preserve">    </w:t>
      </w:r>
      <w:r>
        <w:rPr>
          <w:b/>
        </w:rPr>
        <w:t xml:space="preserve">DOI: </w:t>
      </w:r>
      <w:hyperlink r:id="rId254">
        <w:r>
          <w:rPr>
            <w:color w:val="1155CC"/>
            <w:u w:val="single"/>
          </w:rPr>
          <w:t>10.1002/anie.9254970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各种镍基金属酶采用协同异金属协同作用，其中镍中心和第二种金属离子共同促进小分子转化。受这些生物系统的启发，已经开发出利用双金属协同性来实现类似反应性的合成模型复合物。在这项工作中，我们报道了一种包含钳型二氨基二氨基二膦配体的双金属Ni-Zn配合物，其中弱路易斯酸性Zn(II)中心稳定了T形Ni(0)位点。随后与 H 发生反应</w:t>
      </w:r>
      <w:r>
        <w:rPr>
          <w:vertAlign w:val="subscript"/>
        </w:rPr>
        <w:t>2</w:t>
      </w:r>
      <w:r>
        <w:t>导致了一种罕见的二氢化镍络合物的分离，该络合物在 Zn(</w:t>
      </w:r>
      <w:r>
        <w:t xml:space="preserve"> </w:t>
      </w:r>
      <w:r>
        <w:t>μ</w:t>
      </w:r>
      <w:r>
        <w:t xml:space="preserve"> </w:t>
      </w:r>
      <w:r>
        <w:t>‐H)Ni(H) and</w:t>
      </w:r>
      <w:r>
        <w:t xml:space="preserve"> </w:t>
      </w:r>
      <w:r>
        <w:t>反式</w:t>
      </w:r>
      <w:r>
        <w:t xml:space="preserve"> </w:t>
      </w:r>
      <w:r>
        <w:t>‐Ni(H)</w:t>
      </w:r>
      <w:r>
        <w:rPr>
          <w:vertAlign w:val="subscript"/>
        </w:rPr>
        <w:t>2</w:t>
      </w:r>
      <w:r>
        <w:t>通过绕 P−Ni−P 轴旋转摇摆来形成图案。二氢化镍配合物是一种有效的烯烃加氢催化剂（5 mol% 负载量、70°C、2 bar H</w:t>
      </w:r>
      <w:r>
        <w:rPr>
          <w:vertAlign w:val="subscript"/>
        </w:rPr>
        <w:t>2</w:t>
      </w:r>
      <w:r>
        <w:t>) for terminal olefins.此外，二氢化镍插入CO</w:t>
      </w:r>
      <w:r>
        <w:rPr>
          <w:vertAlign w:val="subscript"/>
        </w:rPr>
        <w:t>2</w:t>
      </w:r>
      <w:r>
        <w:t>得到稀有的镍氢甲酸盐。该产品进一步与第二当量的 CO 反应</w:t>
      </w:r>
      <w:r>
        <w:rPr>
          <w:vertAlign w:val="subscript"/>
        </w:rPr>
        <w:t>2</w:t>
      </w:r>
      <w:r>
        <w:t>通过羧酸盐转移机制揭示插入 CO 的亲核 Zn(II) 酰胺基团</w:t>
      </w:r>
      <w:r>
        <w:rPr>
          <w:vertAlign w:val="subscript"/>
        </w:rPr>
        <w:t>2</w:t>
      </w:r>
      <w:r>
        <w:t>to give carbamate.总的来说，我们的实验和计算结果强调了 Zn(II) 作为弱路易斯酸性伴侣的作用，这促进了</w:t>
      </w:r>
    </w:p>
    <w:p>
      <w:pPr>
        <w:spacing w:before="0" w:after="200" w:lineRule="auto" w:line="276"/>
      </w:pPr>
      <w:r>
        <w:rPr>
          <w:b/>
        </w:rPr>
        <w:t xml:space="preserve">Abstract (EN): </w:t>
      </w:r>
      <w:r>
        <w:t>Various Ni‐based metalloenzymes employ synergistic heterometallic cooperativity where a Ni center and a second metal ion cofacilitate small‐molecule conversion. Inspired by these biological systems, synthetic model complexes have been developed that exploit bimetallic cooperativity to achieve analogous reactivity. In this work, we report a bimetallic Ni−Zn complex comprising a pincer‐type diamido‐diaminodiphosphine ligand, in which a weakly Lewis acidic Zn(II) center stabilizes a T‐shaped Ni(0) site. Subsequent reactivity with H</w:t>
      </w:r>
      <w:r>
        <w:rPr>
          <w:vertAlign w:val="subscript"/>
        </w:rPr>
        <w:t>2</w:t>
      </w:r>
      <w:r>
        <w:t>led to the isolation of a rare Ni dihydride complex, which dynamically interconverts between Zn(</w:t>
      </w:r>
      <w:r>
        <w:t xml:space="preserve"> </w:t>
      </w:r>
      <w:r>
        <w:t>μ</w:t>
      </w:r>
      <w:r>
        <w:t xml:space="preserve"> </w:t>
      </w:r>
      <w:r>
        <w:t>‐H)Ni(H) and</w:t>
      </w:r>
      <w:r>
        <w:t xml:space="preserve"> </w:t>
      </w:r>
      <w:r>
        <w:t>trans</w:t>
      </w:r>
      <w:r>
        <w:t xml:space="preserve"> </w:t>
      </w:r>
      <w:r>
        <w:t>‐Ni(H)</w:t>
      </w:r>
      <w:r>
        <w:rPr>
          <w:vertAlign w:val="subscript"/>
        </w:rPr>
        <w:t>2</w:t>
      </w:r>
      <w:r>
        <w:t>motifs via rotational rocking about the P−Ni−P axis. The Ni dihydride complex is a competent alkene hydrogenation catalyst (5 mol% loading, 70°C, 2 bar H</w:t>
      </w:r>
      <w:r>
        <w:rPr>
          <w:vertAlign w:val="subscript"/>
        </w:rPr>
        <w:t>2</w:t>
      </w:r>
      <w:r>
        <w:t>) for terminal olefins. Also, the Ni dihydride inserts CO</w:t>
      </w:r>
      <w:r>
        <w:rPr>
          <w:vertAlign w:val="subscript"/>
        </w:rPr>
        <w:t>2</w:t>
      </w:r>
      <w:r>
        <w:t>to give a rare Ni hydrido formate. This product further reacts with a second equivalent of CO</w:t>
      </w:r>
      <w:r>
        <w:rPr>
          <w:vertAlign w:val="subscript"/>
        </w:rPr>
        <w:t>2</w:t>
      </w:r>
      <w:r>
        <w:t>through a carboxylate shift mechanism that unveils a nucleophilic Zn(II) amide group that inserts CO</w:t>
      </w:r>
      <w:r>
        <w:rPr>
          <w:vertAlign w:val="subscript"/>
        </w:rPr>
        <w:t>2</w:t>
      </w:r>
      <w:r>
        <w:t>to give carbamate. Collectively, our experimental and computational results highlight the role of Zn(II) as a weakly Lewis acidic partner, which promotes the dual activation of H</w:t>
      </w:r>
      <w:r>
        <w:rPr>
          <w:vertAlign w:val="subscript"/>
        </w:rPr>
        <w:t>2</w:t>
      </w:r>
      <w:r>
        <w:t>and CO</w:t>
      </w:r>
      <w:r>
        <w:rPr>
          <w:vertAlign w:val="subscript"/>
        </w:rPr>
        <w:t>2</w:t>
      </w:r>
      <w:r>
        <w:t>by a single Ni center in the absence of any external base.</w:t>
      </w:r>
    </w:p>
    <w:p>
      <w:pPr>
        <w:spacing w:before="120" w:after="120"/>
      </w:pPr>
      <w:r>
        <w:rPr>
          <w:sz w:val="18"/>
        </w:rPr>
        <w:t>——————————————————————————————————————————————————————————————————————</w:t>
      </w:r>
    </w:p>
    <w:p>
      <w:pPr>
        <w:spacing w:before="160" w:after="40" w:line="240" w:lineRule="auto"/>
      </w:pPr>
      <w:r>
        <w:rPr>
          <w:b/>
        </w:rPr>
        <w:t xml:space="preserve">[2] </w:t>
      </w:r>
      <w:hyperlink r:id="rId255">
        <w:r>
          <w:rPr>
            <w:color w:val="1155CC"/>
            <w:u w:val="single"/>
          </w:rPr>
          <w:t>非对称电子调制在强负电势下加速质子耦合电子转移和二氧化碳还原</w:t>
        </w:r>
      </w:hyperlink>
    </w:p>
    <w:p>
      <w:pPr>
        <w:spacing w:before="0" w:after="80"/>
      </w:pPr>
      <w:r>
        <w:rPr>
          <w:i/>
          <w:sz w:val="20"/>
        </w:rPr>
        <w:t>EN: Asymmetric Electronic Modulation Accelerating Proton‐Coupled Electron Transfer and CO2 Reduction at Strongly Negative Potentials</w:t>
      </w:r>
    </w:p>
    <w:p>
      <w:pPr>
        <w:spacing w:before="0" w:after="120"/>
      </w:pPr>
      <w:r>
        <w:rPr>
          <w:b/>
        </w:rPr>
        <w:t xml:space="preserve">Source: </w:t>
      </w:r>
      <w:r>
        <w:t>Wiley: Advanced Materials: Table of Contents</w:t>
      </w:r>
      <w:r>
        <w:t xml:space="preserve">    </w:t>
      </w:r>
      <w:r>
        <w:rPr>
          <w:b/>
        </w:rPr>
        <w:t xml:space="preserve">Pub date: </w:t>
      </w:r>
      <w:r>
        <w:t>2026-06-20 15:59:55+00:00</w:t>
      </w:r>
      <w:r>
        <w:t xml:space="preserve">    </w:t>
      </w:r>
      <w:r>
        <w:rPr>
          <w:b/>
        </w:rPr>
        <w:t xml:space="preserve">DOI: </w:t>
      </w:r>
      <w:hyperlink r:id="rId256">
        <w:r>
          <w:rPr>
            <w:color w:val="1155CC"/>
            <w:u w:val="single"/>
          </w:rPr>
          <w:t>10.1002/adma.73766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电化学CO</w:t>
      </w:r>
      <w:r>
        <w:rPr>
          <w:vertAlign w:val="subscript"/>
        </w:rPr>
        <w:t>2</w:t>
      </w:r>
      <w:r>
        <w:t>reduction to value‐added chemicals offers a sustainable route toward carbon neutrality under mild conditions.然而，它在强负电势下面临着内在的质子电子不平衡，其中析氢反应（HER）占主导地位，耗尽界面质子，并严重损害二氧化碳</w:t>
      </w:r>
      <w:r>
        <w:rPr>
          <w:vertAlign w:val="subscript"/>
        </w:rPr>
        <w:t>2</w:t>
      </w:r>
      <w:r>
        <w:t>还原选择性。在这里，我们报道了一种不对称的镍铁双原子电催化剂，它通过跨位点协同作用恢复有效的质子耦合电子转移（PCET）。 Electron migration from Fe to Ni establishes a local asymmetric electric field that enhances CO</w:t>
      </w:r>
      <w:r>
        <w:rPr>
          <w:vertAlign w:val="subscript"/>
        </w:rPr>
        <w:t>2</w:t>
      </w:r>
      <w:r>
        <w:t>adsorption and induces molecular bending at Ni sites, thereby weakening the C═O bond.同时，缺电子的 Fe 位点表现出适度的 H 吸附，抑制 HER，同时充当相邻 Ni 中心的瞬态质子库。 This spatially separated yet temporally synchronized PCET pathway accelerates the rate‐determining CO</w:t>
      </w:r>
      <w:r>
        <w:rPr>
          <w:vertAlign w:val="subscript"/>
        </w:rPr>
        <w:t>2</w:t>
      </w:r>
      <w:r>
        <w:t>→ COOH 阶跃并维持高效的 CO</w:t>
      </w:r>
      <w:r>
        <w:rPr>
          <w:vertAlign w:val="subscript"/>
        </w:rPr>
        <w:t>2</w:t>
      </w:r>
      <w:r>
        <w:t>‐to‐CO conversion under deeply cathodic conditions.因此，Ni−Fe双原子电催化剂在-0.9至-1.4 V的宽电位窗口内保持超过95%的CO选择性，并在-1.2 V时达到99.1%，明显优于由于不平衡的PCET-HER动力学而表现出火山型选择性衰减的单金属类似物。这</w:t>
      </w:r>
    </w:p>
    <w:p>
      <w:pPr>
        <w:spacing w:before="0" w:after="200" w:lineRule="auto" w:line="276"/>
      </w:pPr>
      <w:r>
        <w:rPr>
          <w:b/>
        </w:rPr>
        <w:t xml:space="preserve">Abstract (EN): </w:t>
      </w:r>
      <w:r>
        <w:t>Electrochemical CO</w:t>
      </w:r>
      <w:r>
        <w:rPr>
          <w:vertAlign w:val="subscript"/>
        </w:rPr>
        <w:t>2</w:t>
      </w:r>
      <w:r>
        <w:t>reduction to value‐added chemicals offers a sustainable route toward carbon neutrality under mild conditions. Yet, it faces an intrinsic proton‐electron imbalance at strongly negative potentials, where the hydrogen evolution reaction (HER) dominates, depletes interfacial protons, and severely compromises CO</w:t>
      </w:r>
      <w:r>
        <w:rPr>
          <w:vertAlign w:val="subscript"/>
        </w:rPr>
        <w:t>2</w:t>
      </w:r>
      <w:r>
        <w:t>reduction selectivity. Here, we report an asymmetric Ni–Fe dual‐atom electrocatalyst that restores efficient proton‐coupled electron transfer (PCET) through cross‐site synergy. Electron migration from Fe to Ni establishes a local asymmetric electric field that enhances CO</w:t>
      </w:r>
      <w:r>
        <w:rPr>
          <w:vertAlign w:val="subscript"/>
        </w:rPr>
        <w:t>2</w:t>
      </w:r>
      <w:r>
        <w:t>adsorption and induces molecular bending at Ni sites, thereby weakening the C═O bond. Simultaneously, electron‐deficient Fe sites exhibit moderated H adsorption, suppressing HER while serving as transient proton reservoirs for adjacent Ni centers. This spatially separated yet temporally synchronized PCET pathway accelerates the rate‐determining CO</w:t>
      </w:r>
      <w:r>
        <w:rPr>
          <w:vertAlign w:val="subscript"/>
        </w:rPr>
        <w:t>2</w:t>
      </w:r>
      <w:r>
        <w:t>→ COOH step and sustains efficient CO</w:t>
      </w:r>
      <w:r>
        <w:rPr>
          <w:vertAlign w:val="subscript"/>
        </w:rPr>
        <w:t>2</w:t>
      </w:r>
      <w:r>
        <w:t>‐to‐CO conversion under deeply cathodic conditions. Consequently, the Ni─Fe dual‐atom electrocatalyst maintains CO selectivity exceeding 95% across a wide potential window from −0.9 to −1.4 V and reaches 99.1% at −1.2 V, markedly outperforming monometallic analogues that exhibit volcano‐type selectivity decay due to unbalanced PCET‐HER kinetics. This work highlights asymmetric electronic modulation as an effective strategy to resolve the intrinsic PCET‐HER selectivity conflict in CO</w:t>
      </w:r>
      <w:r>
        <w:rPr>
          <w:vertAlign w:val="subscript"/>
        </w:rPr>
        <w:t>2</w:t>
      </w:r>
      <w:r>
        <w:t>reduction.</w:t>
      </w:r>
    </w:p>
    <w:p>
      <w:pPr>
        <w:spacing w:before="120" w:after="120"/>
      </w:pPr>
      <w:r>
        <w:rPr>
          <w:sz w:val="18"/>
        </w:rPr>
        <w:t>——————————————————————————————————————————————————————————————————————</w:t>
      </w:r>
    </w:p>
    <w:p>
      <w:pPr>
        <w:spacing w:before="160" w:after="40" w:line="240" w:lineRule="auto"/>
      </w:pPr>
      <w:r>
        <w:rPr>
          <w:b/>
        </w:rPr>
        <w:t xml:space="preserve">[3] </w:t>
      </w:r>
      <w:hyperlink r:id="rId124">
        <w:r>
          <w:rPr>
            <w:color w:val="1155CC"/>
            <w:u w:val="single"/>
          </w:rPr>
          <w:t>通过 Li-CO2 电池中合金-载体相互作用设计 CO2 减排途径</w:t>
        </w:r>
      </w:hyperlink>
    </w:p>
    <w:p>
      <w:pPr>
        <w:spacing w:before="0" w:after="80"/>
      </w:pPr>
      <w:r>
        <w:rPr>
          <w:i/>
          <w:sz w:val="20"/>
        </w:rPr>
        <w:t>EN: Engineering CO2 Reduction Pathways via Alloy‐Support Interactions in Li‐CO2 Batteries</w:t>
      </w:r>
    </w:p>
    <w:p>
      <w:pPr>
        <w:spacing w:before="0" w:after="120"/>
      </w:pPr>
      <w:r>
        <w:rPr>
          <w:b/>
        </w:rPr>
        <w:t xml:space="preserve">Source: </w:t>
      </w:r>
      <w:r>
        <w:t>Wiley: Advanced Materials: Table of Contents</w:t>
      </w:r>
      <w:r>
        <w:t xml:space="preserve">    </w:t>
      </w:r>
      <w:r>
        <w:rPr>
          <w:b/>
        </w:rPr>
        <w:t xml:space="preserve">Pub date: </w:t>
      </w:r>
      <w:r>
        <w:t>2026-06-20 16:13:42+00:00</w:t>
      </w:r>
      <w:r>
        <w:t xml:space="preserve">    </w:t>
      </w:r>
      <w:r>
        <w:rPr>
          <w:b/>
        </w:rPr>
        <w:t xml:space="preserve">DOI: </w:t>
      </w:r>
      <w:hyperlink r:id="rId125">
        <w:r>
          <w:rPr>
            <w:color w:val="1155CC"/>
            <w:u w:val="single"/>
          </w:rPr>
          <w:t>10.1002/adma.73809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可充电Li-CO</w:t>
      </w:r>
      <w:r>
        <w:rPr>
          <w:vertAlign w:val="subscript"/>
        </w:rPr>
        <w:t>2</w:t>
      </w:r>
      <w:r>
        <w:t>电池（LCB）在双功能二氧化碳方面前景广阔</w:t>
      </w:r>
      <w:r>
        <w:rPr>
          <w:vertAlign w:val="subscript"/>
        </w:rPr>
        <w:t>2</w:t>
      </w:r>
      <w:r>
        <w:t>利用和储能，但其实际应用受到传统锂缓慢动力学的阻碍</w:t>
      </w:r>
      <w:r>
        <w:rPr>
          <w:vertAlign w:val="subscript"/>
        </w:rPr>
        <w:t>2</w:t>
      </w:r>
      <w:r>
        <w:t>一氧化碳</w:t>
      </w:r>
      <w:r>
        <w:rPr>
          <w:vertAlign w:val="subscript"/>
        </w:rPr>
        <w:t>3</w:t>
      </w:r>
      <w:r>
        <w:t>路径，导致低放电电压（低于 2.0 V）和大过电势（超过 1.0 V）。在此，我们提出了CO策略</w:t>
      </w:r>
      <w:r>
        <w:rPr>
          <w:vertAlign w:val="subscript"/>
        </w:rPr>
        <w:t>2</w:t>
      </w:r>
      <w:r>
        <w:t>通过合金-载体相互作用进行还原途径工程以释放高性能LCB。我们设计了一个Ru</w:t>
      </w:r>
      <w:r>
        <w:rPr>
          <w:vertAlign w:val="subscript"/>
        </w:rPr>
        <w:t>2</w:t>
      </w:r>
      <w:r>
        <w:t>铜</w:t>
      </w:r>
      <w:r>
        <w:rPr>
          <w:vertAlign w:val="subscript"/>
        </w:rPr>
        <w:t>4</w:t>
      </w:r>
      <w:r>
        <w:t>/NC</w:t>
      </w:r>
      <w:r>
        <w:rPr>
          <w:vertAlign w:val="subscript"/>
        </w:rPr>
        <w:t>1000</w:t>
      </w:r>
      <w:r>
        <w:t>催化剂，光谱证实了由 Ru 之间的强配位驱动的明显电荷重新分布</w:t>
      </w:r>
      <w:r>
        <w:rPr>
          <w:vertAlign w:val="subscript"/>
        </w:rPr>
        <w:t>2</w:t>
      </w:r>
      <w:r>
        <w:t>铜</w:t>
      </w:r>
      <w:r>
        <w:rPr>
          <w:vertAlign w:val="subscript"/>
        </w:rPr>
        <w:t>4</w:t>
      </w:r>
      <w:r>
        <w:t>合金和氮掺杂载体。理论模拟验证了这种相互作用将Ru和Cu的d带中心移向费米能级并引起界面电荷重新分布，从而优化了CO的Ru-Cu活性位点的电子结构</w:t>
      </w:r>
      <w:r>
        <w:rPr>
          <w:vertAlign w:val="subscript"/>
        </w:rPr>
        <w:t>2</w:t>
      </w:r>
      <w:r>
        <w:t>减少。更重要的是，这种电子重组在热力学上有利于亚稳态锂的形成</w:t>
      </w:r>
      <w:r>
        <w:rPr>
          <w:vertAlign w:val="subscript"/>
        </w:rPr>
        <w:t>2</w:t>
      </w:r>
      <w:r>
        <w:t>C</w:t>
      </w:r>
      <w:r>
        <w:rPr>
          <w:vertAlign w:val="subscript"/>
        </w:rPr>
        <w:t>2</w:t>
      </w:r>
      <w:r>
        <w:t>氧</w:t>
      </w:r>
      <w:r>
        <w:rPr>
          <w:vertAlign w:val="subscript"/>
        </w:rPr>
        <w:t>4</w:t>
      </w:r>
      <w:r>
        <w:t>过度胰岛素</w:t>
      </w:r>
    </w:p>
    <w:p>
      <w:pPr>
        <w:spacing w:before="0" w:after="200" w:lineRule="auto" w:line="276"/>
      </w:pPr>
      <w:r>
        <w:rPr>
          <w:b/>
        </w:rPr>
        <w:t xml:space="preserve">Abstract (EN): </w:t>
      </w:r>
      <w:r>
        <w:t>Rechargeable Li‐CO</w:t>
      </w:r>
      <w:r>
        <w:rPr>
          <w:vertAlign w:val="subscript"/>
        </w:rPr>
        <w:t>2</w:t>
      </w:r>
      <w:r>
        <w:t>batteries (LCBs) hold great promise for dual‐function CO</w:t>
      </w:r>
      <w:r>
        <w:rPr>
          <w:vertAlign w:val="subscript"/>
        </w:rPr>
        <w:t>2</w:t>
      </w:r>
      <w:r>
        <w:t>utilization and energy storage, yet their practical application is hindered by the sluggish kinetics of the conventional Li</w:t>
      </w:r>
      <w:r>
        <w:rPr>
          <w:vertAlign w:val="subscript"/>
        </w:rPr>
        <w:t>2</w:t>
      </w:r>
      <w:r>
        <w:t>CO</w:t>
      </w:r>
      <w:r>
        <w:rPr>
          <w:vertAlign w:val="subscript"/>
        </w:rPr>
        <w:t>3</w:t>
      </w:r>
      <w:r>
        <w:t>pathway, resulting in low discharge voltages (below 2.0 V) and large overpotentials (over 1.0 V). Herein, we propose a strategy of CO</w:t>
      </w:r>
      <w:r>
        <w:rPr>
          <w:vertAlign w:val="subscript"/>
        </w:rPr>
        <w:t>2</w:t>
      </w:r>
      <w:r>
        <w:t>reduction pathway engineering via alloy‐support interaction to unlock high‐performance LCBs. We designed a Ru</w:t>
      </w:r>
      <w:r>
        <w:rPr>
          <w:vertAlign w:val="subscript"/>
        </w:rPr>
        <w:t>2</w:t>
      </w:r>
      <w:r>
        <w:t>Cu</w:t>
      </w:r>
      <w:r>
        <w:rPr>
          <w:vertAlign w:val="subscript"/>
        </w:rPr>
        <w:t>4</w:t>
      </w:r>
      <w:r>
        <w:t>/NC</w:t>
      </w:r>
      <w:r>
        <w:rPr>
          <w:vertAlign w:val="subscript"/>
        </w:rPr>
        <w:t>1000</w:t>
      </w:r>
      <w:r>
        <w:t>catalyst, where spectroscopy confirms distinct charge redistribution driven by strong coordination between the Ru</w:t>
      </w:r>
      <w:r>
        <w:rPr>
          <w:vertAlign w:val="subscript"/>
        </w:rPr>
        <w:t>2</w:t>
      </w:r>
      <w:r>
        <w:t>Cu</w:t>
      </w:r>
      <w:r>
        <w:rPr>
          <w:vertAlign w:val="subscript"/>
        </w:rPr>
        <w:t>4</w:t>
      </w:r>
      <w:r>
        <w:t>alloy and N‐doped support. Theoretical simulations validate that this interaction shifts the Ru and Cu d‐band centers toward the Fermi level and induces interfacial charge redistribution, thus optimizing the electronic structure of the Ru‐Cu active sites for CO</w:t>
      </w:r>
      <w:r>
        <w:rPr>
          <w:vertAlign w:val="subscript"/>
        </w:rPr>
        <w:t>2</w:t>
      </w:r>
      <w:r>
        <w:t>reduction. More importantly, this electronic restructuring thermodynamically favors the formation of metastable Li</w:t>
      </w:r>
      <w:r>
        <w:rPr>
          <w:vertAlign w:val="subscript"/>
        </w:rPr>
        <w:t>2</w:t>
      </w:r>
      <w:r>
        <w:t>C</w:t>
      </w:r>
      <w:r>
        <w:rPr>
          <w:vertAlign w:val="subscript"/>
        </w:rPr>
        <w:t>2</w:t>
      </w:r>
      <w:r>
        <w:t>O</w:t>
      </w:r>
      <w:r>
        <w:rPr>
          <w:vertAlign w:val="subscript"/>
        </w:rPr>
        <w:t>4</w:t>
      </w:r>
      <w:r>
        <w:t>over insulating Li</w:t>
      </w:r>
      <w:r>
        <w:rPr>
          <w:vertAlign w:val="subscript"/>
        </w:rPr>
        <w:t>2</w:t>
      </w:r>
      <w:r>
        <w:t>CO</w:t>
      </w:r>
      <w:r>
        <w:rPr>
          <w:vertAlign w:val="subscript"/>
        </w:rPr>
        <w:t>3</w:t>
      </w:r>
      <w:r>
        <w:t>, thus significantly reducing the activation energy barrier for the rate‐determining step by 0.56 eV. As a result, the cell achieves a minimal overpotential of 0.50 V, an exceptional discharge voltage of 3.23 V, and a high specific capacity of 33 922 mAh g</w:t>
      </w:r>
      <w:r>
        <w:t xml:space="preserve"> </w:t>
      </w:r>
      <w:r>
        <w:t>−1</w:t>
      </w:r>
      <w:r>
        <w:t xml:space="preserve"> </w:t>
      </w:r>
      <w:r>
        <w:t>(at 100 mA g</w:t>
      </w:r>
      <w:r>
        <w:t xml:space="preserve"> </w:t>
      </w:r>
      <w:r>
        <w:t>−1</w:t>
      </w:r>
      <w:r>
        <w:t xml:space="preserve"> </w:t>
      </w:r>
      <w:r>
        <w:t>). Our work establishes electron‐state engineering via alloy‐support interactions as a protocol for directing reaction pathways and achieving high‐voltage and durable LCBs.</w:t>
      </w:r>
    </w:p>
    <w:p>
      <w:pPr>
        <w:spacing w:before="120" w:after="120"/>
      </w:pPr>
      <w:r>
        <w:rPr>
          <w:sz w:val="18"/>
        </w:rPr>
        <w:t>——————————————————————————————————————————————————————————————————————</w:t>
      </w:r>
    </w:p>
    <w:p>
      <w:pPr>
        <w:spacing w:before="160" w:after="40" w:line="240" w:lineRule="auto"/>
      </w:pPr>
      <w:r>
        <w:rPr>
          <w:b/>
        </w:rPr>
        <w:t xml:space="preserve">[4] </w:t>
      </w:r>
      <w:hyperlink r:id="rId257">
        <w:r>
          <w:rPr>
            <w:color w:val="1155CC"/>
            <w:u w:val="single"/>
          </w:rPr>
          <w:t>土地与能源关系评估二氧化碳清除在净零排放途径中的贡献</w:t>
        </w:r>
      </w:hyperlink>
    </w:p>
    <w:p>
      <w:pPr>
        <w:spacing w:before="0" w:after="80"/>
      </w:pPr>
      <w:r>
        <w:rPr>
          <w:i/>
          <w:sz w:val="20"/>
        </w:rPr>
        <w:t>EN: Land–energy nexus to assess the contribution of carbon dioxide removal in net-zero emission pathways</w:t>
      </w:r>
    </w:p>
    <w:p>
      <w:pPr>
        <w:spacing w:before="0" w:after="120"/>
      </w:pPr>
      <w:r>
        <w:rPr>
          <w:b/>
        </w:rPr>
        <w:t xml:space="preserve">Source: </w:t>
      </w:r>
      <w:r>
        <w:t>ScienceDirect Publication: Applied Energy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258">
        <w:r>
          <w:rPr>
            <w:color w:val="1155CC"/>
            <w:u w:val="single"/>
          </w:rPr>
          <w:t>驯服氢介导的动力学开关以实现耐硫 CO2 电还原</w:t>
        </w:r>
      </w:hyperlink>
    </w:p>
    <w:p>
      <w:pPr>
        <w:spacing w:before="0" w:after="80"/>
      </w:pPr>
      <w:r>
        <w:rPr>
          <w:i/>
          <w:sz w:val="20"/>
        </w:rPr>
        <w:t>EN: Taming the Hydrogen‐Mediated Kinetic Switch for Sulfur‐Tolerant CO2 Electroreduction</w:t>
      </w:r>
    </w:p>
    <w:p>
      <w:pPr>
        <w:spacing w:before="0" w:after="120"/>
      </w:pPr>
      <w:r>
        <w:rPr>
          <w:b/>
        </w:rPr>
        <w:t xml:space="preserve">Source: </w:t>
      </w:r>
      <w:r>
        <w:t>Wiley: Angewandte Chemie International Edition: Table of Contents</w:t>
      </w:r>
      <w:r>
        <w:t xml:space="preserve">    </w:t>
      </w:r>
      <w:r>
        <w:rPr>
          <w:b/>
        </w:rPr>
        <w:t xml:space="preserve">Pub date: </w:t>
      </w:r>
      <w:r>
        <w:t>2026-06-21 15:46:07+00:00</w:t>
      </w:r>
      <w:r>
        <w:t xml:space="preserve">    </w:t>
      </w:r>
      <w:r>
        <w:rPr>
          <w:b/>
        </w:rPr>
        <w:t xml:space="preserve">DOI: </w:t>
      </w:r>
      <w:hyperlink r:id="rId259">
        <w:r>
          <w:rPr>
            <w:color w:val="1155CC"/>
            <w:u w:val="single"/>
          </w:rPr>
          <w:t>10.1002/anie.3424135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工业烟气的直接电化学转化为碳中和提供了一条有前途的途径，但它仍然受到痕量二氧化硫（SO</w:t>
      </w:r>
      <w:r>
        <w:rPr>
          <w:vertAlign w:val="subscript"/>
        </w:rPr>
        <w:t>2</w:t>
      </w:r>
      <w:r>
        <w:t>, 10–400 ppm) 杂质。这些杂质导致催化剂快速失活，特别是在工业应用所需的高反应速率下。在这里，我们引入了疏水性分子门策略，以将杂质传输与催化剂失活分开。通过调节界面水溶剂化结构和质子转移路径，该设计创建了一个缺水状态来锁定动力学开关。结果，所以</w:t>
      </w:r>
      <w:r>
        <w:rPr>
          <w:vertAlign w:val="subscript"/>
        </w:rPr>
        <w:t>2</w:t>
      </w:r>
      <w:r>
        <w:t>与氢介导的还原分离，而有效CO所需的瞬时水</w:t>
      </w:r>
      <w:r>
        <w:rPr>
          <w:vertAlign w:val="subscript"/>
        </w:rPr>
        <w:t>2</w:t>
      </w:r>
      <w:r>
        <w:t>转换被保留。当与晶格应变铜催化剂配合使用时，这种结构可以放大 100 cm</w:t>
      </w:r>
      <w:r>
        <w:rPr>
          <w:vertAlign w:val="subscript"/>
        </w:rPr>
        <w:t>2</w:t>
      </w:r>
      <w:r>
        <w:t>膜电极组件 (MEA) 在 20 A 的总电流下运行超过 120 小时，保持乙烯 (C</w:t>
      </w:r>
      <w:r>
        <w:rPr>
          <w:vertAlign w:val="subscript"/>
        </w:rPr>
        <w:t>2</w:t>
      </w:r>
      <w:r>
        <w:t>H</w:t>
      </w:r>
      <w:r>
        <w:rPr>
          <w:vertAlign w:val="subscript"/>
        </w:rPr>
        <w:t>4</w:t>
      </w:r>
      <w:r>
        <w:t>) 模拟烟气中的法拉第效率 (FE) &gt;56%。</w:t>
      </w:r>
    </w:p>
    <w:p>
      <w:pPr>
        <w:spacing w:before="0" w:after="200" w:lineRule="auto" w:line="276"/>
      </w:pPr>
      <w:r>
        <w:rPr>
          <w:b/>
        </w:rPr>
        <w:t xml:space="preserve">Abstract (EN): </w:t>
      </w:r>
      <w:r>
        <w:t>Direct electrochemical conversion of industrial flue gas offers a promising route to carbon neutrality, but it remains limited by trace sulfur dioxide (SO</w:t>
      </w:r>
      <w:r>
        <w:rPr>
          <w:vertAlign w:val="subscript"/>
        </w:rPr>
        <w:t>2</w:t>
      </w:r>
      <w:r>
        <w:t>, 10–400 ppm) impurities. These impurities cause rapid catalyst deactivation, particularly under the high reaction rates required for industrial application. Here, we introduce a hydrophobic molecular gate strategy to decouple impurity transport from catalyst deactivation. By regulating the interfacial water solvation structure and proton transfer pathways, this design creates a water‐deficient regime to lock the kinetic switch. As a result, SO</w:t>
      </w:r>
      <w:r>
        <w:rPr>
          <w:vertAlign w:val="subscript"/>
        </w:rPr>
        <w:t>2</w:t>
      </w:r>
      <w:r>
        <w:t>is isolated from the hydrogen‐mediated reduction, while the transient water required for efficient CO</w:t>
      </w:r>
      <w:r>
        <w:rPr>
          <w:vertAlign w:val="subscript"/>
        </w:rPr>
        <w:t>2</w:t>
      </w:r>
      <w:r>
        <w:t>conversion is preserved. When paired with a lattice‐strained copper catalyst, this architecture allows a scaled‐up 100 cm</w:t>
      </w:r>
      <w:r>
        <w:rPr>
          <w:vertAlign w:val="subscript"/>
        </w:rPr>
        <w:t>2</w:t>
      </w:r>
      <w:r>
        <w:t>membrane electrode assembly (MEA) to operate at a total current of 20 A for over 120 h, maintaining an ethylene (C</w:t>
      </w:r>
      <w:r>
        <w:rPr>
          <w:vertAlign w:val="subscript"/>
        </w:rPr>
        <w:t>2</w:t>
      </w:r>
      <w:r>
        <w:t>H</w:t>
      </w:r>
      <w:r>
        <w:rPr>
          <w:vertAlign w:val="subscript"/>
        </w:rPr>
        <w:t>4</w:t>
      </w:r>
      <w:r>
        <w:t>) Faradaic efficiency (FE) &amp;gt;56% in simulated flue gas.</w:t>
      </w:r>
    </w:p>
    <w:p>
      <w:pPr>
        <w:spacing w:before="120" w:after="120"/>
      </w:pPr>
      <w:r>
        <w:rPr>
          <w:sz w:val="18"/>
        </w:rPr>
        <w:t>——————————————————————————————————————————————————————————————————————</w:t>
      </w:r>
    </w:p>
    <w:p>
      <w:pPr>
        <w:spacing w:before="160" w:after="40" w:line="240" w:lineRule="auto"/>
      </w:pPr>
      <w:r>
        <w:rPr>
          <w:b/>
        </w:rPr>
        <w:t xml:space="preserve">[6] </w:t>
      </w:r>
      <w:hyperlink r:id="rId260">
        <w:r>
          <w:rPr>
            <w:color w:val="1155CC"/>
            <w:u w:val="single"/>
          </w:rPr>
          <w:t>用于将稀释二氧化碳直接电还原成乙烯的有序空心球阵列纳米反应器</w:t>
        </w:r>
      </w:hyperlink>
    </w:p>
    <w:p>
      <w:pPr>
        <w:spacing w:before="0" w:after="80"/>
      </w:pPr>
      <w:r>
        <w:rPr>
          <w:i/>
          <w:sz w:val="20"/>
        </w:rPr>
        <w:t>EN: Ordered Hollow Sphere Array Nanoreactors for Direct Electroreduction of Diluted CO2 Into Ethylene</w:t>
      </w:r>
    </w:p>
    <w:p>
      <w:pPr>
        <w:spacing w:before="0" w:after="120"/>
      </w:pPr>
      <w:r>
        <w:rPr>
          <w:b/>
        </w:rPr>
        <w:t xml:space="preserve">Source: </w:t>
      </w:r>
      <w:r>
        <w:t>Wiley: Angewandte Chemie International Edition: Table of Contents</w:t>
      </w:r>
      <w:r>
        <w:t xml:space="preserve">    </w:t>
      </w:r>
      <w:r>
        <w:rPr>
          <w:b/>
        </w:rPr>
        <w:t xml:space="preserve">Pub date: </w:t>
      </w:r>
      <w:r>
        <w:t>2026-06-21 16:02:59+00:00</w:t>
      </w:r>
      <w:r>
        <w:t xml:space="preserve">    </w:t>
      </w:r>
      <w:r>
        <w:rPr>
          <w:b/>
        </w:rPr>
        <w:t xml:space="preserve">DOI: </w:t>
      </w:r>
      <w:hyperlink r:id="rId261">
        <w:r>
          <w:rPr>
            <w:color w:val="1155CC"/>
            <w:u w:val="single"/>
          </w:rPr>
          <w:t>10.1002/anie.2477373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工业稀释CO的直接电还原</w:t>
      </w:r>
      <w:r>
        <w:rPr>
          <w:vertAlign w:val="subscript"/>
        </w:rPr>
        <w:t>2</w:t>
      </w:r>
      <w:r>
        <w:t>进入C</w:t>
      </w:r>
      <w:r>
        <w:rPr>
          <w:vertAlign w:val="subscript"/>
        </w:rPr>
        <w:t>2</w:t>
      </w:r>
      <w:r>
        <w:t>H</w:t>
      </w:r>
      <w:r>
        <w:rPr>
          <w:vertAlign w:val="subscript"/>
        </w:rPr>
        <w:t>4</w:t>
      </w:r>
      <w:r>
        <w:t>代表了一种有前途的可持续能源转换途径，但该过程的选择性和电流密度从根本上受到反应物浓度不足和 *CO 中间体生成的限制。在此，我们通过使用独特的反向模板协议设计一种以 Cu 纳米粒子和 Ni 单原子作为串联催化位点（Cu-NP/Ni-NC OHSpA）的有序空心球阵列纳米反应器来解决这个问题。机理研究表明*CO可以在Ni位点上产生并溢出到邻近的Cu颗粒。值得注意的是，有序空心球阵列可作为有效的CO储存库，增强*CO覆盖率，从而促进C-C耦合形成C</w:t>
      </w:r>
      <w:r>
        <w:rPr>
          <w:vertAlign w:val="subscript"/>
        </w:rPr>
        <w:t>2</w:t>
      </w:r>
      <w:r>
        <w:t>H</w:t>
      </w:r>
      <w:r>
        <w:rPr>
          <w:vertAlign w:val="subscript"/>
        </w:rPr>
        <w:t>4</w:t>
      </w:r>
      <w:r>
        <w:t>。因此，Cu-NP/Ni-NC OHSPA 对稀释 CO 的转化表现出优异的电催化性能</w:t>
      </w:r>
      <w:r>
        <w:rPr>
          <w:vertAlign w:val="subscript"/>
        </w:rPr>
        <w:t>2</w:t>
      </w:r>
      <w:r>
        <w:t>（即 15% CO</w:t>
      </w:r>
      <w:r>
        <w:rPr>
          <w:vertAlign w:val="subscript"/>
        </w:rPr>
        <w:t>2</w:t>
      </w:r>
      <w:r>
        <w:t>/Ar)，提供 C</w:t>
      </w:r>
      <w:r>
        <w:rPr>
          <w:vertAlign w:val="subscript"/>
        </w:rPr>
        <w:t>2</w:t>
      </w:r>
      <w:r>
        <w:t>H</w:t>
      </w:r>
      <w:r>
        <w:rPr>
          <w:vertAlign w:val="subscript"/>
        </w:rPr>
        <w:t>4</w:t>
      </w:r>
      <w:r>
        <w:t>法拉第效率（FE</w:t>
      </w:r>
      <w:r>
        <w:t xml:space="preserve"> </w:t>
      </w:r>
      <w:r>
        <w:t>C2H4</w:t>
      </w:r>
      <w:r>
        <w:t xml:space="preserve"> </w:t>
      </w:r>
      <w:r>
        <w:t>) 为 57.5%，部分电流密度 (J</w:t>
      </w:r>
      <w:r>
        <w:t xml:space="preserve"> </w:t>
      </w:r>
      <w:r>
        <w:t>C2H4</w:t>
      </w:r>
      <w:r>
        <w:t xml:space="preserve"> </w:t>
      </w:r>
      <w:r>
        <w:t>) 110 mA cm</w:t>
      </w:r>
      <w:r>
        <w:t xml:space="preserve"> </w:t>
      </w:r>
      <w:r>
        <w:t>−2</w:t>
      </w:r>
      <w:r>
        <w:t xml:space="preserve"> </w:t>
      </w:r>
      <w:r>
        <w:t>。</w:t>
      </w:r>
    </w:p>
    <w:p>
      <w:pPr>
        <w:spacing w:before="0" w:after="200" w:lineRule="auto" w:line="276"/>
      </w:pPr>
      <w:r>
        <w:rPr>
          <w:b/>
        </w:rPr>
        <w:t xml:space="preserve">Abstract (EN): </w:t>
      </w:r>
      <w:r>
        <w:t>Direct electroreduction of industrially diluted CO</w:t>
      </w:r>
      <w:r>
        <w:rPr>
          <w:vertAlign w:val="subscript"/>
        </w:rPr>
        <w:t>2</w:t>
      </w:r>
      <w:r>
        <w:t>into C</w:t>
      </w:r>
      <w:r>
        <w:rPr>
          <w:vertAlign w:val="subscript"/>
        </w:rPr>
        <w:t>2</w:t>
      </w:r>
      <w:r>
        <w:t>H</w:t>
      </w:r>
      <w:r>
        <w:rPr>
          <w:vertAlign w:val="subscript"/>
        </w:rPr>
        <w:t>4</w:t>
      </w:r>
      <w:r>
        <w:t>represents a promising route for sustainable energy conversion, yet the selectivity and current density of this process are fundamentally constrained by the insufficient reactant concentration and generation of *CO intermediates. Herein, we addressed this issue by designing an ordered hollow sphere array nanoreactor with Cu nanoparticle and Ni single atom as the tandem catalytic sites (Cu‐NP/Ni‐NC OHSpA) using a unique reverse templating protocol. Mechanistic studies demonstrate that *CO can be generated on Ni site and undergoes spillover to the neighboring Cu particle. Significantly, the ordered hollow sphere array serves as effective CO reservoir to enhance the *CO coverage and thereby promote the C‐C coupling to form C</w:t>
      </w:r>
      <w:r>
        <w:rPr>
          <w:vertAlign w:val="subscript"/>
        </w:rPr>
        <w:t>2</w:t>
      </w:r>
      <w:r>
        <w:t>H</w:t>
      </w:r>
      <w:r>
        <w:rPr>
          <w:vertAlign w:val="subscript"/>
        </w:rPr>
        <w:t>4</w:t>
      </w:r>
      <w:r>
        <w:t>. As a consequence, Cu‐NP/Ni‐NC OHSpA exhibits excellent electrocatalytic performance toward the conversion of diluted CO</w:t>
      </w:r>
      <w:r>
        <w:rPr>
          <w:vertAlign w:val="subscript"/>
        </w:rPr>
        <w:t>2</w:t>
      </w:r>
      <w:r>
        <w:t>(i.e., 15% CO</w:t>
      </w:r>
      <w:r>
        <w:rPr>
          <w:vertAlign w:val="subscript"/>
        </w:rPr>
        <w:t>2</w:t>
      </w:r>
      <w:r>
        <w:t>/Ar), affording a C</w:t>
      </w:r>
      <w:r>
        <w:rPr>
          <w:vertAlign w:val="subscript"/>
        </w:rPr>
        <w:t>2</w:t>
      </w:r>
      <w:r>
        <w:t>H</w:t>
      </w:r>
      <w:r>
        <w:rPr>
          <w:vertAlign w:val="subscript"/>
        </w:rPr>
        <w:t>4</w:t>
      </w:r>
      <w:r>
        <w:t>Faradaic efficiency (FE</w:t>
      </w:r>
      <w:r>
        <w:t xml:space="preserve"> </w:t>
      </w:r>
      <w:r>
        <w:t>C2H4</w:t>
      </w:r>
      <w:r>
        <w:t xml:space="preserve"> </w:t>
      </w:r>
      <w:r>
        <w:t>) of 57.5% with a partial current density (J</w:t>
      </w:r>
      <w:r>
        <w:t xml:space="preserve"> </w:t>
      </w:r>
      <w:r>
        <w:t>C2H4</w:t>
      </w:r>
      <w:r>
        <w:t xml:space="preserve"> </w:t>
      </w:r>
      <w:r>
        <w:t>) of 110 mA cm</w:t>
      </w:r>
      <w:r>
        <w:t xml:space="preserve"> </w:t>
      </w:r>
      <w:r>
        <w:t>−2</w:t>
      </w:r>
      <w:r>
        <w:t xml:space="preserve"> </w:t>
      </w:r>
      <w:r>
        <w:t>.</w:t>
      </w:r>
    </w:p>
    <w:p>
      <w:pPr>
        <w:spacing w:before="120" w:after="120"/>
      </w:pPr>
      <w:r>
        <w:rPr>
          <w:sz w:val="18"/>
        </w:rPr>
        <w:t>——————————————————————————————————————————————————————————————————————</w:t>
      </w:r>
    </w:p>
    <w:p>
      <w:pPr>
        <w:spacing w:before="160" w:after="40" w:line="240" w:lineRule="auto"/>
      </w:pPr>
      <w:r>
        <w:rPr>
          <w:b/>
        </w:rPr>
        <w:t xml:space="preserve">[7] </w:t>
      </w:r>
      <w:hyperlink r:id="rId262">
        <w:r>
          <w:rPr>
            <w:color w:val="1155CC"/>
            <w:u w:val="single"/>
          </w:rPr>
          <w:t>高能氢自由基引发 CO2 和 N2 高效电合成尿素</w:t>
        </w:r>
      </w:hyperlink>
    </w:p>
    <w:p>
      <w:pPr>
        <w:spacing w:before="0" w:after="80"/>
      </w:pPr>
      <w:r>
        <w:rPr>
          <w:i/>
          <w:sz w:val="20"/>
        </w:rPr>
        <w:t>EN: A high-energy hydrogen radical initiates efficient electrosynthesis of urea from CO2 and N2</w:t>
      </w:r>
    </w:p>
    <w:p>
      <w:pPr>
        <w:spacing w:before="0" w:after="120"/>
      </w:pPr>
      <w:r>
        <w:rPr>
          <w:b/>
        </w:rPr>
        <w:t xml:space="preserve">Source: </w:t>
      </w:r>
      <w:r>
        <w:t>Nature Nanotechnology</w:t>
      </w:r>
      <w:r>
        <w:t xml:space="preserve">    </w:t>
      </w:r>
      <w:r>
        <w:rPr>
          <w:b/>
        </w:rPr>
        <w:t xml:space="preserve">Pub date: </w:t>
      </w:r>
      <w:r>
        <w:t>2026-06-22 00:00:00+00:00</w:t>
      </w:r>
      <w:r>
        <w:t xml:space="preserve">    </w:t>
      </w:r>
      <w:r>
        <w:rPr>
          <w:b/>
        </w:rPr>
        <w:t xml:space="preserve">DOI: </w:t>
      </w:r>
      <w:hyperlink r:id="rId263">
        <w:r>
          <w:rPr>
            <w:color w:val="1155CC"/>
            <w:u w:val="single"/>
          </w:rPr>
          <w:t>10.1038/s41565-026-02209-x</w:t>
        </w:r>
      </w:hyperlink>
    </w:p>
    <w:p>
      <w:pPr>
        <w:spacing w:before="0" w:after="120"/>
      </w:pPr>
      <w:r>
        <w:rPr>
          <w:b/>
        </w:rPr>
        <w:t xml:space="preserve">Notes: </w:t>
      </w:r>
      <w:r>
        <w:t>abstract_source=nature_html</w:t>
      </w:r>
    </w:p>
    <w:p>
      <w:pPr>
        <w:spacing w:before="0" w:after="80" w:lineRule="auto" w:line="276"/>
      </w:pPr>
      <w:r>
        <w:rPr>
          <w:b/>
        </w:rPr>
        <w:t xml:space="preserve">摘要（ZH）: </w:t>
      </w:r>
      <w:r>
        <w:t>CO2 和 N2 电化学共还原为尿素提供了传统合成的可持续替代方案，但面临着巨大的挑战。在这里，我们通过将离子液体 (IL) 1-乙基-2,3-二甲基咪唑溴化物锚定到 CuBi 表面来设计催化剂。 IL@CuBi 催化剂在 H 型电池中对尿素 (FEurea) 的法拉第效率为 73.0%，电流密度为 27.4 mA cm−2，生产率为 124.7 μmol cm−2 h−1。详细研究表明，在共还原过程中，IL@CuBi上的Emmim+阳离子首先被还原为Emmim·自由基，Emmim·自由基将电子转移到H+生成H·自由基。这种用于H·自由基生成的中继电子转移途径绕过了表面吸附的*H中间体的常规形成，从而有效地抑制了析氢反应。产生的H·自由基作为高能子弹，直接参与后续的氢化步骤，从而大大降低自由能垒并增强反应动力学。</w:t>
      </w:r>
    </w:p>
    <w:p>
      <w:pPr>
        <w:spacing w:before="0" w:after="200" w:lineRule="auto" w:line="276"/>
      </w:pPr>
      <w:r>
        <w:rPr>
          <w:b/>
        </w:rPr>
        <w:t xml:space="preserve">Abstract (EN): </w:t>
      </w:r>
      <w:r>
        <w:t>The electrochemical co-reduction of CO2 and N2 to urea presents a sustainable alternative to conventional synthesis but faces substantial challenges. Here we design a catalyst by anchoring the ionic liquid (IL) 1-ethyl-2,3-dimethylimidazolium bromide onto a CuBi surface. The IL@CuBi catalyst delivers an exceptional Faradaic efficiency toward urea (FEurea) of 73.0% and a current density of 27.4 mA cm−2 in an H-type cell, with a production rate of 124.7 μmol cm−2 h−1. Detailed study indicates that during the co-reduction process, Emmim+ cations on IL@CuBi are first reduced to Emmim· radicals, which transfer electrons to H+ to generate H· radicals. This relayed electron-transfer pathway for H· radical generation bypasses the conventional formation from surface-adsorbed *H intermediates, thereby effectively suppressing the hydrogen evolution reaction. The generated H· radicals, acting as high-energy bullets, directly participate in subsequent hydrogenation steps, thereby substantially reducing the free energy barrier and enhancing reaction kinetics.</w:t>
      </w:r>
    </w:p>
    <w:p>
      <w:pPr>
        <w:spacing w:before="120" w:after="120"/>
      </w:pPr>
      <w:r>
        <w:rPr>
          <w:sz w:val="18"/>
        </w:rPr>
        <w:t>——————————————————————————————————————————————————————————————————————</w:t>
      </w:r>
    </w:p>
    <w:p>
      <w:pPr>
        <w:spacing w:before="160" w:after="40" w:line="240" w:lineRule="auto"/>
      </w:pPr>
      <w:r>
        <w:rPr>
          <w:b/>
        </w:rPr>
        <w:t xml:space="preserve">[8] </w:t>
      </w:r>
      <w:hyperlink r:id="rId237">
        <w:r>
          <w:rPr>
            <w:color w:val="1155CC"/>
            <w:u w:val="single"/>
          </w:rPr>
          <w:t>通过 CCS 和城市工业系统整合规划实现净零排放的道路：瑞士案例研究</w:t>
        </w:r>
      </w:hyperlink>
    </w:p>
    <w:p>
      <w:pPr>
        <w:spacing w:before="0" w:after="80"/>
      </w:pPr>
      <w:r>
        <w:rPr>
          <w:i/>
          <w:sz w:val="20"/>
        </w:rPr>
        <w:t>EN: Charting the path to net-zero via CCS and urban-industrial system integration: A Swiss case study</w:t>
      </w:r>
    </w:p>
    <w:p>
      <w:pPr>
        <w:spacing w:before="0" w:after="120"/>
      </w:pPr>
      <w:r>
        <w:rPr>
          <w:b/>
        </w:rPr>
        <w:t xml:space="preserve">Source: </w:t>
      </w:r>
      <w:r>
        <w:t>Joule</w:t>
      </w:r>
      <w:r>
        <w:t xml:space="preserve">    </w:t>
      </w:r>
      <w:r>
        <w:rPr>
          <w:b/>
        </w:rPr>
        <w:t xml:space="preserve">Pub date: </w:t>
      </w:r>
      <w:r>
        <w:t>2026-06-22 00:00:00+00:00</w:t>
      </w:r>
      <w:r>
        <w:t xml:space="preserve">    </w:t>
      </w:r>
      <w:r>
        <w:rPr>
          <w:b/>
        </w:rPr>
        <w:t xml:space="preserve">DOI: </w:t>
      </w:r>
      <w:hyperlink r:id="rId238">
        <w:r>
          <w:rPr>
            <w:color w:val="1155CC"/>
            <w:u w:val="single"/>
          </w:rPr>
          <w:t>10.1016/j.joule.2026.102533</w:t>
        </w:r>
      </w:hyperlink>
    </w:p>
    <w:p>
      <w:pPr>
        <w:spacing w:before="0" w:after="120"/>
      </w:pPr>
      <w:r>
        <w:rPr>
          <w:b/>
        </w:rPr>
        <w:t xml:space="preserve">Notes: </w:t>
      </w:r>
      <w:r>
        <w:t>abstract_source=rss_cell</w:t>
      </w:r>
    </w:p>
    <w:p>
      <w:pPr>
        <w:spacing w:before="0" w:after="80" w:lineRule="auto" w:line="276"/>
      </w:pPr>
      <w:r>
        <w:rPr>
          <w:b/>
        </w:rPr>
        <w:t xml:space="preserve">摘要（ZH）: </w:t>
      </w:r>
      <w:r>
        <w:t>城市工业集群提供了脱碳的重大机遇，因为它们拥有难以减少的排放和未开发的当地能源资源。本研究以瑞士莱茵河谷为试验场，对综合能源-碳关系进行建模，以确定 2050 年净零能源系统的成本最优解决方案。分析表明，协调的跨部门规划可以通过提高系统效率和减少对化石进口的依赖来降低长期系统成本。该研究为弹性区域脱碳提供了可扩展的蓝图。</w:t>
      </w:r>
    </w:p>
    <w:p>
      <w:pPr>
        <w:spacing w:before="0" w:after="200" w:lineRule="auto" w:line="276"/>
      </w:pPr>
      <w:r>
        <w:rPr>
          <w:b/>
        </w:rPr>
        <w:t xml:space="preserve">Abstract (EN): </w:t>
      </w:r>
      <w:r>
        <w:t>Urban-industrial clusters present major opportunities for decarbonization as they host both hard-to-abate emissions and untapped local energy resources. Using Switzerland’s Rheintal valley as a test bed, this study models the integrated energy-carbon nexus to identify cost-optimal solutions for a net-zero energy system 2050. The analysis shows that coordinated cross-sector planning can lower long-term system costs by increasing system efficiency and reducing reliance on fossil imports. The study provides a scalable blueprint for resilient regional decarbonization.</w:t>
      </w:r>
    </w:p>
    <w:p>
      <w:pPr>
        <w:spacing w:before="120" w:after="120"/>
      </w:pPr>
      <w:r>
        <w:rPr>
          <w:sz w:val="18"/>
        </w:rPr>
        <w:t>——————————————————————————————————————————————————————————————————————</w:t>
      </w:r>
    </w:p>
    <w:p>
      <w:pPr>
        <w:spacing w:before="160" w:after="40" w:line="240" w:lineRule="auto"/>
      </w:pPr>
      <w:r>
        <w:rPr>
          <w:b/>
        </w:rPr>
        <w:t xml:space="preserve">[9] </w:t>
      </w:r>
      <w:hyperlink r:id="rId264">
        <w:r>
          <w:rPr>
            <w:color w:val="1155CC"/>
            <w:u w:val="single"/>
          </w:rPr>
          <w:t>锌金属有机框架中的协同孔隙微环境工程可实现高 SF6/N2 选择性和耐湿痕量 SF6 捕获</w:t>
        </w:r>
      </w:hyperlink>
    </w:p>
    <w:p>
      <w:pPr>
        <w:spacing w:before="0" w:after="80"/>
      </w:pPr>
      <w:r>
        <w:rPr>
          <w:i/>
          <w:sz w:val="20"/>
        </w:rPr>
        <w:t>EN: Synergistic Pore Microenvironment Engineering in Zinc Metal–Organic Frameworks for High SF6/N2 Selectivity and Humidity‐Resistant Trace SF6 Capture</w:t>
      </w:r>
    </w:p>
    <w:p>
      <w:pPr>
        <w:spacing w:before="0" w:after="120"/>
      </w:pPr>
      <w:r>
        <w:rPr>
          <w:b/>
        </w:rPr>
        <w:t xml:space="preserve">Source: </w:t>
      </w:r>
      <w:r>
        <w:t>Wiley: Angewandte Chemie International Edition: Table of Contents</w:t>
      </w:r>
      <w:r>
        <w:t xml:space="preserve">    </w:t>
      </w:r>
      <w:r>
        <w:rPr>
          <w:b/>
        </w:rPr>
        <w:t xml:space="preserve">Pub date: </w:t>
      </w:r>
      <w:r>
        <w:t>2026-06-22 13:44:32+00:00</w:t>
      </w:r>
      <w:r>
        <w:t xml:space="preserve">    </w:t>
      </w:r>
      <w:r>
        <w:rPr>
          <w:b/>
        </w:rPr>
        <w:t xml:space="preserve">DOI: </w:t>
      </w:r>
      <w:hyperlink r:id="rId265">
        <w:r>
          <w:rPr>
            <w:color w:val="1155CC"/>
            <w:u w:val="single"/>
          </w:rPr>
          <w:t>10.1002/anie.4456858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六氟化硫（SF</w:t>
      </w:r>
      <w:r>
        <w:rPr>
          <w:vertAlign w:val="subscript"/>
        </w:rPr>
        <w:t>6</w:t>
      </w:r>
      <w:r>
        <w:t>）是一种广泛用于电气绝缘的强效温室气体。虽然顺丰的尺寸有差别</w:t>
      </w:r>
      <w:r>
        <w:rPr>
          <w:vertAlign w:val="subscript"/>
        </w:rPr>
        <w:t>6</w:t>
      </w:r>
      <w:r>
        <w:t>和N</w:t>
      </w:r>
      <w:r>
        <w:rPr>
          <w:vertAlign w:val="subscript"/>
        </w:rPr>
        <w:t>2</w:t>
      </w:r>
      <w:r>
        <w:t>原则上可实现分离，实现高SF</w:t>
      </w:r>
      <w:r>
        <w:rPr>
          <w:vertAlign w:val="subscript"/>
        </w:rPr>
        <w:t>6</w:t>
      </w:r>
      <w:r>
        <w:t>痕量浓度下的选择性、大吸附容量和长期稳定性仍然是一个艰巨的挑战。在此，我们报告了一系列新型锌基金属有机框架（</w:t>
      </w:r>
      <w:r>
        <w:t xml:space="preserve"> </w:t>
      </w:r>
      <w:r>
        <w:t>锌-tcpb</w:t>
      </w:r>
      <w:r>
        <w:t xml:space="preserve"> </w:t>
      </w:r>
      <w:r>
        <w:t>,</w:t>
      </w:r>
      <w:r>
        <w:t xml:space="preserve"> </w:t>
      </w:r>
      <w:r>
        <w:t>锌-tcpb-bim</w:t>
      </w:r>
      <w:r>
        <w:t xml:space="preserve"> </w:t>
      </w:r>
      <w:r>
        <w:t>,</w:t>
      </w:r>
      <w:r>
        <w:t xml:space="preserve"> </w:t>
      </w:r>
      <w:r>
        <w:t>锌-tppb-bim</w:t>
      </w:r>
      <w:r>
        <w:t xml:space="preserve"> </w:t>
      </w:r>
      <w:r>
        <w:t>）具有系统可调的孔径和静电微环境。通过将混合配体策略（四羧酸加2,2'-联咪唑）与孔功能化相结合，我们实现了对吸附和分离性能的协同控制。其中，</w:t>
      </w:r>
      <w:r>
        <w:t xml:space="preserve"> </w:t>
      </w:r>
      <w:r>
        <w:t>Zn-tppb-bim—</w:t>
      </w:r>
      <w:r>
        <w:t xml:space="preserve"> </w:t>
      </w:r>
      <w:r>
        <w:t>具有吸电子吡嗪环——表现出显着的低压SF</w:t>
      </w:r>
      <w:r>
        <w:rPr>
          <w:vertAlign w:val="subscript"/>
        </w:rPr>
        <w:t>6</w:t>
      </w:r>
      <w:r>
        <w:t>0.1 bar 下的吸收量为 3.06 mmol/g，并且具有出色的 SF</w:t>
      </w:r>
      <w:r>
        <w:rPr>
          <w:vertAlign w:val="subscript"/>
        </w:rPr>
        <w:t>6</w:t>
      </w:r>
      <w:r>
        <w:t>/N</w:t>
      </w:r>
      <w:r>
        <w:rPr>
          <w:vertAlign w:val="subscript"/>
        </w:rPr>
        <w:t>2</w:t>
      </w:r>
      <w:r>
        <w:t>IAST 选择性为 606（1:9，1 bar），实现吸收和选择性之间的平衡。理论计算表明，N杂环单元</w:t>
      </w:r>
      <w:r>
        <w:t xml:space="preserve"> </w:t>
      </w:r>
      <w:r>
        <w:t>锌-tppb-bim</w:t>
      </w:r>
      <w:r>
        <w:t xml:space="preserve"> </w:t>
      </w:r>
      <w:r>
        <w:t>产生更强的积极框架特征</w:t>
      </w:r>
    </w:p>
    <w:p>
      <w:pPr>
        <w:spacing w:before="0" w:after="200" w:lineRule="auto" w:line="276"/>
      </w:pPr>
      <w:r>
        <w:rPr>
          <w:b/>
        </w:rPr>
        <w:t xml:space="preserve">Abstract (EN): </w:t>
      </w:r>
      <w:r>
        <w:t>Sulfur hexafluoride (SF</w:t>
      </w:r>
      <w:r>
        <w:rPr>
          <w:vertAlign w:val="subscript"/>
        </w:rPr>
        <w:t>6</w:t>
      </w:r>
      <w:r>
        <w:t>) is a potent greenhouse gas widely used in electrical insulation. Although the size difference between SF</w:t>
      </w:r>
      <w:r>
        <w:rPr>
          <w:vertAlign w:val="subscript"/>
        </w:rPr>
        <w:t>6</w:t>
      </w:r>
      <w:r>
        <w:t>and N</w:t>
      </w:r>
      <w:r>
        <w:rPr>
          <w:vertAlign w:val="subscript"/>
        </w:rPr>
        <w:t>2</w:t>
      </w:r>
      <w:r>
        <w:t>enables separation in principle, achieving high SF</w:t>
      </w:r>
      <w:r>
        <w:rPr>
          <w:vertAlign w:val="subscript"/>
        </w:rPr>
        <w:t>6</w:t>
      </w:r>
      <w:r>
        <w:t>selectivity at trace concentrations, large adsorption capacity, and long‐term stability remains a formidable challenge. Herein, we report a family of new zinc‐based metal‐organic frameworks (</w:t>
      </w:r>
      <w:r>
        <w:t xml:space="preserve"> </w:t>
      </w:r>
      <w:r>
        <w:t>Zn‐tcpb</w:t>
      </w:r>
      <w:r>
        <w:t xml:space="preserve"> </w:t>
      </w:r>
      <w:r>
        <w:t>,</w:t>
      </w:r>
      <w:r>
        <w:t xml:space="preserve"> </w:t>
      </w:r>
      <w:r>
        <w:t>Zn‐tcpb‐bim</w:t>
      </w:r>
      <w:r>
        <w:t xml:space="preserve"> </w:t>
      </w:r>
      <w:r>
        <w:t>,</w:t>
      </w:r>
      <w:r>
        <w:t xml:space="preserve"> </w:t>
      </w:r>
      <w:r>
        <w:t>Zn‐tppb‐bim</w:t>
      </w:r>
      <w:r>
        <w:t xml:space="preserve"> </w:t>
      </w:r>
      <w:r>
        <w:t>) with systematically tunable pore sizes and electrostatic microenvironments. By integrating a mixed‐ligand strategy (tetracarboxylic acids plus 2,2'‐biimidazole) with pore functionalization, we achieve synergistic control over adsorption and separation properties. Among them,</w:t>
      </w:r>
      <w:r>
        <w:t xml:space="preserve"> </w:t>
      </w:r>
      <w:r>
        <w:t>Zn‐tppb‐bim—</w:t>
      </w:r>
      <w:r>
        <w:t xml:space="preserve"> </w:t>
      </w:r>
      <w:r>
        <w:t>featuring electron‐withdrawing pyrazine rings—exhibits a remarkable low‐pressure SF</w:t>
      </w:r>
      <w:r>
        <w:rPr>
          <w:vertAlign w:val="subscript"/>
        </w:rPr>
        <w:t>6</w:t>
      </w:r>
      <w:r>
        <w:t>uptake of 3.06 mmol/g at 0.1 bar, and an excellent SF</w:t>
      </w:r>
      <w:r>
        <w:rPr>
          <w:vertAlign w:val="subscript"/>
        </w:rPr>
        <w:t>6</w:t>
      </w:r>
      <w:r>
        <w:t>/N</w:t>
      </w:r>
      <w:r>
        <w:rPr>
          <w:vertAlign w:val="subscript"/>
        </w:rPr>
        <w:t>2</w:t>
      </w:r>
      <w:r>
        <w:t>IAST selectivity of 606 (1:9, 1 bar), achieving a balance between uptake and selectivity. Theoretical calculations reveal that the N‐heterocyclic units in</w:t>
      </w:r>
      <w:r>
        <w:t xml:space="preserve"> </w:t>
      </w:r>
      <w:r>
        <w:t>Zn‐tppb‐bim</w:t>
      </w:r>
      <w:r>
        <w:t xml:space="preserve"> </w:t>
      </w:r>
      <w:r>
        <w:t>generate a stronger positive framework charge, enhancing C─H···F interactions with SF</w:t>
      </w:r>
      <w:r>
        <w:rPr>
          <w:vertAlign w:val="subscript"/>
        </w:rPr>
        <w:t>6</w:t>
      </w:r>
      <w:r>
        <w:t>. Dynamic breakthrough experiments confirm complete separation of SF</w:t>
      </w:r>
      <w:r>
        <w:rPr>
          <w:vertAlign w:val="subscript"/>
        </w:rPr>
        <w:t>6</w:t>
      </w:r>
      <w:r>
        <w:t>/N</w:t>
      </w:r>
      <w:r>
        <w:rPr>
          <w:vertAlign w:val="subscript"/>
        </w:rPr>
        <w:t>2</w:t>
      </w:r>
      <w:r>
        <w:t>mixtures. Remarkably, the materials retain full separation performance even at 80% relative humidity. This work demonstrates a viable and generalizable design strategy that synergistically optimizes adsorption capacity, selectivity, and humidity resistance, providing a rare example of metal–organic framework that are both highly efficient and stable under practical conditions.</w:t>
      </w:r>
    </w:p>
    <w:p>
      <w:pPr>
        <w:spacing w:before="120" w:after="120"/>
      </w:pPr>
      <w:r>
        <w:rPr>
          <w:sz w:val="18"/>
        </w:rPr>
        <w:t>——————————————————————————————————————————————————————————————————————</w:t>
      </w:r>
    </w:p>
    <w:p>
      <w:pPr>
        <w:spacing w:before="160" w:after="40" w:line="240" w:lineRule="auto"/>
      </w:pPr>
      <w:r>
        <w:rPr>
          <w:b/>
        </w:rPr>
        <w:t xml:space="preserve">[10] </w:t>
      </w:r>
      <w:hyperlink r:id="rId266">
        <w:r>
          <w:rPr>
            <w:color w:val="1155CC"/>
            <w:u w:val="single"/>
          </w:rPr>
          <w:t>二氧化碳生物转化用于生物生产：超越自然限制</w:t>
        </w:r>
      </w:hyperlink>
    </w:p>
    <w:p>
      <w:pPr>
        <w:spacing w:before="0" w:after="80"/>
      </w:pPr>
      <w:r>
        <w:rPr>
          <w:i/>
          <w:sz w:val="20"/>
        </w:rPr>
        <w:t>EN: Biological conversion of CO2 for bioproduction: beyond natural limitations</w:t>
      </w:r>
    </w:p>
    <w:p>
      <w:pPr>
        <w:spacing w:before="0" w:after="120"/>
      </w:pPr>
      <w:r>
        <w:rPr>
          <w:b/>
        </w:rPr>
        <w:t xml:space="preserve">Source: </w:t>
      </w:r>
      <w:r>
        <w:t>RSC - Chem. Soc. Rev. latest articles</w:t>
      </w:r>
      <w:r>
        <w:t xml:space="preserve">    </w:t>
      </w:r>
      <w:r>
        <w:rPr>
          <w:b/>
        </w:rPr>
        <w:t xml:space="preserve">Pub date: </w:t>
      </w:r>
      <w:r>
        <w:t>2026-06-22 23:00:00+00:00</w:t>
      </w:r>
    </w:p>
    <w:p>
      <w:pPr>
        <w:spacing w:before="0" w:after="120"/>
      </w:pPr>
      <w:r>
        <w:rPr>
          <w:b/>
        </w:rPr>
        <w:t xml:space="preserve">Notes: </w:t>
      </w:r>
      <w:r>
        <w:t>abstract_source=rsc_html</w:t>
      </w:r>
    </w:p>
    <w:p>
      <w:pPr>
        <w:spacing w:before="0" w:after="80" w:lineRule="auto" w:line="276"/>
      </w:pPr>
      <w:r>
        <w:rPr>
          <w:b/>
        </w:rPr>
        <w:t xml:space="preserve">摘要（ZH）: </w:t>
      </w:r>
      <w:r>
        <w:t>天然生物二氧化碳固定将大气中的二氧化碳转化为能量密集的碳水化合物，从而提供化石燃料的替代品，并有助于恢复碳平衡。生物二氧化碳固定机制的最新进展带来了二氧化碳固定途径和能源系统的创新架构，其效率超过了自然碳同化的效率。合成二氧化碳生物转化系统（SCBS）经过设计和重新编程，通过将多碳生物合成与各种能量转换方法（包括光、电和化学过程）相结合，以二氧化碳为原料进行碳中性或负碳生物制造化学品。在这篇综述中，我们系统地分析了如何实现二氧化碳固定模块与供能模块的高效匹配，旨在建立可扩展的SCBS来解决大气二氧化碳超载的紧迫问题。然后，我们提出了一个系统框架，用于设计具有酶或微生物二氧化碳生物转化系统的下一代生物制造，促进 SCBS 的构建和优化，以实现碳中性或负碳生物生产。此外，我们强调变革性 SCBS 技术，例如用于将光转换为化学能的光生物混合系统、用于将电能转换为化学形式的电生物混合系统以及用于重新利用化学能的酶级联系统，所有这些技术都旨在实现前所未有的二氧化碳生物合成效率。最后，我们提出了负碳生物人的战略路线图</w:t>
      </w:r>
    </w:p>
    <w:p>
      <w:pPr>
        <w:spacing w:before="0" w:after="200" w:lineRule="auto" w:line="276"/>
      </w:pPr>
      <w:r>
        <w:rPr>
          <w:b/>
        </w:rPr>
        <w:t xml:space="preserve">Abstract (EN): </w:t>
      </w:r>
      <w:r>
        <w:t>Natural biological CO2 fixation converts atmospheric CO2 to energy-dense carbohydrates, thereby providing an alternative to fossil fuels and contributing to the restoration of carbon balance. Recent advancements in the mechanisms of biological CO2 fixation have led to innovative architectures of CO2 fixation pathways and energy systems that exceed the efficiency of natural carbon assimilation. Synthetic CO2 bioconversion systems (SCBS) have been designed and reprogrammed for the carbon-neutral or carbon-negative biomanufacturing of chemicals from CO2 by integrating multi-carbon biosynthesis with various energy conversion methods, including light, electrical, and chemical processes. In this review, we systematically analyze how to achieve efficient matching of CO2 fixation modules with energy supply modules, aiming to establish scalable SCBS for addressing the pressing issue of atmospheric CO2 overload. Then, we propose a systematic framework for designing next-generation biomanufacturing with enzymatic or microbial CO2 bioconversion systems, facilitating the construction and optimization of SCBS towards carbon-neutral or carbon-negative bioproduction. Furthermore, we emphasize transformative SCBS technologies, such as photo-biohybrid systems for converting light into chemical energy, electro-biohybrid systems for transducing electrical energy into chemical forms, and enzyme cascade systems for repurposing chemical energy, all of which aim to achieve unprecedented efficiency in powering biosynthesis from CO2. Finally, we propose a strategic roadmap for carbon-negative biomanufacturing ecosystems, wherein bioinspired CO2 fixation platforms can synergistically integrate with the principles of a circular economy to facilitate the industrial transition to net-zero emissions.</w:t>
      </w:r>
    </w:p>
    <w:p>
      <w:pPr>
        <w:spacing w:before="120" w:after="120"/>
      </w:pPr>
      <w:r>
        <w:rPr>
          <w:sz w:val="18"/>
        </w:rPr>
        <w:t>——————————————————————————————————————————————————————————————————————</w:t>
      </w:r>
    </w:p>
    <w:p>
      <w:pPr>
        <w:spacing w:before="160" w:after="40" w:line="240" w:lineRule="auto"/>
      </w:pPr>
      <w:r>
        <w:rPr>
          <w:b/>
        </w:rPr>
        <w:t xml:space="preserve">[11] </w:t>
      </w:r>
      <w:hyperlink r:id="rId267">
        <w:r>
          <w:rPr>
            <w:color w:val="1155CC"/>
            <w:u w:val="single"/>
          </w:rPr>
          <w:t>用于在高湿度下从空气中分离超渗透二氧化碳的双氟化基序定制混合膜</w:t>
        </w:r>
      </w:hyperlink>
    </w:p>
    <w:p>
      <w:pPr>
        <w:spacing w:before="0" w:after="80"/>
      </w:pPr>
      <w:r>
        <w:rPr>
          <w:i/>
          <w:sz w:val="20"/>
        </w:rPr>
        <w:t>EN: Bifluorinated Motif‐Tailored Hybrid Membranes for Ultra‐Permeable CO2 Separation From Air Under High Humidity</w:t>
      </w:r>
    </w:p>
    <w:p>
      <w:pPr>
        <w:spacing w:before="0" w:after="120"/>
      </w:pPr>
      <w:r>
        <w:rPr>
          <w:b/>
        </w:rPr>
        <w:t xml:space="preserve">Source: </w:t>
      </w:r>
      <w:r>
        <w:t>Wiley: Angewandte Chemie International Edition: Table of Contents</w:t>
      </w:r>
      <w:r>
        <w:t xml:space="preserve">    </w:t>
      </w:r>
      <w:r>
        <w:rPr>
          <w:b/>
        </w:rPr>
        <w:t xml:space="preserve">Pub date: </w:t>
      </w:r>
      <w:r>
        <w:t>2026-06-23 07:49:36+00:00</w:t>
      </w:r>
      <w:r>
        <w:t xml:space="preserve">    </w:t>
      </w:r>
      <w:r>
        <w:rPr>
          <w:b/>
        </w:rPr>
        <w:t xml:space="preserve">DOI: </w:t>
      </w:r>
      <w:hyperlink r:id="rId268">
        <w:r>
          <w:rPr>
            <w:color w:val="1155CC"/>
            <w:u w:val="single"/>
          </w:rPr>
          <w:t>10.1002/anie.9402364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基于膜的直接空气捕获（m-DAC）提供了一种节能途径来缓解大气中二氧化碳含量的上升</w:t>
      </w:r>
      <w:r>
        <w:rPr>
          <w:vertAlign w:val="subscript"/>
        </w:rPr>
        <w:t>2</w:t>
      </w:r>
      <w:r>
        <w:t>，但其实际部署受到低二氧化碳的阻碍</w:t>
      </w:r>
      <w:r>
        <w:rPr>
          <w:vertAlign w:val="subscript"/>
        </w:rPr>
        <w:t>2</w:t>
      </w:r>
      <w:r>
        <w:t>浓度和湿度高。在此，我们提出了一种“用水航行”策略，将湿度从障碍转变为传质驱动力。双氟化图案是通过整合氟化离子液体@UiO66（IL@UiO）作为多孔填料和新型聚合物PIM-1DFBP作为第二氟源而设计的。 膜内丰富的氟位点有利于CO</w:t>
      </w:r>
      <w:r>
        <w:rPr>
          <w:vertAlign w:val="subscript"/>
        </w:rPr>
        <w:t>2</w:t>
      </w:r>
      <w:r>
        <w:t>通过路易斯酸碱相互作用从稀流中捕获和富集。值得注意的是，在高湿度条件下，膜中的氟位点与水分子形成氢键网络，创造了一个极性微环境，进一步增强了CO2</w:t>
      </w:r>
      <w:r>
        <w:rPr>
          <w:vertAlign w:val="subscript"/>
        </w:rPr>
        <w:t>2</w:t>
      </w:r>
      <w:r>
        <w:t>亲和力并为 CO 建立超快通道</w:t>
      </w:r>
      <w:r>
        <w:rPr>
          <w:vertAlign w:val="subscript"/>
        </w:rPr>
        <w:t>2</w:t>
      </w:r>
      <w:r>
        <w:t>渗透。经过优化的膜可实现 CO</w:t>
      </w:r>
      <w:r>
        <w:rPr>
          <w:vertAlign w:val="subscript"/>
        </w:rPr>
        <w:t>2</w:t>
      </w:r>
      <w:r>
        <w:t>12697.08 Barrer 和 CO 的渗透性</w:t>
      </w:r>
      <w:r>
        <w:rPr>
          <w:vertAlign w:val="subscript"/>
        </w:rPr>
        <w:t>2</w:t>
      </w:r>
      <w:r>
        <w:t>/N</w:t>
      </w:r>
      <w:r>
        <w:rPr>
          <w:vertAlign w:val="subscript"/>
        </w:rPr>
        <w:t>2</w:t>
      </w:r>
      <w:r>
        <w:t>在 65% 相对湿度下选择性为 44.06，超过 2019 年 Robeson 上限。 该膜还表现出 180 天稳定性、大面积无缺陷制造，工艺模拟显示仅 612.37 m</w:t>
      </w:r>
      <w:r>
        <w:rPr>
          <w:vertAlign w:val="subscript"/>
        </w:rPr>
        <w:t>2</w:t>
      </w:r>
    </w:p>
    <w:p>
      <w:pPr>
        <w:spacing w:before="0" w:after="200" w:lineRule="auto" w:line="276"/>
      </w:pPr>
      <w:r>
        <w:rPr>
          <w:b/>
        </w:rPr>
        <w:t xml:space="preserve">Abstract (EN): </w:t>
      </w:r>
      <w:r>
        <w:t>Membrane‐based direct air capture (m‐DAC) offers an energy‐ efficient route to mitigate rising atmospheric CO</w:t>
      </w:r>
      <w:r>
        <w:rPr>
          <w:vertAlign w:val="subscript"/>
        </w:rPr>
        <w:t>2</w:t>
      </w:r>
      <w:r>
        <w:t>, but its practical deployment is hindered by low CO</w:t>
      </w:r>
      <w:r>
        <w:rPr>
          <w:vertAlign w:val="subscript"/>
        </w:rPr>
        <w:t>2</w:t>
      </w:r>
      <w:r>
        <w:t>concentration and high humidity. Herein, we propose a “Sailing‐with‐Water” strategy that turns humidity from an obstacle into a mass‐transfer driving force. The bifluorinated motifs are engineered by integrating fluorinated ionic liquid@UiO66 (IL@UiO) as porous fillers and a novel polymer, PIM‐1DFBP, as the second fluorine source. The abundant fluorine sites within the membrane facilitate CO</w:t>
      </w:r>
      <w:r>
        <w:rPr>
          <w:vertAlign w:val="subscript"/>
        </w:rPr>
        <w:t>2</w:t>
      </w:r>
      <w:r>
        <w:t>capture and enrichment from dilute streams via Lewis acid–base interactions. Notably, under high humidity conditions, the fluorine sites in the membrane form a hydrogen‐bond network with water molecules, creating a polar microenvironment that further enhances CO</w:t>
      </w:r>
      <w:r>
        <w:rPr>
          <w:vertAlign w:val="subscript"/>
        </w:rPr>
        <w:t>2</w:t>
      </w:r>
      <w:r>
        <w:t>affinity and builds ultrafast channels for CO</w:t>
      </w:r>
      <w:r>
        <w:rPr>
          <w:vertAlign w:val="subscript"/>
        </w:rPr>
        <w:t>2</w:t>
      </w:r>
      <w:r>
        <w:t>permeation. The optimized membrane achieves a CO</w:t>
      </w:r>
      <w:r>
        <w:rPr>
          <w:vertAlign w:val="subscript"/>
        </w:rPr>
        <w:t>2</w:t>
      </w:r>
      <w:r>
        <w:t>permeability of 12697.08 Barrer and CO</w:t>
      </w:r>
      <w:r>
        <w:rPr>
          <w:vertAlign w:val="subscript"/>
        </w:rPr>
        <w:t>2</w:t>
      </w:r>
      <w:r>
        <w:t>/N</w:t>
      </w:r>
      <w:r>
        <w:rPr>
          <w:vertAlign w:val="subscript"/>
        </w:rPr>
        <w:t>2</w:t>
      </w:r>
      <w:r>
        <w:t>selectivity of 44.06 under 65% relative humidity, surpassing the 2019 Robeson upper bound. The membrane also exhibits 180‐days stability, large‐area defect‐free fabrication, and process simulation shows that only 612.37 m</w:t>
      </w:r>
      <w:r>
        <w:rPr>
          <w:vertAlign w:val="subscript"/>
        </w:rPr>
        <w:t>2</w:t>
      </w:r>
      <w:r>
        <w:t>is needed to reach 40% CO</w:t>
      </w:r>
      <w:r>
        <w:rPr>
          <w:vertAlign w:val="subscript"/>
        </w:rPr>
        <w:t>2</w:t>
      </w:r>
      <w:r>
        <w:t>outlet concentration. This work provides a humidity‐resistant paradigm for high‐performance m‐DAC.</w:t>
      </w:r>
    </w:p>
    <w:p>
      <w:pPr>
        <w:spacing w:before="120" w:after="120"/>
      </w:pPr>
      <w:r>
        <w:rPr>
          <w:sz w:val="18"/>
        </w:rPr>
        <w:t>——————————————————————————————————————————————————————————————————————</w:t>
      </w:r>
    </w:p>
    <w:p>
      <w:pPr>
        <w:spacing w:before="160" w:after="40" w:line="240" w:lineRule="auto"/>
      </w:pPr>
      <w:r>
        <w:rPr>
          <w:b/>
        </w:rPr>
        <w:t xml:space="preserve">[12] </w:t>
      </w:r>
      <w:hyperlink r:id="rId269">
        <w:r>
          <w:rPr>
            <w:color w:val="1155CC"/>
            <w:u w:val="single"/>
          </w:rPr>
          <w:t>调节中间体的吸附构型以 CO2 构建 C─N 键，实现高效 N,N-二甲基甲酰胺电合成</w:t>
        </w:r>
      </w:hyperlink>
    </w:p>
    <w:p>
      <w:pPr>
        <w:spacing w:before="0" w:after="80"/>
      </w:pPr>
      <w:r>
        <w:rPr>
          <w:i/>
          <w:sz w:val="20"/>
        </w:rPr>
        <w:t>EN: Regulating the Adsorption Configuration of Intermediates to Construct C─N Bonds From CO2 for High‐Efficiency N,N‐Dimethylformamide Electrosynthesis</w:t>
      </w:r>
    </w:p>
    <w:p>
      <w:pPr>
        <w:spacing w:before="0" w:after="120"/>
      </w:pPr>
      <w:r>
        <w:rPr>
          <w:b/>
        </w:rPr>
        <w:t xml:space="preserve">Source: </w:t>
      </w:r>
      <w:r>
        <w:t>Wiley: Angewandte Chemie International Edition: Table of Contents</w:t>
      </w:r>
      <w:r>
        <w:t xml:space="preserve">    </w:t>
      </w:r>
      <w:r>
        <w:rPr>
          <w:b/>
        </w:rPr>
        <w:t xml:space="preserve">Pub date: </w:t>
      </w:r>
      <w:r>
        <w:t>2026-06-23 08:03:35+00:00</w:t>
      </w:r>
      <w:r>
        <w:t xml:space="preserve">    </w:t>
      </w:r>
      <w:r>
        <w:rPr>
          <w:b/>
        </w:rPr>
        <w:t xml:space="preserve">DOI: </w:t>
      </w:r>
      <w:hyperlink r:id="rId270">
        <w:r>
          <w:rPr>
            <w:color w:val="1155CC"/>
            <w:u w:val="single"/>
          </w:rPr>
          <w:t>10.1002/anie.4379815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N,N-二甲基甲酰胺 (DMF) 是一种广泛使用的化学试剂，由于其卓越的溶解能力，通常被称为“通用溶剂”。可持续合成路线涉及 CO 的绿色电化学耦合</w:t>
      </w:r>
      <w:r>
        <w:rPr>
          <w:vertAlign w:val="subscript"/>
        </w:rPr>
        <w:t>2</w:t>
      </w:r>
      <w:r>
        <w:t>与二甲胺（DMA）。然而，这种转化的高效催化剂的合理设计仍然受到对控制该过程的关键反应中间体的有限机械理解的限制。在这项研究中，*COO 被认为是促进 C─N 偶联的关键中间体，这一发现得到了原位傅里叶变换红外光谱 (FT-IR) 和在线差分质谱 (DEMS) 的证实。互补拉曼光谱分析进一步表明，该中间体采用稳定的椅状构型，其特征是通过 C 和 O 原子进行双配位吸附。基于这些机理见解，设计了一种 ZnCu 催化剂，可促进高效的 CO</w:t>
      </w:r>
      <w:r>
        <w:rPr>
          <w:vertAlign w:val="subscript"/>
        </w:rPr>
        <w:t>2</w:t>
      </w:r>
      <w:r>
        <w:t>活化，同时稳定这种吸附构型，从而增强 C─N 偶联途径。因此，DMF 法拉第效率 (FE</w:t>
      </w:r>
      <w:r>
        <w:t xml:space="preserve"> </w:t>
      </w:r>
      <w:r>
        <w:t>二甲基甲酰胺</w:t>
      </w:r>
      <w:r>
        <w:t xml:space="preserve"> </w:t>
      </w:r>
      <w:r>
        <w:t>）为 51%，产率为 575 mmol·g</w:t>
      </w:r>
      <w:r>
        <w:t xml:space="preserve"> </w:t>
      </w:r>
      <w:r>
        <w:t>−1</w:t>
      </w:r>
      <w:r>
        <w:t xml:space="preserve"> </w:t>
      </w:r>
      <w:r>
        <w:t>·小时</w:t>
      </w:r>
      <w:r>
        <w:t xml:space="preserve"> </w:t>
      </w:r>
      <w:r>
        <w:t>−1</w:t>
      </w:r>
      <w:r>
        <w:t xml:space="preserve"> </w:t>
      </w:r>
      <w:r>
        <w:t>已实现，在可比条件下优于之前报道的所有催化系统。这项研究建立了一个强大的框架来理解</w:t>
      </w:r>
    </w:p>
    <w:p>
      <w:pPr>
        <w:spacing w:before="0" w:after="200" w:lineRule="auto" w:line="276"/>
      </w:pPr>
      <w:r>
        <w:rPr>
          <w:b/>
        </w:rPr>
        <w:t xml:space="preserve">Abstract (EN): </w:t>
      </w:r>
      <w:r>
        <w:t>N, N‐Dimethylformamide (DMF) is a widely used chemical reagent often described as a “universal solvent” due to its exceptional solvating capabilities. A sustainable synthesis route involves the green electrochemical coupling of CO</w:t>
      </w:r>
      <w:r>
        <w:rPr>
          <w:vertAlign w:val="subscript"/>
        </w:rPr>
        <w:t>2</w:t>
      </w:r>
      <w:r>
        <w:t>with dimethylamine (DMA). However, the rational design of highly efficient catalysts for this transformation remains constrained by a limited mechanistic understanding of the key reactive intermediates governing the process. In this study, *COO is identified as the pivotal intermediate facilitating C─N coupling, a finding substantiated by in situ Fourier transform infrared spectroscopy (FT‐IR) and online differential mass spectrometry (DEMS). Complementary Raman spectroscopy analyses further revealed that the intermediate adopts a stable chair‐like configuration, characterized by dual‐coordinated adsorption through both C and O atoms. Based on these mechanistic insights, a ZnCu catalyst was engineered that facilitates efficient CO</w:t>
      </w:r>
      <w:r>
        <w:rPr>
          <w:vertAlign w:val="subscript"/>
        </w:rPr>
        <w:t>2</w:t>
      </w:r>
      <w:r>
        <w:t>activation while simultaneously stabilizing this adsorption configuration, thereby enhancing the C─N coupling pathway. As a result, a DMF Faradaic efficiency (FE</w:t>
      </w:r>
      <w:r>
        <w:t xml:space="preserve"> </w:t>
      </w:r>
      <w:r>
        <w:t>DMF</w:t>
      </w:r>
      <w:r>
        <w:t xml:space="preserve"> </w:t>
      </w:r>
      <w:r>
        <w:t>) of 51% and a production rate of 575 mmol·g</w:t>
      </w:r>
      <w:r>
        <w:t xml:space="preserve"> </w:t>
      </w:r>
      <w:r>
        <w:t>−1</w:t>
      </w:r>
      <w:r>
        <w:t xml:space="preserve"> </w:t>
      </w:r>
      <w:r>
        <w:t>·h</w:t>
      </w:r>
      <w:r>
        <w:t xml:space="preserve"> </w:t>
      </w:r>
      <w:r>
        <w:t>−1</w:t>
      </w:r>
      <w:r>
        <w:t xml:space="preserve"> </w:t>
      </w:r>
      <w:r>
        <w:t>are achieved, outperforming all previously reported catalytic systems under comparable conditions. This study establishes a robust framework for understanding and optimizing C─N coupling via precise intermediate stabilization.</w:t>
      </w:r>
    </w:p>
    <w:p>
      <w:pPr>
        <w:spacing w:before="120" w:after="120"/>
      </w:pPr>
      <w:r>
        <w:rPr>
          <w:sz w:val="18"/>
        </w:rPr>
        <w:t>——————————————————————————————————————————————————————————————————————</w:t>
      </w:r>
    </w:p>
    <w:p>
      <w:pPr>
        <w:spacing w:before="160" w:after="40" w:line="240" w:lineRule="auto"/>
      </w:pPr>
      <w:r>
        <w:rPr>
          <w:b/>
        </w:rPr>
        <w:t xml:space="preserve">[13] </w:t>
      </w:r>
      <w:hyperlink r:id="rId271">
        <w:r>
          <w:rPr>
            <w:color w:val="1155CC"/>
            <w:u w:val="single"/>
          </w:rPr>
          <w:t>用于在干燥和潮湿条件下高效捕获 SF6 的超疏水纳米捕集器多孔有机笼</w:t>
        </w:r>
      </w:hyperlink>
    </w:p>
    <w:p>
      <w:pPr>
        <w:spacing w:before="0" w:after="80"/>
      </w:pPr>
      <w:r>
        <w:rPr>
          <w:i/>
          <w:sz w:val="20"/>
        </w:rPr>
        <w:t>EN: A Superhydrophobic Nanotrap Porous Organic Cage for Efficient Capture of SF6 Under Dry and Humid Conditions</w:t>
      </w:r>
    </w:p>
    <w:p>
      <w:pPr>
        <w:spacing w:before="0" w:after="120"/>
      </w:pPr>
      <w:r>
        <w:rPr>
          <w:b/>
        </w:rPr>
        <w:t xml:space="preserve">Source: </w:t>
      </w:r>
      <w:r>
        <w:t>Wiley: Angewandte Chemie International Edition: Table of Contents</w:t>
      </w:r>
      <w:r>
        <w:t xml:space="preserve">    </w:t>
      </w:r>
      <w:r>
        <w:rPr>
          <w:b/>
        </w:rPr>
        <w:t xml:space="preserve">Pub date: </w:t>
      </w:r>
      <w:r>
        <w:t>2026-06-23 08:20:14+00:00</w:t>
      </w:r>
      <w:r>
        <w:t xml:space="preserve">    </w:t>
      </w:r>
      <w:r>
        <w:rPr>
          <w:b/>
        </w:rPr>
        <w:t xml:space="preserve">DOI: </w:t>
      </w:r>
      <w:hyperlink r:id="rId272">
        <w:r>
          <w:rPr>
            <w:color w:val="1155CC"/>
            <w:u w:val="single"/>
          </w:rPr>
          <w:t>10.1002/anie.2904451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有效SF</w:t>
      </w:r>
      <w:r>
        <w:rPr>
          <w:vertAlign w:val="subscript"/>
        </w:rPr>
        <w:t>6</w:t>
      </w:r>
      <w:r>
        <w:t>捕获和回收对于减少温室气体排放和促进资源回收至关重要，但许多多孔材料的 SF 分离性能降低</w:t>
      </w:r>
      <w:r>
        <w:rPr>
          <w:vertAlign w:val="subscript"/>
        </w:rPr>
        <w:t>6</w:t>
      </w:r>
      <w:r>
        <w:t>/N</w:t>
      </w:r>
      <w:r>
        <w:rPr>
          <w:vertAlign w:val="subscript"/>
        </w:rPr>
        <w:t>2</w:t>
      </w:r>
      <w:r>
        <w:t>由于水吸附竞争或结构不稳定，潮湿环境中的混合物。为了应对这一挑战，我们提出了一种“超疏水纳米陷阱”策略，设计了一种名为 IMUPOC-DA 的富氮超疏水多孔有机笼（POC）。该材料包含超疏水异丁基链的防潮屏蔽层以及具有 π 系统和路易斯碱位点的内腔，可协同增强 SF</w:t>
      </w:r>
      <w:r>
        <w:rPr>
          <w:vertAlign w:val="subscript"/>
        </w:rPr>
        <w:t>6</w:t>
      </w:r>
      <w:r>
        <w:t>诱捕。在 298 K 和 1 bar 下，IMUPOC-DA 达到了 SF</w:t>
      </w:r>
      <w:r>
        <w:rPr>
          <w:vertAlign w:val="subscript"/>
        </w:rPr>
        <w:t>6</w:t>
      </w:r>
      <w:r>
        <w:t>吸附容量53.6cm</w:t>
      </w:r>
      <w:r>
        <w:rPr>
          <w:vertAlign w:val="subscript"/>
        </w:rPr>
        <w:t>3</w:t>
      </w:r>
      <w:r>
        <w:t>克</w:t>
      </w:r>
      <w:r>
        <w:t xml:space="preserve"> </w:t>
      </w:r>
      <w:r>
        <w:t>−1</w:t>
      </w:r>
      <w:r>
        <w:t xml:space="preserve"> </w:t>
      </w:r>
      <w:r>
        <w:t>和一个SF</w:t>
      </w:r>
      <w:r>
        <w:rPr>
          <w:vertAlign w:val="subscript"/>
        </w:rPr>
        <w:t>6</w:t>
      </w:r>
      <w:r>
        <w:t>/N</w:t>
      </w:r>
      <w:r>
        <w:rPr>
          <w:vertAlign w:val="subscript"/>
        </w:rPr>
        <w:t>2</w:t>
      </w:r>
      <w:r>
        <w:t>吸收率为 20.02，这是迄今为止基于 POC 的吸附剂报道的最高记录。更重要的是，超疏水表面赋予材料极低的吸水率（72.1 mg g</w:t>
      </w:r>
      <w:r>
        <w:t xml:space="preserve"> </w:t>
      </w:r>
      <w:r>
        <w:t>−1</w:t>
      </w:r>
      <w:r>
        <w:t xml:space="preserve"> </w:t>
      </w:r>
      <w:r>
        <w:t>）、高水接触角（150.11</w:t>
      </w:r>
      <w:r>
        <w:t xml:space="preserve"> </w:t>
      </w:r>
      <w:r>
        <w:t>°</w:t>
      </w:r>
      <w:r>
        <w:t xml:space="preserve"> </w:t>
      </w:r>
      <w:r>
        <w:t>），以及优异的水稳定性。 80%相对湿度下的动态柱突破实验显示几乎没有变化</w:t>
      </w:r>
    </w:p>
    <w:p>
      <w:pPr>
        <w:spacing w:before="0" w:after="200" w:lineRule="auto" w:line="276"/>
      </w:pPr>
      <w:r>
        <w:rPr>
          <w:b/>
        </w:rPr>
        <w:t xml:space="preserve">Abstract (EN): </w:t>
      </w:r>
      <w:r>
        <w:t>Effective SF</w:t>
      </w:r>
      <w:r>
        <w:rPr>
          <w:vertAlign w:val="subscript"/>
        </w:rPr>
        <w:t>6</w:t>
      </w:r>
      <w:r>
        <w:t>capture and recovery are essential for reducing greenhouse gas emissions and promoting resource recycling, yet many porous materials exhibit reduced separation performance for SF</w:t>
      </w:r>
      <w:r>
        <w:rPr>
          <w:vertAlign w:val="subscript"/>
        </w:rPr>
        <w:t>6</w:t>
      </w:r>
      <w:r>
        <w:t>/N</w:t>
      </w:r>
      <w:r>
        <w:rPr>
          <w:vertAlign w:val="subscript"/>
        </w:rPr>
        <w:t>2</w:t>
      </w:r>
      <w:r>
        <w:t>mixtures in humid environments due to water adsorption competition or structural instability. To address this challenge, we propose a “superhydrophobic nanotrap” strategy by designing a nitrogen‐rich superhydrophobic porous organic cage (POC) named IMUPOC‐DA. This material incorporates a moisture‐blocking shield of superhydrophobic isobutyl chains and an inner cavity with a π‐system and Lewis base sites that synergistically enhance SF</w:t>
      </w:r>
      <w:r>
        <w:rPr>
          <w:vertAlign w:val="subscript"/>
        </w:rPr>
        <w:t>6</w:t>
      </w:r>
      <w:r>
        <w:t>trapping. At 298 K and 1 bar, IMUPOC‐DA achieves an SF</w:t>
      </w:r>
      <w:r>
        <w:rPr>
          <w:vertAlign w:val="subscript"/>
        </w:rPr>
        <w:t>6</w:t>
      </w:r>
      <w:r>
        <w:t>adsorption capacity of 53.6 cm</w:t>
      </w:r>
      <w:r>
        <w:rPr>
          <w:vertAlign w:val="subscript"/>
        </w:rPr>
        <w:t>3</w:t>
      </w:r>
      <w:r>
        <w:t>g</w:t>
      </w:r>
      <w:r>
        <w:t xml:space="preserve"> </w:t>
      </w:r>
      <w:r>
        <w:t>−1</w:t>
      </w:r>
      <w:r>
        <w:t xml:space="preserve"> </w:t>
      </w:r>
      <w:r>
        <w:t>and an SF</w:t>
      </w:r>
      <w:r>
        <w:rPr>
          <w:vertAlign w:val="subscript"/>
        </w:rPr>
        <w:t>6</w:t>
      </w:r>
      <w:r>
        <w:t>/N</w:t>
      </w:r>
      <w:r>
        <w:rPr>
          <w:vertAlign w:val="subscript"/>
        </w:rPr>
        <w:t>2</w:t>
      </w:r>
      <w:r>
        <w:t>uptake ratio of 20.02, a record‐high reported thus far for POC‐based adsorbents. More importantly, the superhydrophobic surface endows the material with an extremely low water uptake (72.1 mg g</w:t>
      </w:r>
      <w:r>
        <w:t xml:space="preserve"> </w:t>
      </w:r>
      <w:r>
        <w:t>−1</w:t>
      </w:r>
      <w:r>
        <w:t xml:space="preserve"> </w:t>
      </w:r>
      <w:r>
        <w:t>), a high water contact angle (150.11</w:t>
      </w:r>
      <w:r>
        <w:t xml:space="preserve"> </w:t>
      </w:r>
      <w:r>
        <w:t>°</w:t>
      </w:r>
      <w:r>
        <w:t xml:space="preserve"> </w:t>
      </w:r>
      <w:r>
        <w:t>), and excellent water stability. Dynamic column breakthrough experiments under 80% relative humidity show nearly unchanged SF</w:t>
      </w:r>
      <w:r>
        <w:rPr>
          <w:vertAlign w:val="subscript"/>
        </w:rPr>
        <w:t>6</w:t>
      </w:r>
      <w:r>
        <w:t>breakthrough time compared with dry conditions, demonstrating outstanding SF</w:t>
      </w:r>
      <w:r>
        <w:rPr>
          <w:vertAlign w:val="subscript"/>
        </w:rPr>
        <w:t>6</w:t>
      </w:r>
      <w:r>
        <w:t>/N</w:t>
      </w:r>
      <w:r>
        <w:rPr>
          <w:vertAlign w:val="subscript"/>
        </w:rPr>
        <w:t>2</w:t>
      </w:r>
      <w:r>
        <w:t>separation performance even in a moist environment. Therefore, this work not only provides a high‐performance candidate for industrial SF</w:t>
      </w:r>
      <w:r>
        <w:rPr>
          <w:vertAlign w:val="subscript"/>
        </w:rPr>
        <w:t>6</w:t>
      </w:r>
      <w:r>
        <w:t>recovery but also presents a general design strategy for developing moisture‐resistant adsorbents for gas separation.</w:t>
      </w:r>
    </w:p>
    <w:p>
      <w:pPr>
        <w:spacing w:before="120" w:after="120"/>
      </w:pPr>
      <w:r>
        <w:rPr>
          <w:sz w:val="18"/>
        </w:rPr>
        <w:t>——————————————————————————————————————————————————————————————————————</w:t>
      </w:r>
    </w:p>
    <w:p>
      <w:pPr>
        <w:spacing w:before="160" w:after="40" w:line="240" w:lineRule="auto"/>
      </w:pPr>
      <w:r>
        <w:rPr>
          <w:b/>
        </w:rPr>
        <w:t xml:space="preserve">[14] </w:t>
      </w:r>
      <w:hyperlink r:id="rId273">
        <w:r>
          <w:rPr>
            <w:color w:val="1155CC"/>
            <w:u w:val="single"/>
          </w:rPr>
          <w:t>阴离子交换膜间隙烷基链工程对改进CO2电解槽的影响</w:t>
        </w:r>
      </w:hyperlink>
    </w:p>
    <w:p>
      <w:pPr>
        <w:spacing w:before="0" w:after="80"/>
      </w:pPr>
      <w:r>
        <w:rPr>
          <w:i/>
          <w:sz w:val="20"/>
        </w:rPr>
        <w:t>EN: Effect of interstitial alkyl chain engineering of anion exchange membrane for improved CO2 electrolyzer</w:t>
      </w:r>
    </w:p>
    <w:p>
      <w:pPr>
        <w:spacing w:before="0" w:after="120"/>
      </w:pPr>
      <w:r>
        <w:rPr>
          <w:b/>
        </w:rPr>
        <w:t xml:space="preserve">Source: </w:t>
      </w:r>
      <w:r>
        <w:t>Joule</w:t>
      </w:r>
      <w:r>
        <w:t xml:space="preserve">    </w:t>
      </w:r>
      <w:r>
        <w:rPr>
          <w:b/>
        </w:rPr>
        <w:t xml:space="preserve">Pub date: </w:t>
      </w:r>
      <w:r>
        <w:t>2026-06-24 00:00:00+00:00</w:t>
      </w:r>
      <w:r>
        <w:t xml:space="preserve">    </w:t>
      </w:r>
      <w:r>
        <w:rPr>
          <w:b/>
        </w:rPr>
        <w:t xml:space="preserve">DOI: </w:t>
      </w:r>
      <w:hyperlink r:id="rId274">
        <w:r>
          <w:rPr>
            <w:color w:val="1155CC"/>
            <w:u w:val="single"/>
          </w:rPr>
          <w:t>10.1016/j.joule.2026.102534</w:t>
        </w:r>
      </w:hyperlink>
    </w:p>
    <w:p>
      <w:pPr>
        <w:spacing w:before="0" w:after="120"/>
      </w:pPr>
      <w:r>
        <w:rPr>
          <w:b/>
        </w:rPr>
        <w:t xml:space="preserve">Notes: </w:t>
      </w:r>
      <w:r>
        <w:t>abstract_source=rss_cell</w:t>
      </w:r>
    </w:p>
    <w:p>
      <w:pPr>
        <w:spacing w:before="0" w:after="80" w:lineRule="auto" w:line="276"/>
      </w:pPr>
      <w:r>
        <w:rPr>
          <w:b/>
        </w:rPr>
        <w:t xml:space="preserve">摘要（ZH）: </w:t>
      </w:r>
      <w:r>
        <w:t>PBFA-QA 是一种含有烷基链的聚（双芴）阴离子交换膜，可在零间隙 CO2RR 电池中实现卓越的性能和耐用性。它实现了 331.7 mA cm−2 的 CO 部分电流密度，明显高于商用 PiperION 和 X37-50 RT 阴离子交换膜。在 200 mA cm−2 下，基于 PBFA-QA 的电池可稳定运行 200 小时，同时保持 FECO 高于 92.3%，没有阴极溢流或盐沉淀。</w:t>
      </w:r>
    </w:p>
    <w:p>
      <w:pPr>
        <w:spacing w:before="0" w:after="200" w:lineRule="auto" w:line="276"/>
      </w:pPr>
      <w:r>
        <w:rPr>
          <w:b/>
        </w:rPr>
        <w:t xml:space="preserve">Abstract (EN): </w:t>
      </w:r>
      <w:r>
        <w:t>PBFA-QA, a poly(bisfluorene)-based anion exchange membrane containing alkyl chains, enables excellent performance and durability in zero-gap CO2RR cells. It achieves a CO partial current density of 331.7 mA cm−2, which is substantially higher than those of commercial PiperION and X37-50 RT anion exchange membranes. At 200 mA cm−2, a PBFA-QA-based cell operates stably for 200 h while maintaining an FECO above 92.3%, without cathode flooding or salt precipitation.</w:t>
      </w:r>
    </w:p>
    <w:p>
      <w:pPr>
        <w:spacing w:before="120" w:after="120"/>
      </w:pPr>
      <w:r>
        <w:rPr>
          <w:sz w:val="18"/>
        </w:rPr>
        <w:t>——————————————————————————————————————————————————————————————————————</w:t>
      </w:r>
    </w:p>
    <w:p>
      <w:pPr>
        <w:spacing w:before="160" w:after="40" w:line="240" w:lineRule="auto"/>
      </w:pPr>
      <w:r>
        <w:rPr>
          <w:b/>
        </w:rPr>
        <w:t xml:space="preserve">[15] </w:t>
      </w:r>
      <w:hyperlink r:id="rId275">
        <w:r>
          <w:rPr>
            <w:color w:val="1155CC"/>
            <w:u w:val="single"/>
          </w:rPr>
          <w:t>增强岩石风化作为可持续农业实践比二氧化碳去除技术更有前景</w:t>
        </w:r>
      </w:hyperlink>
    </w:p>
    <w:p>
      <w:pPr>
        <w:spacing w:before="0" w:after="80"/>
      </w:pPr>
      <w:r>
        <w:rPr>
          <w:i/>
          <w:sz w:val="20"/>
        </w:rPr>
        <w:t>EN: Enhanced rock weathering has greater promise as a sustainable farming practice than a CO2 removal technology</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276">
        <w:r>
          <w:rPr>
            <w:color w:val="1155CC"/>
            <w:u w:val="single"/>
          </w:rPr>
          <w:t>10.1073/pnas.2602421123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277">
        <w:r>
          <w:rPr>
            <w:color w:val="1155CC"/>
            <w:u w:val="single"/>
          </w:rPr>
          <w:t>具有空间协调微环境的纳米天线反应器能够将大气二氧化碳光还原为C2H6</w:t>
        </w:r>
      </w:hyperlink>
    </w:p>
    <w:p>
      <w:pPr>
        <w:spacing w:before="0" w:after="80"/>
      </w:pPr>
      <w:r>
        <w:rPr>
          <w:i/>
          <w:sz w:val="20"/>
        </w:rPr>
        <w:t>EN: Nano‐Antenna Reactors With Spatially Coordinated Microenvironments Enable Atmospheric CO2 Photoreduction to C2H6</w:t>
      </w:r>
    </w:p>
    <w:p>
      <w:pPr>
        <w:spacing w:before="0" w:after="120"/>
      </w:pPr>
      <w:r>
        <w:rPr>
          <w:b/>
        </w:rPr>
        <w:t xml:space="preserve">Source: </w:t>
      </w:r>
      <w:r>
        <w:t>Wiley: Advanced Materials: Table of Contents</w:t>
      </w:r>
      <w:r>
        <w:t xml:space="preserve">    </w:t>
      </w:r>
      <w:r>
        <w:rPr>
          <w:b/>
        </w:rPr>
        <w:t xml:space="preserve">Pub date: </w:t>
      </w:r>
      <w:r>
        <w:t>2026-06-24 08:11:02+00:00</w:t>
      </w:r>
      <w:r>
        <w:t xml:space="preserve">    </w:t>
      </w:r>
      <w:r>
        <w:rPr>
          <w:b/>
        </w:rPr>
        <w:t xml:space="preserve">DOI: </w:t>
      </w:r>
      <w:hyperlink r:id="rId278">
        <w:r>
          <w:rPr>
            <w:color w:val="1155CC"/>
            <w:u w:val="single"/>
          </w:rPr>
          <w:t>10.1002/adma.73817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光催化CO</w:t>
      </w:r>
      <w:r>
        <w:rPr>
          <w:vertAlign w:val="subscript"/>
        </w:rPr>
        <w:t>2</w:t>
      </w:r>
      <w:r>
        <w:t>多碳产物的还原通常受到向金属纳米粒子表面的质子传递效率低下的限制，从而将质子耦合的 C─C 耦合限制在一小部分金属氧化物界面位点。在这里，我们报告了一种空间协调的微环境工程策略，以激活未充分利用的金属表面原子以实现高效的碳</w:t>
      </w:r>
      <w:r>
        <w:rPr>
          <w:vertAlign w:val="subscript"/>
        </w:rPr>
        <w:t>2</w:t>
      </w:r>
      <w:r>
        <w:t>H</w:t>
      </w:r>
      <w:r>
        <w:rPr>
          <w:vertAlign w:val="subscript"/>
        </w:rPr>
        <w:t>6</w:t>
      </w:r>
      <w:r>
        <w:t>即使在低 CO 条件下也能形成</w:t>
      </w:r>
      <w:r>
        <w:rPr>
          <w:vertAlign w:val="subscript"/>
        </w:rPr>
        <w:t>2</w:t>
      </w:r>
      <w:r>
        <w:t>浓度。 AuCu-CeO</w:t>
      </w:r>
      <w:r>
        <w:rPr>
          <w:vertAlign w:val="subscript"/>
        </w:rPr>
        <w:t>2</w:t>
      </w:r>
      <w:r>
        <w:t>纳米天线反应器光催化剂的构造，其中CeO</w:t>
      </w:r>
      <w:r>
        <w:rPr>
          <w:vertAlign w:val="subscript"/>
        </w:rPr>
        <w:t>2</w:t>
      </w:r>
      <w:r>
        <w:t>纳米片作为氧化物天线支撑，金纳米颗粒作为 CO</w:t>
      </w:r>
      <w:r>
        <w:rPr>
          <w:vertAlign w:val="subscript"/>
        </w:rPr>
        <w:t>2</w:t>
      </w:r>
      <w:r>
        <w:t>还原反应器。值得注意的是，Au 纳米粒子中掺入的 Cu 位点充当局部水活化中心，创造了一个与 CO 相邻的富含质子的微环境</w:t>
      </w:r>
      <w:r>
        <w:rPr>
          <w:vertAlign w:val="subscript"/>
        </w:rPr>
        <w:t>2</w:t>
      </w:r>
      <w:r>
        <w:t>还原位点。原位光谱与密度泛函理论计算相结合表明，这种富含质子的微环境将决定速率的 *CO 到 *COH 质子化势垒从 1.23 eV 降低至 0.54 eV，从而通过 *CO─*COH 途径促进 C─C 偶联。因此，AuCu-CeO</w:t>
      </w:r>
      <w:r>
        <w:rPr>
          <w:vertAlign w:val="subscript"/>
        </w:rPr>
        <w:t>2</w:t>
      </w:r>
      <w:r>
        <w:t>C 语言实现了约 3 倍的增强</w:t>
      </w:r>
      <w:r>
        <w:rPr>
          <w:vertAlign w:val="subscript"/>
        </w:rPr>
        <w:t>2</w:t>
      </w:r>
      <w:r>
        <w:t>H</w:t>
      </w:r>
      <w:r>
        <w:rPr>
          <w:vertAlign w:val="subscript"/>
        </w:rPr>
        <w:t>6</w:t>
      </w:r>
      <w:r>
        <w:t>纯CO条件下生产</w:t>
      </w:r>
    </w:p>
    <w:p>
      <w:pPr>
        <w:spacing w:before="0" w:after="200" w:lineRule="auto" w:line="276"/>
      </w:pPr>
      <w:r>
        <w:rPr>
          <w:b/>
        </w:rPr>
        <w:t xml:space="preserve">Abstract (EN): </w:t>
      </w:r>
      <w:r>
        <w:t>Photocatalytic CO</w:t>
      </w:r>
      <w:r>
        <w:rPr>
          <w:vertAlign w:val="subscript"/>
        </w:rPr>
        <w:t>2</w:t>
      </w:r>
      <w:r>
        <w:t>reduction to multicarbon products is often limited by inefficient proton delivery to metal nanoparticle surfaces, restricting proton‐coupled C─C coupling to a small fraction of metal‐oxide interfacial sites. Here, we report a spatially coordinated microenvironment engineering strategy to activate underutilized metal surface atoms for efficient C</w:t>
      </w:r>
      <w:r>
        <w:rPr>
          <w:vertAlign w:val="subscript"/>
        </w:rPr>
        <w:t>2</w:t>
      </w:r>
      <w:r>
        <w:t>H</w:t>
      </w:r>
      <w:r>
        <w:rPr>
          <w:vertAlign w:val="subscript"/>
        </w:rPr>
        <w:t>6</w:t>
      </w:r>
      <w:r>
        <w:t>formation, even under low CO</w:t>
      </w:r>
      <w:r>
        <w:rPr>
          <w:vertAlign w:val="subscript"/>
        </w:rPr>
        <w:t>2</w:t>
      </w:r>
      <w:r>
        <w:t>concentration. An AuCu‐CeO</w:t>
      </w:r>
      <w:r>
        <w:rPr>
          <w:vertAlign w:val="subscript"/>
        </w:rPr>
        <w:t>2</w:t>
      </w:r>
      <w:r>
        <w:t>nano‐antenna‐reactor photocatalyst is constructed where CeO</w:t>
      </w:r>
      <w:r>
        <w:rPr>
          <w:vertAlign w:val="subscript"/>
        </w:rPr>
        <w:t>2</w:t>
      </w:r>
      <w:r>
        <w:t>nanosheets serve as oxide antenna supports and Au nanoparticles act as CO</w:t>
      </w:r>
      <w:r>
        <w:rPr>
          <w:vertAlign w:val="subscript"/>
        </w:rPr>
        <w:t>2</w:t>
      </w:r>
      <w:r>
        <w:t>reduction reactors. Notably, Cu sites incorporated within Au nanoparticles function as localized water‐activation centers, creating a proton‐rich microenvironment adjacent to CO</w:t>
      </w:r>
      <w:r>
        <w:rPr>
          <w:vertAlign w:val="subscript"/>
        </w:rPr>
        <w:t>2</w:t>
      </w:r>
      <w:r>
        <w:t>reduction sites. In situ spectroscopy combined with density functional theory calculations reveals that this proton‐rich microenvironment lowers the rate‐determining *CO to *COH protonation barrier from 1.23 to 0.54 eV, promoting C─C coupling via a *CO─*COH pathway. As a result, AuCu‐CeO</w:t>
      </w:r>
      <w:r>
        <w:rPr>
          <w:vertAlign w:val="subscript"/>
        </w:rPr>
        <w:t>2</w:t>
      </w:r>
      <w:r>
        <w:t>achieves a ∼3‐fold enhancement in C</w:t>
      </w:r>
      <w:r>
        <w:rPr>
          <w:vertAlign w:val="subscript"/>
        </w:rPr>
        <w:t>2</w:t>
      </w:r>
      <w:r>
        <w:t>H</w:t>
      </w:r>
      <w:r>
        <w:rPr>
          <w:vertAlign w:val="subscript"/>
        </w:rPr>
        <w:t>6</w:t>
      </w:r>
      <w:r>
        <w:t>production under pure CO</w:t>
      </w:r>
      <w:r>
        <w:rPr>
          <w:vertAlign w:val="subscript"/>
        </w:rPr>
        <w:t>2</w:t>
      </w:r>
      <w:r>
        <w:t>compared with Au‐CeO</w:t>
      </w:r>
      <w:r>
        <w:rPr>
          <w:vertAlign w:val="subscript"/>
        </w:rPr>
        <w:t>2</w:t>
      </w:r>
      <w:r>
        <w:t>, while maintaining appreciable rates of 3.3 and 1.67 µmol g</w:t>
      </w:r>
      <w:r>
        <w:t xml:space="preserve"> </w:t>
      </w:r>
      <w:r>
        <w:t>−1</w:t>
      </w:r>
      <w:r>
        <w:t xml:space="preserve"> </w:t>
      </w:r>
      <w:r>
        <w:t>h</w:t>
      </w:r>
      <w:r>
        <w:t xml:space="preserve"> </w:t>
      </w:r>
      <w:r>
        <w:t>−1</w:t>
      </w:r>
      <w:r>
        <w:t xml:space="preserve"> </w:t>
      </w:r>
      <w:r>
        <w:t>at flue‐gas (15%) and atmospheric (0.03%) CO</w:t>
      </w:r>
      <w:r>
        <w:rPr>
          <w:vertAlign w:val="subscript"/>
        </w:rPr>
        <w:t>2</w:t>
      </w:r>
      <w:r>
        <w:t>levels, respectively. This work establishes a general principle for regulating proton‐coupled multi‐electron transformations on catalytic surfaces.</w:t>
      </w:r>
    </w:p>
    <w:p>
      <w:pPr>
        <w:spacing w:before="120" w:after="120"/>
      </w:pPr>
      <w:r>
        <w:rPr>
          <w:sz w:val="18"/>
        </w:rPr>
        <w:t>——————————————————————————————————————————————————————————————————————</w:t>
      </w:r>
    </w:p>
    <w:p>
      <w:pPr>
        <w:spacing w:before="160" w:after="40" w:line="240" w:lineRule="auto"/>
      </w:pPr>
      <w:r>
        <w:rPr>
          <w:b/>
        </w:rPr>
        <w:t xml:space="preserve">[17] </w:t>
      </w:r>
      <w:hyperlink r:id="rId279">
        <w:r>
          <w:rPr>
            <w:color w:val="1155CC"/>
            <w:u w:val="single"/>
          </w:rPr>
          <w:t>调节当地环境选择性碳酸氢盐转化为多碳产品</w:t>
        </w:r>
      </w:hyperlink>
    </w:p>
    <w:p>
      <w:pPr>
        <w:spacing w:before="0" w:after="80"/>
      </w:pPr>
      <w:r>
        <w:rPr>
          <w:i/>
          <w:sz w:val="20"/>
        </w:rPr>
        <w:t>EN: Modulation of Local Environment for Selective Bicarbonate Conversion to Multi‐Carbon Products</w:t>
      </w:r>
    </w:p>
    <w:p>
      <w:pPr>
        <w:spacing w:before="0" w:after="120"/>
      </w:pPr>
      <w:r>
        <w:rPr>
          <w:b/>
        </w:rPr>
        <w:t xml:space="preserve">Source: </w:t>
      </w:r>
      <w:r>
        <w:t>Wiley: Advanced Energy Materials: Table of Contents</w:t>
      </w:r>
      <w:r>
        <w:t xml:space="preserve">    </w:t>
      </w:r>
      <w:r>
        <w:rPr>
          <w:b/>
        </w:rPr>
        <w:t xml:space="preserve">Pub date: </w:t>
      </w:r>
      <w:r>
        <w:t>2026-06-24 10:32:34+00:00</w:t>
      </w:r>
      <w:r>
        <w:t xml:space="preserve">    </w:t>
      </w:r>
      <w:r>
        <w:rPr>
          <w:b/>
        </w:rPr>
        <w:t xml:space="preserve">DOI: </w:t>
      </w:r>
      <w:hyperlink r:id="rId280">
        <w:r>
          <w:rPr>
            <w:color w:val="1155CC"/>
            <w:u w:val="single"/>
          </w:rPr>
          <w:t>10.1002/aenm.71214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可再生电力直接电合成多碳（C</w:t>
      </w:r>
      <w:r>
        <w:t xml:space="preserve"> </w:t>
      </w:r>
      <w:r>
        <w:t>2+</w:t>
      </w:r>
      <w:r>
        <w:t xml:space="preserve"> </w:t>
      </w:r>
      <w:r>
        <w:t>）产品如乙烯（C</w:t>
      </w:r>
      <w:r>
        <w:rPr>
          <w:vertAlign w:val="subscript"/>
        </w:rPr>
        <w:t>2</w:t>
      </w:r>
      <w:r>
        <w:t>H</w:t>
      </w:r>
      <w:r>
        <w:rPr>
          <w:vertAlign w:val="subscript"/>
        </w:rPr>
        <w:t>4</w:t>
      </w:r>
      <w:r>
        <w:t>）从碳酸氢盐中提取二氧化碳（CO</w:t>
      </w:r>
      <w:r>
        <w:rPr>
          <w:vertAlign w:val="subscript"/>
        </w:rPr>
        <w:t>2</w:t>
      </w:r>
      <w:r>
        <w:t>）利用但受到有限的二氧化碳的阻碍</w:t>
      </w:r>
      <w:r>
        <w:rPr>
          <w:vertAlign w:val="subscript"/>
        </w:rPr>
        <w:t>2</w:t>
      </w:r>
      <w:r>
        <w:t>可用性和不利的反应环境。现有的方法，例如电解质工程和缓冲层，通常以更高的全电池电压为代价来提高选择性，从而在选择性和能源效率之间进行权衡。在这里，我们介绍一种新的直接碳酸氢盐（HCO</w:t>
      </w:r>
      <w:r>
        <w:rPr>
          <w:vertAlign w:val="subscript"/>
        </w:rPr>
        <w:t>3</w:t>
      </w:r>
      <w:r>
        <w:t>-</w:t>
      </w:r>
      <w:r>
        <w:t>）使用涂有离聚物/碳层的高度多孔铜电极进行转换。多物理场建模结果表明，增加 HCO</w:t>
      </w:r>
      <w:r>
        <w:rPr>
          <w:vertAlign w:val="subscript"/>
        </w:rPr>
        <w:t>3</w:t>
      </w:r>
      <w:r>
        <w:t>-</w:t>
      </w:r>
      <w:r>
        <w:t>浓度增强了局部原位产生的CO</w:t>
      </w:r>
      <w:r>
        <w:rPr>
          <w:vertAlign w:val="subscript"/>
        </w:rPr>
        <w:t>2</w:t>
      </w:r>
      <w:r>
        <w:t>（</w:t>
      </w:r>
      <w:r>
        <w:t xml:space="preserve"> </w:t>
      </w:r>
      <w:r>
        <w:t>我</w:t>
      </w:r>
      <w:r>
        <w:t xml:space="preserve"> </w:t>
      </w:r>
      <w:r>
        <w:t>‐CO</w:t>
      </w:r>
      <w:r>
        <w:rPr>
          <w:vertAlign w:val="subscript"/>
        </w:rPr>
        <w:t>2</w:t>
      </w:r>
      <w:r>
        <w:t>）可用性，但抑制了 C-C 偶联所需的碱性微环境。我们发现，用离聚物/碳层部分涂覆大孔铜电极，通过微调局部反应环境以有利于 C 来解决这一限制。</w:t>
      </w:r>
      <w:r>
        <w:t xml:space="preserve"> </w:t>
      </w:r>
      <w:r>
        <w:t>2+</w:t>
      </w:r>
      <w:r>
        <w:t xml:space="preserve"> </w:t>
      </w:r>
      <w:r>
        <w:t>产品同时保持高二氧化碳</w:t>
      </w:r>
    </w:p>
    <w:p>
      <w:pPr>
        <w:spacing w:before="0" w:after="200" w:lineRule="auto" w:line="276"/>
      </w:pPr>
      <w:r>
        <w:rPr>
          <w:b/>
        </w:rPr>
        <w:t xml:space="preserve">Abstract (EN): </w:t>
      </w:r>
      <w:r>
        <w:t>Renewable electricity‐powered direct electrosynthesis of multi‐carbon (C</w:t>
      </w:r>
      <w:r>
        <w:t xml:space="preserve"> </w:t>
      </w:r>
      <w:r>
        <w:t>2+</w:t>
      </w:r>
      <w:r>
        <w:t xml:space="preserve"> </w:t>
      </w:r>
      <w:r>
        <w:t>) products such as ethylene (C</w:t>
      </w:r>
      <w:r>
        <w:rPr>
          <w:vertAlign w:val="subscript"/>
        </w:rPr>
        <w:t>2</w:t>
      </w:r>
      <w:r>
        <w:t>H</w:t>
      </w:r>
      <w:r>
        <w:rPr>
          <w:vertAlign w:val="subscript"/>
        </w:rPr>
        <w:t>4</w:t>
      </w:r>
      <w:r>
        <w:t>) from bicarbonate offers a sustainable route for carbon dioxide (CO</w:t>
      </w:r>
      <w:r>
        <w:rPr>
          <w:vertAlign w:val="subscript"/>
        </w:rPr>
        <w:t>2</w:t>
      </w:r>
      <w:r>
        <w:t>) utilization but is hindered by limited CO</w:t>
      </w:r>
      <w:r>
        <w:rPr>
          <w:vertAlign w:val="subscript"/>
        </w:rPr>
        <w:t>2</w:t>
      </w:r>
      <w:r>
        <w:t>availability and unfavorable reaction environments. Existing approaches, such as electrolyte engineering and buffering layers, often improve selectivity at the cost of higher full‐cell voltages, creating a trade‐off between selectivity and energy efficiency. Here, we introduce a new electrode design for direct bicarbonate (HCO</w:t>
      </w:r>
      <w:r>
        <w:rPr>
          <w:vertAlign w:val="subscript"/>
        </w:rPr>
        <w:t>3</w:t>
      </w:r>
      <w:r>
        <w:t>−</w:t>
      </w:r>
      <w:r>
        <w:t>) conversion using highly porous copper electrodes coated with an ionomer/carbon layer. Multiphysics modeling results reveal that increasing HCO</w:t>
      </w:r>
      <w:r>
        <w:rPr>
          <w:vertAlign w:val="subscript"/>
        </w:rPr>
        <w:t>3</w:t>
      </w:r>
      <w:r>
        <w:t>−</w:t>
      </w:r>
      <w:r>
        <w:t>concentration enhances local in situ‐generated CO</w:t>
      </w:r>
      <w:r>
        <w:rPr>
          <w:vertAlign w:val="subscript"/>
        </w:rPr>
        <w:t>2</w:t>
      </w:r>
      <w:r>
        <w:t>(</w:t>
      </w:r>
      <w:r>
        <w:t xml:space="preserve"> </w:t>
      </w:r>
      <w:r>
        <w:t>i</w:t>
      </w:r>
      <w:r>
        <w:t xml:space="preserve"> </w:t>
      </w:r>
      <w:r>
        <w:t>‐CO</w:t>
      </w:r>
      <w:r>
        <w:rPr>
          <w:vertAlign w:val="subscript"/>
        </w:rPr>
        <w:t>2</w:t>
      </w:r>
      <w:r>
        <w:t>) availability but suppresses the alkaline microenvironment required for C‐C coupling. We found that partially coating a large‐pore Cu electrode with the ionomer/carbon layer addresses the limitation by fine‐tuning the local reaction environment to favor C</w:t>
      </w:r>
      <w:r>
        <w:t xml:space="preserve"> </w:t>
      </w:r>
      <w:r>
        <w:t>2+</w:t>
      </w:r>
      <w:r>
        <w:t xml:space="preserve"> </w:t>
      </w:r>
      <w:r>
        <w:t>products while maintaining high CO</w:t>
      </w:r>
      <w:r>
        <w:rPr>
          <w:vertAlign w:val="subscript"/>
        </w:rPr>
        <w:t>2</w:t>
      </w:r>
      <w:r>
        <w:t>availability for high reaction rates. The optimized electrode achieves a C</w:t>
      </w:r>
      <w:r>
        <w:rPr>
          <w:vertAlign w:val="subscript"/>
        </w:rPr>
        <w:t>2</w:t>
      </w:r>
      <w:r>
        <w:t>H</w:t>
      </w:r>
      <w:r>
        <w:rPr>
          <w:vertAlign w:val="subscript"/>
        </w:rPr>
        <w:t>4</w:t>
      </w:r>
      <w:r>
        <w:t>Faradaic efficiency (FE) of 43% (total C</w:t>
      </w:r>
      <w:r>
        <w:t xml:space="preserve"> </w:t>
      </w:r>
      <w:r>
        <w:t>2+</w:t>
      </w:r>
      <w:r>
        <w:t xml:space="preserve"> </w:t>
      </w:r>
      <w:r>
        <w:t>FE of 60%) at 150 mA/cm</w:t>
      </w:r>
      <w:r>
        <w:rPr>
          <w:vertAlign w:val="subscript"/>
        </w:rPr>
        <w:t>2</w:t>
      </w:r>
      <w:r>
        <w:t>, with a low full‐cell voltage of 3.38 V. When coupled to a dilute CO</w:t>
      </w:r>
      <w:r>
        <w:rPr>
          <w:vertAlign w:val="subscript"/>
        </w:rPr>
        <w:t>2</w:t>
      </w:r>
      <w:r>
        <w:t>source (20% in argon) and pulsed operation, the system sustains &amp;gt; 30% C</w:t>
      </w:r>
      <w:r>
        <w:rPr>
          <w:vertAlign w:val="subscript"/>
        </w:rPr>
        <w:t>2</w:t>
      </w:r>
      <w:r>
        <w:t>H</w:t>
      </w:r>
      <w:r>
        <w:rPr>
          <w:vertAlign w:val="subscript"/>
        </w:rPr>
        <w:t>4</w:t>
      </w:r>
      <w:r>
        <w:t>FE for ∼150 h at 150 mA/cm</w:t>
      </w:r>
      <w:r>
        <w:rPr>
          <w:vertAlign w:val="subscript"/>
        </w:rPr>
        <w:t>2</w:t>
      </w:r>
      <w:r>
        <w:t>.</w:t>
      </w:r>
    </w:p>
    <w:p>
      <w:pPr>
        <w:spacing w:before="120" w:after="120"/>
      </w:pPr>
      <w:r>
        <w:rPr>
          <w:sz w:val="18"/>
        </w:rPr>
        <w:t>——————————————————————————————————————————————————————————————————————</w:t>
      </w:r>
    </w:p>
    <w:p>
      <w:pPr>
        <w:spacing w:before="160" w:after="40" w:line="240" w:lineRule="auto"/>
      </w:pPr>
      <w:r>
        <w:rPr>
          <w:b/>
        </w:rPr>
        <w:t xml:space="preserve">[18] </w:t>
      </w:r>
      <w:hyperlink r:id="rId231">
        <w:r>
          <w:rPr>
            <w:color w:val="1155CC"/>
            <w:u w:val="single"/>
          </w:rPr>
          <w:t>氢在全球温室气体净零排放塑料行业中的作用</w:t>
        </w:r>
      </w:hyperlink>
    </w:p>
    <w:p>
      <w:pPr>
        <w:spacing w:before="0" w:after="80"/>
      </w:pPr>
      <w:r>
        <w:rPr>
          <w:i/>
          <w:sz w:val="20"/>
        </w:rPr>
        <w:t>EN: The role of hydrogen in a global net-zero greenhouse gas emission plastics industry</w:t>
      </w:r>
    </w:p>
    <w:p>
      <w:pPr>
        <w:spacing w:before="0" w:after="120"/>
      </w:pPr>
      <w:r>
        <w:rPr>
          <w:b/>
        </w:rPr>
        <w:t xml:space="preserve">Source: </w:t>
      </w:r>
      <w:r>
        <w:t>Joule</w:t>
      </w:r>
      <w:r>
        <w:t xml:space="preserve">    </w:t>
      </w:r>
      <w:r>
        <w:rPr>
          <w:b/>
        </w:rPr>
        <w:t xml:space="preserve">Pub date: </w:t>
      </w:r>
      <w:r>
        <w:t>2026-06-25 00:00:00+00:00</w:t>
      </w:r>
      <w:r>
        <w:t xml:space="preserve">    </w:t>
      </w:r>
      <w:r>
        <w:rPr>
          <w:b/>
        </w:rPr>
        <w:t xml:space="preserve">DOI: </w:t>
      </w:r>
      <w:hyperlink r:id="rId232">
        <w:r>
          <w:rPr>
            <w:color w:val="1155CC"/>
            <w:u w:val="single"/>
          </w:rPr>
          <w:t>10.1016/j.joule.2026.102537</w:t>
        </w:r>
      </w:hyperlink>
    </w:p>
    <w:p>
      <w:pPr>
        <w:spacing w:before="0" w:after="120"/>
      </w:pPr>
      <w:r>
        <w:rPr>
          <w:b/>
        </w:rPr>
        <w:t xml:space="preserve">Notes: </w:t>
      </w:r>
      <w:r>
        <w:t>abstract_source=rss_cell</w:t>
      </w:r>
    </w:p>
    <w:p>
      <w:pPr>
        <w:spacing w:before="0" w:after="80" w:lineRule="auto" w:line="276"/>
      </w:pPr>
      <w:r>
        <w:rPr>
          <w:b/>
        </w:rPr>
        <w:t xml:space="preserve">摘要（ZH）: </w:t>
      </w:r>
      <w:r>
        <w:t>脱化石塑料生产依赖于与生物质和碳捕获和利用（CCU）相结合的回收利用，这需要清洁的氢气。然而，生物基技术和 CCU 技术对氢气的需求尚不清楚。通过应用前瞻性生命周期评估，这项研究表明，到 2050 年实现全球塑料行业温室气体净零排放需要将氢气需求增加 14 倍，总计 126-145 公吨氢气。此外，通过结合生物基和电力制氢，塑料工业可以平衡多个地球边界。</w:t>
      </w:r>
    </w:p>
    <w:p>
      <w:pPr>
        <w:spacing w:before="0" w:after="200" w:lineRule="auto" w:line="276"/>
      </w:pPr>
      <w:r>
        <w:rPr>
          <w:b/>
        </w:rPr>
        <w:t xml:space="preserve">Abstract (EN): </w:t>
      </w:r>
      <w:r>
        <w:t>Defossilizing plastics production relies on recycling combined with biomass and carbon capture and utilization (CCU), which requires clean hydrogen. However, the hydrogen demand from bio-based and CCU technologies is unknown. By applying prospective life cycle assessment, this study shows that achieving a net-zero greenhouse gas emissions global plastics industry by 2050 requires a 14-fold increase in hydrogen demand, totaling 126–145 Mt of hydrogen. Moreover, by combining bio-based and electricity-based hydrogen production, the plastics industry can balance multiple planetary boundaries.</w:t>
      </w:r>
    </w:p>
    <w:p>
      <w:pPr>
        <w:spacing w:before="120" w:after="120"/>
      </w:pPr>
      <w:r>
        <w:rPr>
          <w:sz w:val="18"/>
        </w:rPr>
        <w:t>——————————————————————————————————————————————————————————————————————</w:t>
      </w:r>
    </w:p>
    <w:p>
      <w:pPr>
        <w:spacing w:before="160" w:after="40" w:line="240" w:lineRule="auto"/>
      </w:pPr>
      <w:r>
        <w:rPr>
          <w:b/>
        </w:rPr>
        <w:t xml:space="preserve">[19] </w:t>
      </w:r>
      <w:hyperlink r:id="rId251">
        <w:r>
          <w:rPr>
            <w:color w:val="1155CC"/>
            <w:u w:val="single"/>
          </w:rPr>
          <w:t>用于废物混合重整为燃料的工业规模纳米晶 Ni-Mo-MgO 催化剂</w:t>
        </w:r>
      </w:hyperlink>
    </w:p>
    <w:p>
      <w:pPr>
        <w:spacing w:before="0" w:after="80"/>
      </w:pPr>
      <w:r>
        <w:rPr>
          <w:i/>
          <w:sz w:val="20"/>
        </w:rPr>
        <w:t>EN: Industrial-scale nanocrystalline Ni–Mo–MgO catalysts for hybrid reforming of waste to fuels</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252">
        <w:r>
          <w:rPr>
            <w:color w:val="1155CC"/>
            <w:u w:val="single"/>
          </w:rPr>
          <w:t>10.1126/science.adp5208</w:t>
        </w:r>
      </w:hyperlink>
    </w:p>
    <w:p>
      <w:pPr>
        <w:spacing w:before="0" w:after="120"/>
      </w:pPr>
      <w:r>
        <w:rPr>
          <w:b/>
        </w:rPr>
        <w:t xml:space="preserve">Notes: </w:t>
      </w:r>
      <w:r>
        <w:t>abstract_source=crossref</w:t>
      </w:r>
    </w:p>
    <w:p>
      <w:pPr>
        <w:spacing w:before="0" w:after="80" w:lineRule="auto" w:line="276"/>
      </w:pPr>
      <w:r>
        <w:rPr>
          <w:b/>
        </w:rPr>
        <w:t xml:space="preserve">摘要（ZH）: </w:t>
      </w:r>
      <w:r>
        <w:t>降低碳氢化合物和废物的碳排放的策略必须克服与催化剂耐久性和废物预分类相关的挑战。用二氧化碳（CO</w:t>
      </w:r>
      <w:r>
        <w:rPr>
          <w:vertAlign w:val="subscript"/>
        </w:rPr>
        <w:t>2</w:t>
      </w:r>
      <w:r>
        <w:t>）提供了一种工业规模的途径，将废物流回收为燃料和化学品。我们开发了一种基于单晶氧化镁 (NiMoCat) 的镍钼合金纳米催化剂，其颗粒形式为公斤级，适用于高压工业反应器。脂肪烃（甲烷、</w:t>
      </w:r>
      <w:r>
        <w:t xml:space="preserve"> </w:t>
      </w:r>
      <w:r>
        <w:t>n</w:t>
      </w:r>
      <w:r>
        <w:t xml:space="preserve"> </w:t>
      </w:r>
      <w:r>
        <w:t>-丁烷）和芳烃（苯、甲苯）在加压 CO 下</w:t>
      </w:r>
      <w:r>
        <w:rPr>
          <w:vertAlign w:val="subscript"/>
        </w:rPr>
        <w:t>2</w:t>
      </w:r>
      <w:r>
        <w:t>产生定量合成气，没有甲烷化或不需要的氧化副产物，例如丁二烯或多环芳烃。放大的 NiMoCat 在长期运行期间保持活性，并实现两步过程，包括未分类废物气化，然后在真实烟气或 CO 下进行混合重整</w:t>
      </w:r>
      <w:r>
        <w:rPr>
          <w:vertAlign w:val="subscript"/>
        </w:rPr>
        <w:t>2</w:t>
      </w:r>
      <w:r>
        <w:t>流动。沼气转化为二甲醚的详细生命周期分析展示了可扩展、可持续的二氧化碳</w:t>
      </w:r>
      <w:r>
        <w:rPr>
          <w:vertAlign w:val="subscript"/>
        </w:rPr>
        <w:t>2</w:t>
      </w:r>
      <w:r>
        <w:t>利用与当前的燃料和化学基础设施兼容。</w:t>
      </w:r>
    </w:p>
    <w:p>
      <w:pPr>
        <w:spacing w:before="0" w:after="200" w:lineRule="auto" w:line="276"/>
      </w:pPr>
      <w:r>
        <w:rPr>
          <w:b/>
        </w:rPr>
        <w:t xml:space="preserve">Abstract (EN): </w:t>
      </w:r>
      <w:r>
        <w:t>Strategies for lowering carbon emissions from hydrocarbons and waste must overcome the challenges related to catalyst durability and the presorting of waste. Reforming low-value carbon sources with carbon dioxide (CO</w:t>
      </w:r>
      <w:r>
        <w:rPr>
          <w:vertAlign w:val="subscript"/>
        </w:rPr>
        <w:t>2</w:t>
      </w:r>
      <w:r>
        <w:t>) offers an industrial-scale pathway for recycling waste streams into fuels and chemicals. We developed a nickel-molybdenum alloy nanocatalyst on single-crystalline magnesium oxide (NiMoCat) in pellet form on a kilogram scale suitable for high-pressure industrial reactors. Aliphatic hydrocarbons (methane,</w:t>
      </w:r>
      <w:r>
        <w:t xml:space="preserve"> </w:t>
      </w:r>
      <w:r>
        <w:t>n</w:t>
      </w:r>
      <w:r>
        <w:t xml:space="preserve"> </w:t>
      </w:r>
      <w:r>
        <w:t>-butane) and aromatics (benzene, toluene) under pressurized CO</w:t>
      </w:r>
      <w:r>
        <w:rPr>
          <w:vertAlign w:val="subscript"/>
        </w:rPr>
        <w:t>2</w:t>
      </w:r>
      <w:r>
        <w:t>yielded quantitative syngas without methanation or undesired oxidative by-products, such as butadiene or polyaromatics. Scaled-up NiMoCat maintains activity during long-term operation and enables a two-step process involving gasification of unsorted waste followed by hybrid reforming under realistic flue gas or CO</w:t>
      </w:r>
      <w:r>
        <w:rPr>
          <w:vertAlign w:val="subscript"/>
        </w:rPr>
        <w:t>2</w:t>
      </w:r>
      <w:r>
        <w:t>flow. A detailed life-cycle analysis of biogas-to-dimethyl ether conversion showcases a scalable, sustainable CO</w:t>
      </w:r>
      <w:r>
        <w:rPr>
          <w:vertAlign w:val="subscript"/>
        </w:rPr>
        <w:t>2</w:t>
      </w:r>
      <w:r>
        <w:t>utilization compatible with current fuel and chemical infrastructures.</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281">
        <w:r>
          <w:rPr>
            <w:color w:val="1155CC"/>
            <w:u w:val="single"/>
          </w:rPr>
          <w:t>可持续跨尺度纤维膜可实现稳定的超保护性空气过滤</w:t>
        </w:r>
      </w:hyperlink>
    </w:p>
    <w:p>
      <w:pPr>
        <w:spacing w:before="0" w:after="80"/>
      </w:pPr>
      <w:r>
        <w:rPr>
          <w:i/>
          <w:sz w:val="20"/>
        </w:rPr>
        <w:t>EN: Sustainable trans-scale fibrous membranes for stable ultra-protective air filtration</w:t>
      </w:r>
    </w:p>
    <w:p>
      <w:pPr>
        <w:spacing w:before="0" w:after="120"/>
      </w:pPr>
      <w:r>
        <w:rPr>
          <w:b/>
        </w:rPr>
        <w:t xml:space="preserve">Source: </w:t>
      </w:r>
      <w:r>
        <w:t>Physical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一次性纤维空气过滤介质是保护个人健康最方便、最有效的方法之一。然而，受制于超细纳米纤维纺丝技术和拓扑过滤网络设计的技术瓶颈，目前的过滤器无法实现可靠的超细颗粒物（PM）防护。此外，过度使用过滤器产生的不可降解废物造成了严重的环境负担。在此，我们报告了一种通用的多级分裂静电纺丝策略，用于制造各种可生物降解的跨尺度纤维膜（TSFM）。超细纳米纤维、纳米纤维和亚微米纤维的分层交织和堆叠赋予轻质TSFM具有曲折的拦截网络和丰富的质量和能量传输通道。因此，它们可以实现稳定的超高效PM0.3去除，气阻低，透气性好，相对于商用N95口罩可减少99%的聚合物消耗。这项工作可能会促进先进纺丝技术的迭代升级以及高性能、可持续过滤和分离材料的开发。</w:t>
      </w:r>
    </w:p>
    <w:p>
      <w:pPr>
        <w:spacing w:before="0" w:after="200" w:lineRule="auto" w:line="276"/>
      </w:pPr>
      <w:r>
        <w:rPr>
          <w:b/>
        </w:rPr>
        <w:t xml:space="preserve">Abstract (EN): </w:t>
      </w:r>
      <w:r>
        <w:t>Disposable fibrous air filtration media represent one of the most convenient and effective approaches for personal health protection. Nevertheless, restricted by the technical bottlenecks of spinning technologies in fabricating ultrafine nanofibers and designing topological filtration networks, current filters cannot realize reliable ultra-protection against ultrafine particulate matter (PM). Moreover, non-degradable waste from excessive filter use imposes severe environmental burdens. Herein, we report a universal multi-level splitting electrospinning strategy for fabricating a variety of biodegradable trans-scale fiber membranes (TSFM). The hierarchical interweaving and stacking of ultrafine nanofibers, nanofibers, and submicron fibers endow the lightweight TSFM with tortuous interception networks and abundant mass and energy transport channels. Consequently, they can achieve a stable ultra-efficient PM0.3 removal, low air resistance, great breathability, and reduce polymer consumption by 99% relative to commercial N95 respirators. This work may boost the iterative upgrading of advanced spinning technologies and the development of high-performance, sustainable filtration and separation materials.</w:t>
      </w:r>
    </w:p>
    <w:p>
      <w:pPr>
        <w:spacing w:before="120" w:after="120"/>
      </w:pPr>
      <w:r>
        <w:rPr>
          <w:sz w:val="18"/>
        </w:rPr>
        <w:t>——————————————————————————————————————————————————————————————————————</w:t>
      </w:r>
    </w:p>
    <w:p>
      <w:pPr>
        <w:spacing w:before="160" w:after="40" w:line="240" w:lineRule="auto"/>
      </w:pPr>
      <w:r>
        <w:rPr>
          <w:b/>
        </w:rPr>
        <w:t xml:space="preserve">[2] </w:t>
      </w:r>
      <w:hyperlink r:id="rId231">
        <w:r>
          <w:rPr>
            <w:color w:val="1155CC"/>
            <w:u w:val="single"/>
          </w:rPr>
          <w:t>氢在全球温室气体净零排放塑料行业中的作用</w:t>
        </w:r>
      </w:hyperlink>
    </w:p>
    <w:p>
      <w:pPr>
        <w:spacing w:before="0" w:after="80"/>
      </w:pPr>
      <w:r>
        <w:rPr>
          <w:i/>
          <w:sz w:val="20"/>
        </w:rPr>
        <w:t>EN: The role of hydrogen in a global net-zero greenhouse gas emission plastics industry</w:t>
      </w:r>
    </w:p>
    <w:p>
      <w:pPr>
        <w:spacing w:before="0" w:after="120"/>
      </w:pPr>
      <w:r>
        <w:rPr>
          <w:b/>
        </w:rPr>
        <w:t xml:space="preserve">Source: </w:t>
      </w:r>
      <w:r>
        <w:t>Joule</w:t>
      </w:r>
      <w:r>
        <w:t xml:space="preserve">    </w:t>
      </w:r>
      <w:r>
        <w:rPr>
          <w:b/>
        </w:rPr>
        <w:t xml:space="preserve">Pub date: </w:t>
      </w:r>
      <w:r>
        <w:t>2026-06-25 00:00:00+00:00</w:t>
      </w:r>
      <w:r>
        <w:t xml:space="preserve">    </w:t>
      </w:r>
      <w:r>
        <w:rPr>
          <w:b/>
        </w:rPr>
        <w:t xml:space="preserve">DOI: </w:t>
      </w:r>
      <w:hyperlink r:id="rId232">
        <w:r>
          <w:rPr>
            <w:color w:val="1155CC"/>
            <w:u w:val="single"/>
          </w:rPr>
          <w:t>10.1016/j.joule.2026.102537</w:t>
        </w:r>
      </w:hyperlink>
    </w:p>
    <w:p>
      <w:pPr>
        <w:spacing w:before="0" w:after="120"/>
      </w:pPr>
      <w:r>
        <w:rPr>
          <w:b/>
        </w:rPr>
        <w:t xml:space="preserve">Notes: </w:t>
      </w:r>
      <w:r>
        <w:t>abstract_source=rss_cell</w:t>
      </w:r>
    </w:p>
    <w:p>
      <w:pPr>
        <w:spacing w:before="0" w:after="80" w:lineRule="auto" w:line="276"/>
      </w:pPr>
      <w:r>
        <w:rPr>
          <w:b/>
        </w:rPr>
        <w:t xml:space="preserve">摘要（ZH）: </w:t>
      </w:r>
      <w:r>
        <w:t>脱化石塑料生产依赖于与生物质和碳捕获和利用（CCU）相结合的回收利用，这需要清洁的氢气。然而，生物基技术和 CCU 技术对氢气的需求尚不清楚。通过应用前瞻性生命周期评估，这项研究表明，到 2050 年实现全球塑料行业温室气体净零排放需要将氢气需求增加 14 倍，总计 126-145 公吨氢气。此外，通过结合生物基和电力制氢，塑料工业可以平衡多个地球边界。</w:t>
      </w:r>
    </w:p>
    <w:p>
      <w:pPr>
        <w:spacing w:before="0" w:after="200" w:lineRule="auto" w:line="276"/>
      </w:pPr>
      <w:r>
        <w:rPr>
          <w:b/>
        </w:rPr>
        <w:t xml:space="preserve">Abstract (EN): </w:t>
      </w:r>
      <w:r>
        <w:t>Defossilizing plastics production relies on recycling combined with biomass and carbon capture and utilization (CCU), which requires clean hydrogen. However, the hydrogen demand from bio-based and CCU technologies is unknown. By applying prospective life cycle assessment, this study shows that achieving a net-zero greenhouse gas emissions global plastics industry by 2050 requires a 14-fold increase in hydrogen demand, totaling 126–145 Mt of hydrogen. Moreover, by combining bio-based and electricity-based hydrogen production, the plastics industry can balance multiple planetary boundaries.</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282">
        <w:r>
          <w:rPr>
            <w:color w:val="1155CC"/>
            <w:u w:val="single"/>
          </w:rPr>
          <w:t>附带影响：中美紧张局势和第三国能源转型</w:t>
        </w:r>
      </w:hyperlink>
    </w:p>
    <w:p>
      <w:pPr>
        <w:spacing w:before="0" w:after="80"/>
      </w:pPr>
      <w:r>
        <w:rPr>
          <w:i/>
          <w:sz w:val="20"/>
        </w:rPr>
        <w:t>EN: Collateral impact: U.S.-China tensions and energy transition in third countries</w:t>
      </w:r>
    </w:p>
    <w:p>
      <w:pPr>
        <w:spacing w:before="0" w:after="120"/>
      </w:pPr>
      <w:r>
        <w:rPr>
          <w:b/>
        </w:rPr>
        <w:t xml:space="preserve">Source: </w:t>
      </w:r>
      <w:r>
        <w:t>ScienceDirect Publication: Energy Policy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83">
        <w:r>
          <w:rPr>
            <w:color w:val="1155CC"/>
            <w:u w:val="single"/>
          </w:rPr>
          <w:t>具有深度代表性的风电预测：一项调查</w:t>
        </w:r>
      </w:hyperlink>
    </w:p>
    <w:p>
      <w:pPr>
        <w:spacing w:before="0" w:after="80"/>
      </w:pPr>
      <w:r>
        <w:rPr>
          <w:i/>
          <w:sz w:val="20"/>
        </w:rPr>
        <w:t>EN: Wind power forecasting with deep representation: A survey</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84">
        <w:r>
          <w:rPr>
            <w:color w:val="1155CC"/>
            <w:u w:val="single"/>
          </w:rPr>
          <w:t>低碳未来和全球脱碳的能源建模</w:t>
        </w:r>
      </w:hyperlink>
    </w:p>
    <w:p>
      <w:pPr>
        <w:spacing w:before="0" w:after="80"/>
      </w:pPr>
      <w:r>
        <w:rPr>
          <w:i/>
          <w:sz w:val="20"/>
        </w:rPr>
        <w:t>EN: Energy modeling for a low-carbon future and global decarbonization</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285">
        <w:r>
          <w:rPr>
            <w:color w:val="1155CC"/>
            <w:u w:val="single"/>
          </w:rPr>
          <w:t>海上混合风浪能转换系统的稳态动力学</w:t>
        </w:r>
      </w:hyperlink>
    </w:p>
    <w:p>
      <w:pPr>
        <w:spacing w:before="0" w:after="80"/>
      </w:pPr>
      <w:r>
        <w:rPr>
          <w:i/>
          <w:sz w:val="20"/>
        </w:rPr>
        <w:t>EN: Steady-state dynamics of an offshore hybrid wind-wave energy conversion system</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286">
        <w:r>
          <w:rPr>
            <w:color w:val="1155CC"/>
            <w:u w:val="single"/>
          </w:rPr>
          <w:t>非唤醒和唤醒条件下风力发电机的动态响应</w:t>
        </w:r>
      </w:hyperlink>
    </w:p>
    <w:p>
      <w:pPr>
        <w:spacing w:before="0" w:after="80"/>
      </w:pPr>
      <w:r>
        <w:rPr>
          <w:i/>
          <w:sz w:val="20"/>
        </w:rPr>
        <w:t>EN: Dynamic responses of wind turbines under unwaked and waked conditions</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287">
        <w:r>
          <w:rPr>
            <w:color w:val="1155CC"/>
            <w:u w:val="single"/>
          </w:rPr>
          <w:t>在共享变压器约束下协调多个充电服务提供商之间的电动汽车充电：容量分配和滚动优化的两阶段框架</w:t>
        </w:r>
      </w:hyperlink>
    </w:p>
    <w:p>
      <w:pPr>
        <w:spacing w:before="0" w:after="80"/>
      </w:pPr>
      <w:r>
        <w:rPr>
          <w:i/>
          <w:sz w:val="20"/>
        </w:rPr>
        <w:t>EN: Coordinating EV charging among multiple charging service providers under shared transformer constraints: A two-stage framework for capacity allocation and rolling optimization</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288">
        <w:r>
          <w:rPr>
            <w:color w:val="1155CC"/>
            <w:u w:val="single"/>
          </w:rPr>
          <w:t>数字孪生驱动的深度强化学习分布式储能集群协调调度与状态预测</w:t>
        </w:r>
      </w:hyperlink>
    </w:p>
    <w:p>
      <w:pPr>
        <w:spacing w:before="0" w:after="80"/>
      </w:pPr>
      <w:r>
        <w:rPr>
          <w:i/>
          <w:sz w:val="20"/>
        </w:rPr>
        <w:t>EN: Digital twin-driven deep reinforcement learning for coordinated scheduling and state prediction of distributed energy storage clusters</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89">
        <w:r>
          <w:rPr>
            <w:color w:val="1155CC"/>
            <w:u w:val="single"/>
          </w:rPr>
          <w:t>配电网共享储能的自适应风险差网络定价</w:t>
        </w:r>
      </w:hyperlink>
    </w:p>
    <w:p>
      <w:pPr>
        <w:spacing w:before="0" w:after="80"/>
      </w:pPr>
      <w:r>
        <w:rPr>
          <w:i/>
          <w:sz w:val="20"/>
        </w:rPr>
        <w:t>EN: Adaptive risk-difference-based network pricing for shared energy storage in distribution networks</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90">
        <w:r>
          <w:rPr>
            <w:color w:val="1155CC"/>
            <w:u w:val="single"/>
          </w:rPr>
          <w:t>地缘政治风险、绿色金融和环境技术动态如何塑造金砖国家经济体的能源三难困境？</w:t>
        </w:r>
      </w:hyperlink>
    </w:p>
    <w:p>
      <w:pPr>
        <w:spacing w:before="0" w:after="80"/>
      </w:pPr>
      <w:r>
        <w:rPr>
          <w:i/>
          <w:sz w:val="20"/>
        </w:rPr>
        <w:t>EN: How geopolitical risks, green finance, and environmental technologies dynamics shape energy trilemma in BRICS economies?</w:t>
      </w:r>
    </w:p>
    <w:p>
      <w:pPr>
        <w:spacing w:before="0" w:after="120"/>
      </w:pPr>
      <w:r>
        <w:rPr>
          <w:b/>
        </w:rPr>
        <w:t xml:space="preserve">Source: </w:t>
      </w:r>
      <w:r>
        <w:t>ScienceDirect Publication: Energy Policy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91">
        <w:r>
          <w:rPr>
            <w:color w:val="1155CC"/>
            <w:u w:val="single"/>
          </w:rPr>
          <w:t>具有领导者驱动的梦想优化算法的电动汽车充电站动态定价的随机模拟框架</w:t>
        </w:r>
      </w:hyperlink>
    </w:p>
    <w:p>
      <w:pPr>
        <w:spacing w:before="0" w:after="80"/>
      </w:pPr>
      <w:r>
        <w:rPr>
          <w:i/>
          <w:sz w:val="20"/>
        </w:rPr>
        <w:t>EN: A stochastic simulation framework for EV charging station dynamic pricing with leader-driven dream optimization algorithm</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92">
        <w:r>
          <w:rPr>
            <w:color w:val="1155CC"/>
            <w:u w:val="single"/>
          </w:rPr>
          <w:t>用于风力涡轮机尾流预测的物理信息神经网络：不同数据密度下的约束层次结构</w:t>
        </w:r>
      </w:hyperlink>
    </w:p>
    <w:p>
      <w:pPr>
        <w:spacing w:before="0" w:after="80"/>
      </w:pPr>
      <w:r>
        <w:rPr>
          <w:i/>
          <w:sz w:val="20"/>
        </w:rPr>
        <w:t>EN: Physics-informed neural networks for wind turbine wake prediction: Constraint hierarchy under varying data density</w:t>
      </w:r>
    </w:p>
    <w:p>
      <w:pPr>
        <w:spacing w:before="0" w:after="120"/>
      </w:pPr>
      <w:r>
        <w:rPr>
          <w:b/>
        </w:rPr>
        <w:t xml:space="preserve">Source: </w:t>
      </w:r>
      <w:r>
        <w:t>ScienceDirect Publication: Applied Energy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93">
        <w:r>
          <w:rPr>
            <w:color w:val="1155CC"/>
            <w:u w:val="single"/>
          </w:rPr>
          <w:t>通过电网现代化缓解能源贫困：中国特高压输电项目的微观证据</w:t>
        </w:r>
      </w:hyperlink>
    </w:p>
    <w:p>
      <w:pPr>
        <w:spacing w:before="0" w:after="80"/>
      </w:pPr>
      <w:r>
        <w:rPr>
          <w:i/>
          <w:sz w:val="20"/>
        </w:rPr>
        <w:t>EN: Alleviating energy poverty through grid modernization: Micro-evidence from China's ultra-high-voltage transmission projects</w:t>
      </w:r>
    </w:p>
    <w:p>
      <w:pPr>
        <w:spacing w:before="0" w:after="120"/>
      </w:pPr>
      <w:r>
        <w:rPr>
          <w:b/>
        </w:rPr>
        <w:t xml:space="preserve">Source: </w:t>
      </w:r>
      <w:r>
        <w:t>ScienceDirect Publication: Energy Policy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94">
        <w:r>
          <w:rPr>
            <w:color w:val="1155CC"/>
            <w:u w:val="single"/>
          </w:rPr>
          <w:t>绿色证书和碳排放交易如何影响清洁能源投资？进化博弈模型的证据</w:t>
        </w:r>
      </w:hyperlink>
    </w:p>
    <w:p>
      <w:pPr>
        <w:spacing w:before="0" w:after="80"/>
      </w:pPr>
      <w:r>
        <w:rPr>
          <w:i/>
          <w:sz w:val="20"/>
        </w:rPr>
        <w:t>EN: How do green certificate and carbon emission trading impact clean energy investment? Evidence from evolutionary game modeling</w:t>
      </w:r>
    </w:p>
    <w:p>
      <w:pPr>
        <w:spacing w:before="0" w:after="120"/>
      </w:pPr>
      <w:r>
        <w:rPr>
          <w:b/>
        </w:rPr>
        <w:t xml:space="preserve">Source: </w:t>
      </w:r>
      <w:r>
        <w:t>ScienceDirect Publication: Energy Policy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95">
        <w:r>
          <w:rPr>
            <w:color w:val="1155CC"/>
            <w:u w:val="single"/>
          </w:rPr>
          <w:t>协调财政弹性与低碳能源目标：斯里兰卡的碳调整燃料定价</w:t>
        </w:r>
      </w:hyperlink>
    </w:p>
    <w:p>
      <w:pPr>
        <w:spacing w:before="0" w:after="80"/>
      </w:pPr>
      <w:r>
        <w:rPr>
          <w:i/>
          <w:sz w:val="20"/>
        </w:rPr>
        <w:t>EN: Reconciling fiscal resilience with low-carbon energy goals: Sri Lanka's carbon-aligned fuel pricing</w:t>
      </w:r>
    </w:p>
    <w:p>
      <w:pPr>
        <w:spacing w:before="0" w:after="120"/>
      </w:pPr>
      <w:r>
        <w:rPr>
          <w:b/>
        </w:rPr>
        <w:t xml:space="preserve">Source: </w:t>
      </w:r>
      <w:r>
        <w:t>ScienceDirect Publication: Energy Policy</w:t>
      </w:r>
      <w:r>
        <w:t xml:space="preserve">    </w:t>
      </w:r>
      <w:r>
        <w:rPr>
          <w:b/>
        </w:rPr>
        <w:t xml:space="preserve">Pub date: </w:t>
      </w:r>
      <w:r>
        <w:t>2026-06-20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96">
        <w:r>
          <w:rPr>
            <w:color w:val="1155CC"/>
            <w:u w:val="single"/>
          </w:rPr>
          <w:t>手性碳点呈指数放大的圆偏振激光</w:t>
        </w:r>
      </w:hyperlink>
    </w:p>
    <w:p>
      <w:pPr>
        <w:spacing w:before="0" w:after="80"/>
      </w:pPr>
      <w:r>
        <w:rPr>
          <w:i/>
          <w:sz w:val="20"/>
        </w:rPr>
        <w:t>EN: Exponentially Amplified Circularly Polarized Lasing from Chiral Carbon Dots</w:t>
      </w:r>
    </w:p>
    <w:p>
      <w:pPr>
        <w:spacing w:before="0" w:after="120"/>
      </w:pPr>
      <w:r>
        <w:rPr>
          <w:b/>
        </w:rPr>
        <w:t xml:space="preserve">Source: </w:t>
      </w:r>
      <w:r>
        <w:t>Wiley: Advanced Materials: Table of Contents</w:t>
      </w:r>
      <w:r>
        <w:t xml:space="preserve">    </w:t>
      </w:r>
      <w:r>
        <w:rPr>
          <w:b/>
        </w:rPr>
        <w:t xml:space="preserve">Pub date: </w:t>
      </w:r>
      <w:r>
        <w:t>2026-06-20 05:34:24+00:00</w:t>
      </w:r>
      <w:r>
        <w:t xml:space="preserve">    </w:t>
      </w:r>
      <w:r>
        <w:rPr>
          <w:b/>
        </w:rPr>
        <w:t xml:space="preserve">DOI: </w:t>
      </w:r>
      <w:hyperlink r:id="rId297">
        <w:r>
          <w:rPr>
            <w:color w:val="1155CC"/>
            <w:u w:val="single"/>
          </w:rPr>
          <w:t>10.1002/adma.73789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圆偏振发光（CPL）提供独特的自旋选择信息，为开发高效的自旋相关光学器件和推进下一代光子技术提供了重要平台。然而，CPL 材料本质上较弱的手性光学响应极大地限制了其应用。为了解决这个问题，本研究提出了一种酸驱动碳点（CD）自组装成微螺旋结构的策略，这增加了不对称因子（</w:t>
      </w:r>
      <w:r>
        <w:t xml:space="preserve"> </w:t>
      </w:r>
      <w:r>
        <w:t>克</w:t>
      </w:r>
      <w:r>
        <w:t xml:space="preserve"> </w:t>
      </w:r>
      <w:r>
        <w:t>‐因子）小于 10</w:t>
      </w:r>
      <w:r>
        <w:t xml:space="preserve"> </w:t>
      </w:r>
      <w:r>
        <w:t>−5</w:t>
      </w:r>
      <w:r>
        <w:t xml:space="preserve"> </w:t>
      </w:r>
      <w:r>
        <w:t>至 6.5 × 10</w:t>
      </w:r>
      <w:r>
        <w:t xml:space="preserve"> </w:t>
      </w:r>
      <w:r>
        <w:t>−3</w:t>
      </w:r>
      <w:r>
        <w:t xml:space="preserve"> </w:t>
      </w:r>
      <w:r>
        <w:t>。因此，在CD领域首次使用光泵浦系统实现了圆偏振激光发射。的</w:t>
      </w:r>
      <w:r>
        <w:t xml:space="preserve"> </w:t>
      </w:r>
      <w:r>
        <w:t>克</w:t>
      </w:r>
      <w:r>
        <w:t xml:space="preserve"> </w:t>
      </w:r>
      <w:r>
        <w:t>‐因子指数放大至1.05，阈值低至28.91 mJ cm</w:t>
      </w:r>
      <w:r>
        <w:t xml:space="preserve"> </w:t>
      </w:r>
      <w:r>
        <w:t>−2</w:t>
      </w:r>
      <w:r>
        <w:t xml:space="preserve"> </w:t>
      </w:r>
      <w:r>
        <w:t>，并且该器件表现出优异的稳定性，运行 15 小时后没有明显的强度衰减。利用这种高偏振激光器，成功建立了快速响应的圆偏振激光逻辑门系统。这项研究提出了一种新颖的材料系统和设计模型，用于开发高性能、低成本、碳基手性激光器件和集成光学信息处理器件。</w:t>
      </w:r>
    </w:p>
    <w:p>
      <w:pPr>
        <w:spacing w:before="0" w:after="200" w:lineRule="auto" w:line="276"/>
      </w:pPr>
      <w:r>
        <w:rPr>
          <w:b/>
        </w:rPr>
        <w:t xml:space="preserve">Abstract (EN): </w:t>
      </w:r>
      <w:r>
        <w:t>Circularly polarized luminescence (CPL) provides unique spin‐selective information, offering a crucial platform for the development of efficient spin‐dependent optical devices and advancing next‐generation photonic technologies. However, the intrinsically weak chiroptical response of CPL materials significantly limits their applications. To address this issue, this study proposes a strategy for the acid‐driven self‐assembly of carbon dots (CDs) into microhelical structures, which increases the dissymmetry factor (</w:t>
      </w:r>
      <w:r>
        <w:t xml:space="preserve"> </w:t>
      </w:r>
      <w:r>
        <w:t>g</w:t>
      </w:r>
      <w:r>
        <w:t xml:space="preserve"> </w:t>
      </w:r>
      <w:r>
        <w:t>‐factor) from less than 10</w:t>
      </w:r>
      <w:r>
        <w:t xml:space="preserve"> </w:t>
      </w:r>
      <w:r>
        <w:t>−5</w:t>
      </w:r>
      <w:r>
        <w:t xml:space="preserve"> </w:t>
      </w:r>
      <w:r>
        <w:t>to 6.5 × 10</w:t>
      </w:r>
      <w:r>
        <w:t xml:space="preserve"> </w:t>
      </w:r>
      <w:r>
        <w:t>−3</w:t>
      </w:r>
      <w:r>
        <w:t xml:space="preserve"> </w:t>
      </w:r>
      <w:r>
        <w:t>. Thus, circularly polarized laser emission was achieved for the first time in the field of CDs using an optical pumping system. The</w:t>
      </w:r>
      <w:r>
        <w:t xml:space="preserve"> </w:t>
      </w:r>
      <w:r>
        <w:t>g</w:t>
      </w:r>
      <w:r>
        <w:t xml:space="preserve"> </w:t>
      </w:r>
      <w:r>
        <w:t>‐factor was exponentially amplified to 1.05, the threshold was as low as 28.91 mJ cm</w:t>
      </w:r>
      <w:r>
        <w:t xml:space="preserve"> </w:t>
      </w:r>
      <w:r>
        <w:t>−2</w:t>
      </w:r>
      <w:r>
        <w:t xml:space="preserve"> </w:t>
      </w:r>
      <w:r>
        <w:t>, and the device exhibited excellent stability with no significant intensity attenuation after 15 h of operation. Using this high‐polarization laser, a rapid‐response circularly polarized laser logic gate system was successfully established. This study presents a novel material system and design model for developing high‐performance, low‐cost, carbon‐based chiral laser devices and integrated optical information processing devices.</w:t>
      </w:r>
    </w:p>
    <w:p>
      <w:pPr>
        <w:spacing w:before="120" w:after="120"/>
      </w:pPr>
      <w:r>
        <w:rPr>
          <w:sz w:val="18"/>
        </w:rPr>
        <w:t>——————————————————————————————————————————————————————————————————————</w:t>
      </w:r>
    </w:p>
    <w:p>
      <w:pPr>
        <w:spacing w:before="160" w:after="40" w:line="240" w:lineRule="auto"/>
      </w:pPr>
      <w:r>
        <w:rPr>
          <w:b/>
        </w:rPr>
        <w:t xml:space="preserve">[16] </w:t>
      </w:r>
      <w:hyperlink r:id="rId298">
        <w:r>
          <w:rPr>
            <w:color w:val="1155CC"/>
            <w:u w:val="single"/>
          </w:rPr>
          <w:t>由几何编码液晶弹性体弧形附件驱动的高质心、多足软机器人</w:t>
        </w:r>
      </w:hyperlink>
    </w:p>
    <w:p>
      <w:pPr>
        <w:spacing w:before="0" w:after="80"/>
      </w:pPr>
      <w:r>
        <w:rPr>
          <w:i/>
          <w:sz w:val="20"/>
        </w:rPr>
        <w:t>EN: High Center‐of‐Mass, Multi‐Legged Soft Robots Powered by Geometrically Encoded Liquid Crystal Elastomer Arc Appendages</w:t>
      </w:r>
    </w:p>
    <w:p>
      <w:pPr>
        <w:spacing w:before="0" w:after="120"/>
      </w:pPr>
      <w:r>
        <w:rPr>
          <w:b/>
        </w:rPr>
        <w:t xml:space="preserve">Source: </w:t>
      </w:r>
      <w:r>
        <w:t>Wiley: Advanced Materials: Table of Contents</w:t>
      </w:r>
      <w:r>
        <w:t xml:space="preserve">    </w:t>
      </w:r>
      <w:r>
        <w:rPr>
          <w:b/>
        </w:rPr>
        <w:t xml:space="preserve">Pub date: </w:t>
      </w:r>
      <w:r>
        <w:t>2026-06-20 05:38:06+00:00</w:t>
      </w:r>
      <w:r>
        <w:t xml:space="preserve">    </w:t>
      </w:r>
      <w:r>
        <w:rPr>
          <w:b/>
        </w:rPr>
        <w:t xml:space="preserve">DOI: </w:t>
      </w:r>
      <w:hyperlink r:id="rId299">
        <w:r>
          <w:rPr>
            <w:color w:val="1155CC"/>
            <w:u w:val="single"/>
          </w:rPr>
          <w:t>10.1002/adma.73794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Biological appendages are paramount for locomotion by combining high compliance and versatile maneuverability.然而，大多数软机器人由于无附肢和单模式变形，很大程度上局限于接触表面，导致质心 (CoM) 较低和姿势/空间移动性有限。在这里，我们利用液晶弹性体（LCE）弧形纤维作为附件来创建软机器人，以模拟其生物对应物的复杂动作。对扭转和弯曲模式进行几何编码，使这些机器人能够通过自然升高的 CoM 和增强的机动性来超越表面约束。利用纤维变形恢复循环的动力学和热力学，我们分别受到章鱼和金轮蜘蛛运动的启发，将编码纤维集成到具有垂直和水平旋转对称性的 3D 打印身体中。 Our model can elevate, lower, tilt, and rotate with substantial postural freedom. It can also be engineered to roll at 1.3 body lengths per second, climb a 32.5° incline, and traverse unstructured terrain.这些壮举是由于凸起 CoM 固有的不稳定性和附肢的有效地面锚定所产生的大惯性而实现的。 These insights lay the foundation for customizable, high‐mobility soft robotic platforms that navigate complex real‐world environments.</w:t>
      </w:r>
    </w:p>
    <w:p>
      <w:pPr>
        <w:spacing w:before="0" w:after="200" w:lineRule="auto" w:line="276"/>
      </w:pPr>
      <w:r>
        <w:rPr>
          <w:b/>
        </w:rPr>
        <w:t xml:space="preserve">Abstract (EN): </w:t>
      </w:r>
      <w:r>
        <w:t>Biological appendages are paramount for locomotion by combining high compliance and versatile maneuverability. Yet most soft robots are largely confined to the contact surface due to their appendage‐free and single‐mode deformation, resulting in a low center‐of‐mass (CoM) and limited postural/spatial mobility. Here, we create soft robots utilizing liquid crystal elastomer (LCE) arc fibers as appendages to emulate the complex maneuvers of their biological counterparts. Geometrically encoding combined torsional and flexural modes allows these robots to transcend surface constraints via a naturally elevated CoM and enhanced maneuverability. Leveraging the kinetics and thermodynamics of the fiber deformation‐recovery cycles, we integrate the encoded fibers into the 3D‐printed body with vertical and horizontal rotational symmetries, inspired by the locomotion of the octopus and the golden wheel spider, respectively. Our model can elevate, lower, tilt, and rotate with substantial postural freedom. It can also be engineered to roll at 1.3 body lengths per second, climb a 32.5° incline, and traverse unstructured terrain. These feats are enabled by the large inertia generated by the inherent instability of the raised CoM and the effective ground anchoring of the appendages. These insights lay the foundation for customizable, high‐mobility soft robotic platforms that navigate complex real‐world environments.</w:t>
      </w:r>
    </w:p>
    <w:p>
      <w:pPr>
        <w:spacing w:before="120" w:after="120"/>
      </w:pPr>
      <w:r>
        <w:rPr>
          <w:sz w:val="18"/>
        </w:rPr>
        <w:t>——————————————————————————————————————————————————————————————————————</w:t>
      </w:r>
    </w:p>
    <w:p>
      <w:pPr>
        <w:spacing w:before="160" w:after="40" w:line="240" w:lineRule="auto"/>
      </w:pPr>
      <w:r>
        <w:rPr>
          <w:b/>
        </w:rPr>
        <w:t xml:space="preserve">[17] </w:t>
      </w:r>
      <w:hyperlink r:id="rId300">
        <w:r>
          <w:rPr>
            <w:color w:val="1155CC"/>
            <w:u w:val="single"/>
          </w:rPr>
          <w:t>用于声动力癌症治疗的自我免疫调节纳米增敏剂</w:t>
        </w:r>
      </w:hyperlink>
    </w:p>
    <w:p>
      <w:pPr>
        <w:spacing w:before="0" w:after="80"/>
      </w:pPr>
      <w:r>
        <w:rPr>
          <w:i/>
          <w:sz w:val="20"/>
        </w:rPr>
        <w:t>EN: A Self‐Immunoregulatory Nanosensitizer for Sonodynamic Cancer Therapy</w:t>
      </w:r>
    </w:p>
    <w:p>
      <w:pPr>
        <w:spacing w:before="0" w:after="120"/>
      </w:pPr>
      <w:r>
        <w:rPr>
          <w:b/>
        </w:rPr>
        <w:t xml:space="preserve">Source: </w:t>
      </w:r>
      <w:r>
        <w:t>Wiley: Advanced Materials: Table of Contents</w:t>
      </w:r>
      <w:r>
        <w:t xml:space="preserve">    </w:t>
      </w:r>
      <w:r>
        <w:rPr>
          <w:b/>
        </w:rPr>
        <w:t xml:space="preserve">Pub date: </w:t>
      </w:r>
      <w:r>
        <w:t>2026-06-20 05:40:34+00:00</w:t>
      </w:r>
      <w:r>
        <w:t xml:space="preserve">    </w:t>
      </w:r>
      <w:r>
        <w:rPr>
          <w:b/>
        </w:rPr>
        <w:t xml:space="preserve">DOI: </w:t>
      </w:r>
      <w:hyperlink r:id="rId301">
        <w:r>
          <w:rPr>
            <w:color w:val="1155CC"/>
            <w:u w:val="single"/>
          </w:rPr>
          <w:t>10.1002/adma.73775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声动力疗法 (SDT) 产生活性氧 (ROS)，用于无创、时空控制的肿瘤治疗。然而，ROS驱动的应激是否也会将肿瘤免疫信号重新编程为免疫抵抗，从而限制持久的抗肿瘤免疫，目前尚不清楚。这项研究揭示了免疫抵抗是临床使用的三大类 SDT 敏化剂共有的普遍机制。负载卟啉双胍的白蛋白纳米颗粒（POR-BG@Alb）被合理开发为一种自身免疫调节声敏剂，它诱导线粒体功能障碍，激活AMP激活蛋白激酶（AMPK）并抑制c-MYC，同时下调PD-L1和CD47，增强T细胞杀伤和巨噬细胞吞噬作用。与临床上使用的传统敏化剂在 SDT 后上调 PD-L1/CD47 并促进先天性和适应性免疫抑制不同，POR-BG@Alb 增强了声动力功效，同时限制了这种反馈。在原位膀胱癌、皮下异种移植物和原位乳腺癌模型中，POR-BG@Alb 介导的 SDT 抑制原发肿瘤，引发远隔抗转移作用，建立免疫记忆，并将皮下异种移植物的中位生存期从 17 天延长至 44 天。总的来说，这项研究揭示了 SDT 在诱导免疫抵抗方面以前未被认识到的作用，并表明 POR-BG@Alb 将强大的声动力活性与自我氧调节和自我免疫调节相结合，以实现持久的全身抗肿瘤免疫，提供了一种有前途的纳米治疗策略</w:t>
      </w:r>
    </w:p>
    <w:p>
      <w:pPr>
        <w:spacing w:before="0" w:after="200" w:lineRule="auto" w:line="276"/>
      </w:pPr>
      <w:r>
        <w:rPr>
          <w:b/>
        </w:rPr>
        <w:t xml:space="preserve">Abstract (EN): </w:t>
      </w:r>
      <w:r>
        <w:t>Sonodynamic therapy (SDT) generates reactive oxygen species (ROS) for noninvasive, spatiotemporally controlled tumor therapy. However, whether ROS‐driven stress also reprograms tumor immune signaling toward immune resistance, thereby limiting durable antitumor immunity, remains unclear. This study reveals that immune resistance is a universal mechanism shared by three major classes of clinically used SDT sensitizers. A porphyrin‐biguanide‐loaded albumin nanoparticle (POR‐BG@Alb) is rationally developed as a self‐immunoregulatory sonosensitizer, which induces mitochondrial dysfunction to activate AMP‐activated protein kinase (AMPK) and suppress c‐MYC, concomitantly downregulating PD‐L1 and CD47 and enhancing T‐cell killing and macrophage phagocytosis. Unlike clinically used traditional sensitizers that upregulate PD‐L1/CD47 after SDT and promote innate and adaptive immunosuppression, POR‐BG@Alb amplifies sonodynamic efficacy while limiting this feedback. Across orthotopic bladder cancer, subcutaneous xenograft, and orthotopic breast cancer models, POR‐BG@Alb‐mediated SDT suppresses primary tumors, elicits abscopal antimetastatic effects, establishes immune memory, and extends median survival in subcutaneous xenografts from 17 to 44 days. Collectively, this research unmasks a previously unappreciated role of SDT in inducing immune resistance and shows that POR‐BG@Alb integrates potent sonodynamic activity with self‐oxygen regulation and self‐immunoregulation to enable durable systemic antitumor immunity, providing a promising nanotherapeutic strategy for SDT clinical translation.</w:t>
      </w:r>
    </w:p>
    <w:p>
      <w:pPr>
        <w:spacing w:before="120" w:after="120"/>
      </w:pPr>
      <w:r>
        <w:rPr>
          <w:sz w:val="18"/>
        </w:rPr>
        <w:t>——————————————————————————————————————————————————————————————————————</w:t>
      </w:r>
    </w:p>
    <w:p>
      <w:pPr>
        <w:spacing w:before="160" w:after="40" w:line="240" w:lineRule="auto"/>
      </w:pPr>
      <w:r>
        <w:rPr>
          <w:b/>
        </w:rPr>
        <w:t xml:space="preserve">[18] </w:t>
      </w:r>
      <w:hyperlink r:id="rId302">
        <w:r>
          <w:rPr>
            <w:color w:val="1155CC"/>
            <w:u w:val="single"/>
          </w:rPr>
          <w:t>无过渡金属杂芳烃插入苯并环丁烯酮的 C─C 键</w:t>
        </w:r>
      </w:hyperlink>
    </w:p>
    <w:p>
      <w:pPr>
        <w:spacing w:before="0" w:after="80"/>
      </w:pPr>
      <w:r>
        <w:rPr>
          <w:i/>
          <w:sz w:val="20"/>
        </w:rPr>
        <w:t>EN: Transition Metal‐Free Heteroarene Insertion Into C─C Bonds of Benzocyclobutenones</w:t>
      </w:r>
    </w:p>
    <w:p>
      <w:pPr>
        <w:spacing w:before="0" w:after="120"/>
      </w:pPr>
      <w:r>
        <w:rPr>
          <w:b/>
        </w:rPr>
        <w:t xml:space="preserve">Source: </w:t>
      </w:r>
      <w:r>
        <w:t>Wiley: Angewandte Chemie International Edition: Table of Contents</w:t>
      </w:r>
      <w:r>
        <w:t xml:space="preserve">    </w:t>
      </w:r>
      <w:r>
        <w:rPr>
          <w:b/>
        </w:rPr>
        <w:t xml:space="preserve">Pub date: </w:t>
      </w:r>
      <w:r>
        <w:t>2026-06-20 09:09:37+00:00</w:t>
      </w:r>
      <w:r>
        <w:t xml:space="preserve">    </w:t>
      </w:r>
      <w:r>
        <w:rPr>
          <w:b/>
        </w:rPr>
        <w:t xml:space="preserve">DOI: </w:t>
      </w:r>
      <w:hyperlink r:id="rId303">
        <w:r>
          <w:rPr>
            <w:color w:val="1155CC"/>
            <w:u w:val="single"/>
          </w:rPr>
          <w:t>10.1002/anie.6371423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已经实现了五元杂芳烃插入苯并环丁烯酮（BCB）的C─C键中。该过程在温和条件下进行，不需要使用过渡金属催化剂。通过这种方法，可以有效地获得多种基于吲哚、7-氮杂吲哚、苯并噻吩、苯并呋喃和噻吩的稠合多环化合物，这些化合物与生物活性支架相关。该反应具有可扩展性，产物适用于各种后期衍生化。初步机理研究揭示了碱在促进 C─C 键断裂以生成反应性中间体方面的催化作用，该中间体可能参与随后与杂芳烃的脱芳香环加成。</w:t>
      </w:r>
    </w:p>
    <w:p>
      <w:pPr>
        <w:spacing w:before="0" w:after="200" w:lineRule="auto" w:line="276"/>
      </w:pPr>
      <w:r>
        <w:rPr>
          <w:b/>
        </w:rPr>
        <w:t xml:space="preserve">Abstract (EN): </w:t>
      </w:r>
      <w:r>
        <w:t>The insertion of five‐membered heteroarenes into the C─C bonds of benzocyclobutenones (BCBs) has been achieved. This process proceeds under mild conditions and does not require the use of a transition metal catalyst. A variety of fused polycyclic compounds based on indoles, 7‐azaindoles, benzothiophenes, benzofurans, and thiophenes relevant to bioactive scaffolds are efficiently accessed through this approach. The reaction is scalable, and the products are suitable for various late‐stage derivatizations. Preliminary mechanistic studies reveal a catalytic role of base in facilitating C─C bond cleavage to generate a reactive intermediate which likely engages in subsequent dearomative cycloaddition with heteroarenes.</w:t>
      </w:r>
    </w:p>
    <w:p>
      <w:pPr>
        <w:spacing w:before="120" w:after="120"/>
      </w:pPr>
      <w:r>
        <w:rPr>
          <w:sz w:val="18"/>
        </w:rPr>
        <w:t>——————————————————————————————————————————————————————————————————————</w:t>
      </w:r>
    </w:p>
    <w:p>
      <w:pPr>
        <w:spacing w:before="160" w:after="40" w:line="240" w:lineRule="auto"/>
      </w:pPr>
      <w:r>
        <w:rPr>
          <w:b/>
        </w:rPr>
        <w:t xml:space="preserve">[19] </w:t>
      </w:r>
      <w:hyperlink r:id="rId304">
        <w:r>
          <w:rPr>
            <w:color w:val="1155CC"/>
            <w:u w:val="single"/>
          </w:rPr>
          <w:t>通过线性配对电解对未保护的酚进行脱氧官能化</w:t>
        </w:r>
      </w:hyperlink>
    </w:p>
    <w:p>
      <w:pPr>
        <w:spacing w:before="0" w:after="80"/>
      </w:pPr>
      <w:r>
        <w:rPr>
          <w:i/>
          <w:sz w:val="20"/>
        </w:rPr>
        <w:t>EN: Deoxygenative Functionalization of Unprotected Phenols by Linear Paired Electrolysis</w:t>
      </w:r>
    </w:p>
    <w:p>
      <w:pPr>
        <w:spacing w:before="0" w:after="120"/>
      </w:pPr>
      <w:r>
        <w:rPr>
          <w:b/>
        </w:rPr>
        <w:t xml:space="preserve">Source: </w:t>
      </w:r>
      <w:r>
        <w:t>Wiley: Angewandte Chemie International Edition: Table of Contents</w:t>
      </w:r>
      <w:r>
        <w:t xml:space="preserve">    </w:t>
      </w:r>
      <w:r>
        <w:rPr>
          <w:b/>
        </w:rPr>
        <w:t xml:space="preserve">Pub date: </w:t>
      </w:r>
      <w:r>
        <w:t>2026-06-20 09:10:26+00:00</w:t>
      </w:r>
      <w:r>
        <w:t xml:space="preserve">    </w:t>
      </w:r>
      <w:r>
        <w:rPr>
          <w:b/>
        </w:rPr>
        <w:t xml:space="preserve">DOI: </w:t>
      </w:r>
      <w:hyperlink r:id="rId305">
        <w:r>
          <w:rPr>
            <w:color w:val="1155CC"/>
            <w:u w:val="single"/>
          </w:rPr>
          <w:t>10.1002/anie.9495829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苯酚是广泛用于有机合成的丰富的芳香族原料，通常从木质素和其他可再生资源中获得。然而，它们的惰性 C(sp</w:t>
      </w:r>
      <w:r>
        <w:rPr>
          <w:vertAlign w:val="subscript"/>
        </w:rPr>
        <w:t>2</w:t>
      </w:r>
      <w:r>
        <w:t>)─OH 键仍然是一个艰巨的挑战，通常需要额外的预活化步骤或苛刻的反应条件。在这里，我们报告了一种电化学策略，能够裂解酚类 C(sp</w:t>
      </w:r>
      <w:r>
        <w:rPr>
          <w:vertAlign w:val="subscript"/>
        </w:rPr>
        <w:t>2</w:t>
      </w:r>
      <w:r>
        <w:t>)─OH 在温和且可持续的条件下通过线性配对电解以形式直接的方式键合，从而允许加氢脱氧，并首次与烯烃进行脱氧烷基化。该方法与一系列官能团和复杂的分子结构兼容，包括天然产物衍生的苯酚和生物质衍生的苯酚，为苯酚增值提供了通用且可持续的平台，而不需要额外的操作将底物转化为其受保护的衍生物。机理研究表明，具有低氧化电位的氨基膦和水对于该策略的成功至关重要，能够原位形成关键的次膦酸盐中间体，随后在阴极直接或通过 2-甲基苯甲腈介导进行还原（</w:t>
      </w:r>
      <w:r>
        <w:t xml:space="preserve"> </w:t>
      </w:r>
      <w:r>
        <w:t>M4</w:t>
      </w:r>
      <w:r>
        <w:t xml:space="preserve"> </w:t>
      </w:r>
      <w:r>
        <w:t>）带动整体转型。</w:t>
      </w:r>
    </w:p>
    <w:p>
      <w:pPr>
        <w:spacing w:before="0" w:after="200" w:lineRule="auto" w:line="276"/>
      </w:pPr>
      <w:r>
        <w:rPr>
          <w:b/>
        </w:rPr>
        <w:t xml:space="preserve">Abstract (EN): </w:t>
      </w:r>
      <w:r>
        <w:t>Phenols are abundant aromatic feedstocks widely used in organic synthesis and are commonly obtained from lignin and other renewable resources. However, the functionalization of their inert C(sp</w:t>
      </w:r>
      <w:r>
        <w:rPr>
          <w:vertAlign w:val="subscript"/>
        </w:rPr>
        <w:t>2</w:t>
      </w:r>
      <w:r>
        <w:t>)─OH bonds remains a formidable challenge, often necessitating additional preactivation steps or harsh reaction conditions. Here, we report an electrochemical strategy that enables the cleavage of phenolic C(sp</w:t>
      </w:r>
      <w:r>
        <w:rPr>
          <w:vertAlign w:val="subscript"/>
        </w:rPr>
        <w:t>2</w:t>
      </w:r>
      <w:r>
        <w:t>)─OH bonds in a formally direct manner under mild and sustainable conditions through a linear paired electrolysis, allowing both hydrodeoxygenation and, for the first time, deoxygenative alkylation with alkenes. This method is compatible with a range of functional groups and complex molecular architectures, including natural product‐derived and biomass‐derived phenols, providing a general and sustainable platform for phenol valorization without requiring additional operations to convert the substrates into their protected derivatives. Mechanistic investigations reveal that an amino phosphine with low oxidation potential and water are essential to the success of this strategy, enabling the in situ formation of a key phosphinate intermediate that subsequently undergoes reduction at the cathode, either directly or mediated by 2‐methylbenzonitrile (</w:t>
      </w:r>
      <w:r>
        <w:t xml:space="preserve"> </w:t>
      </w:r>
      <w:r>
        <w:t>M4</w:t>
      </w:r>
      <w:r>
        <w:t xml:space="preserve"> </w:t>
      </w:r>
      <w:r>
        <w:t>) to drive the overall transformation.</w:t>
      </w:r>
    </w:p>
    <w:p>
      <w:pPr>
        <w:spacing w:before="120" w:after="120"/>
      </w:pPr>
      <w:r>
        <w:rPr>
          <w:sz w:val="18"/>
        </w:rPr>
        <w:t>——————————————————————————————————————————————————————————————————————</w:t>
      </w:r>
    </w:p>
    <w:p>
      <w:pPr>
        <w:spacing w:before="160" w:after="40" w:line="240" w:lineRule="auto"/>
      </w:pPr>
      <w:r>
        <w:rPr>
          <w:b/>
        </w:rPr>
        <w:t xml:space="preserve">[20] </w:t>
      </w:r>
      <w:hyperlink r:id="rId306">
        <w:r>
          <w:rPr>
            <w:color w:val="1155CC"/>
            <w:u w:val="single"/>
          </w:rPr>
          <w:t>连续的单晶到单晶的转变产生聚合物多晶型物</w:t>
        </w:r>
      </w:hyperlink>
    </w:p>
    <w:p>
      <w:pPr>
        <w:spacing w:before="0" w:after="80"/>
      </w:pPr>
      <w:r>
        <w:rPr>
          <w:i/>
          <w:sz w:val="20"/>
        </w:rPr>
        <w:t>EN: Sequential Single‐Crystal‐to‐Single‐Crystal Transformations Generate Polymer Polymorphs</w:t>
      </w:r>
    </w:p>
    <w:p>
      <w:pPr>
        <w:spacing w:before="0" w:after="120"/>
      </w:pPr>
      <w:r>
        <w:rPr>
          <w:b/>
        </w:rPr>
        <w:t xml:space="preserve">Source: </w:t>
      </w:r>
      <w:r>
        <w:t>Wiley: Angewandte Chemie International Edition: Table of Contents</w:t>
      </w:r>
      <w:r>
        <w:t xml:space="preserve">    </w:t>
      </w:r>
      <w:r>
        <w:rPr>
          <w:b/>
        </w:rPr>
        <w:t xml:space="preserve">Pub date: </w:t>
      </w:r>
      <w:r>
        <w:t>2026-06-20 09:13:06+00:00</w:t>
      </w:r>
      <w:r>
        <w:t xml:space="preserve">    </w:t>
      </w:r>
      <w:r>
        <w:rPr>
          <w:b/>
        </w:rPr>
        <w:t xml:space="preserve">DOI: </w:t>
      </w:r>
      <w:hyperlink r:id="rId307">
        <w:r>
          <w:rPr>
            <w:color w:val="1155CC"/>
            <w:u w:val="single"/>
          </w:rPr>
          <w:t>10.1002/anie.1002118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获得结构明确的聚合物多晶型物仍然极具挑战性，因为获得适合原子级结构表征的聚合物单晶非常罕见。 Here we report an unusual sequence of single‐crystal transformations in which a peptide monomer designed for topochemical azide–alkyne cycloaddition (TAAC) undergoes spontaneous single‐crystal‐to‐single‐crystal (SCSC) polymerization to form a 1,4‐triazolyl‐linked polymer, despite a crystal packing seemingly predisposed for the formation of a 1,5‐linked product.结构和计算分析表明，叠氮化物和炔烃基团的大幅旋转能够实现意想不到的区域选择性。长时间加热随后会触发聚合物晶体罕见的 SCSC 多晶型转变，产生具有独特链堆积和机械性能的第二种构象多晶型。这些结果表明，顺序单晶转化可以提供从单个单体晶体到聚合物多晶型物的受控访问。</w:t>
      </w:r>
    </w:p>
    <w:p>
      <w:pPr>
        <w:spacing w:before="0" w:after="200" w:lineRule="auto" w:line="276"/>
      </w:pPr>
      <w:r>
        <w:rPr>
          <w:b/>
        </w:rPr>
        <w:t xml:space="preserve">Abstract (EN): </w:t>
      </w:r>
      <w:r>
        <w:t>Accessing structurally well‐defined polymer polymorphs remains extremely challenging because obtaining polymer single crystals suitable for atomic‐level structural characterization is rare. Here we report an unusual sequence of single‐crystal transformations in which a peptide monomer designed for topochemical azide–alkyne cycloaddition (TAAC) undergoes spontaneous single‐crystal‐to‐single‐crystal (SCSC) polymerization to form a 1,4‐triazolyl‐linked polymer, despite a crystal packing seemingly predisposed for the formation of a 1,5‐linked product. Structural and computational analyses reveal that large‐amplitude rotations of the azide and alkyne groups enable the unexpected regioselectivity. Prolonged heating subsequently triggers a rare SCSC polymorphic transition of the polymer crystal, generating a second conformational polymorph with distinct chain packing and mechanical properties. These results demonstrate that sequential single‐crystal transformations can provide controlled access to polymer polymorphs from a single monomer crystal.</w:t>
      </w:r>
    </w:p>
    <w:p>
      <w:pPr>
        <w:spacing w:before="120" w:after="120"/>
      </w:pPr>
      <w:r>
        <w:rPr>
          <w:sz w:val="18"/>
        </w:rPr>
        <w:t>——————————————————————————————————————————————————————————————————————</w:t>
      </w:r>
    </w:p>
    <w:p>
      <w:pPr>
        <w:spacing w:before="160" w:after="40" w:line="240" w:lineRule="auto"/>
      </w:pPr>
      <w:r>
        <w:rPr>
          <w:b/>
        </w:rPr>
        <w:t xml:space="preserve">[21] </w:t>
      </w:r>
      <w:hyperlink r:id="rId308">
        <w:r>
          <w:rPr>
            <w:color w:val="1155CC"/>
            <w:u w:val="single"/>
          </w:rPr>
          <w:t>冷冻聚合过程中冷冻诱导的空间限制可实现水凝胶中稳定的本征发光</w:t>
        </w:r>
      </w:hyperlink>
    </w:p>
    <w:p>
      <w:pPr>
        <w:spacing w:before="0" w:after="80"/>
      </w:pPr>
      <w:r>
        <w:rPr>
          <w:i/>
          <w:sz w:val="20"/>
        </w:rPr>
        <w:t>EN: Freezing‐Induced Spatial Confinement During Cryo‐Polymerization Enables Stable Intrinsic Luminescence in Hydrogels</w:t>
      </w:r>
    </w:p>
    <w:p>
      <w:pPr>
        <w:spacing w:before="0" w:after="120"/>
      </w:pPr>
      <w:r>
        <w:rPr>
          <w:b/>
        </w:rPr>
        <w:t xml:space="preserve">Source: </w:t>
      </w:r>
      <w:r>
        <w:t>Wiley: Angewandte Chemie International Edition: Table of Contents</w:t>
      </w:r>
      <w:r>
        <w:t xml:space="preserve">    </w:t>
      </w:r>
      <w:r>
        <w:rPr>
          <w:b/>
        </w:rPr>
        <w:t xml:space="preserve">Pub date: </w:t>
      </w:r>
      <w:r>
        <w:t>2026-06-20 09:13:51+00:00</w:t>
      </w:r>
      <w:r>
        <w:t xml:space="preserve">    </w:t>
      </w:r>
      <w:r>
        <w:rPr>
          <w:b/>
        </w:rPr>
        <w:t xml:space="preserve">DOI: </w:t>
      </w:r>
      <w:hyperlink r:id="rId309">
        <w:r>
          <w:rPr>
            <w:color w:val="1155CC"/>
            <w:u w:val="single"/>
          </w:rPr>
          <w:t>10.1002/anie.8034701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水凝胶的本征发光对于软光电和信息安全应用来说是非常理想的，但在水合条件下仍然难以实现，因为在水合条件下，由于分子间相互作用被破坏，簇化触发发射（CTE）很容易被水猝灭。在这里，我们建立了一种简单而通用的策略，通过定向冷冻辅助冷冻聚合来克服这一限制。冰晶的各向异性生长在网络形成过程中施加了空间限制，驱动密集的链堆积并稳定基于酰胺的发射簇。这种结构限制抑制了非辐射衰变，即使在超高含水量（~90 wt%）下也能产生强大的 CTE 效应，有效克服了水合引起的猝灭的长期挑战。所得的聚丙烯酰胺水凝胶表现出稳定的蓝光发射、结构稳定性、优异的抗水淬性以及具有弹性和形状可编程性的机械柔软性，从而实现可重写和多级信息加密。更广泛地说，这项工作表明，富含水的软材料中稳定的本征发光可以通过结构限制而不是分子修饰来实现，为 CTE 系统提供了通用设计原理，并为将光学功能与软材料中的结构可编程性集成提供了新的机会。</w:t>
      </w:r>
    </w:p>
    <w:p>
      <w:pPr>
        <w:spacing w:before="0" w:after="200" w:lineRule="auto" w:line="276"/>
      </w:pPr>
      <w:r>
        <w:rPr>
          <w:b/>
        </w:rPr>
        <w:t xml:space="preserve">Abstract (EN): </w:t>
      </w:r>
      <w:r>
        <w:t>Intrinsic luminescence in polymer hydrogels is highly desirable for soft optoelectronic and information‐security applications, yet remains difficult to achieve under hydrated conditions, where clusterization‐triggered emission (CTE) is easily quenched by water due to disrupted intermolecular interactions. Here, we establish a facile and general strategy to overcome this limitation via directional freezing‐assisted cryo‐polymerization. The anisotropic growth of ice crystals imposes spatial confinement during network formation, driving dense chain packing and stabilizing amide‐based emissive clusters. Such structural confinement suppresses nonradiative decay and enables a robust CTE effect even at ultrahigh water content (∼90 wt%), effectively overcoming the long‐standing challenge of hydration‐induced quenching. The resulting polyacrylamide hydrogel exhibits stable blue emission, structural stability, excellent resistance to water‐induced quenching, and mechanical softness with elasticity and shape programmability, enabling rewritable and multilevel information encryption. More broadly, this work demonstrates that stable intrinsic luminescence in water‐rich soft materials can be achieved through structural confinement rather than molecular modification, providing a general design principle for CTE systems and opening new opportunities for integrating optical functionality with structural programmability in soft materials.</w:t>
      </w:r>
    </w:p>
    <w:p>
      <w:pPr>
        <w:spacing w:before="120" w:after="120"/>
      </w:pPr>
      <w:r>
        <w:rPr>
          <w:sz w:val="18"/>
        </w:rPr>
        <w:t>——————————————————————————————————————————————————————————————————————</w:t>
      </w:r>
    </w:p>
    <w:p>
      <w:pPr>
        <w:spacing w:before="160" w:after="40" w:line="240" w:lineRule="auto"/>
      </w:pPr>
      <w:r>
        <w:rPr>
          <w:b/>
        </w:rPr>
        <w:t xml:space="preserve">[22] </w:t>
      </w:r>
      <w:hyperlink r:id="rId310">
        <w:r>
          <w:rPr>
            <w:color w:val="1155CC"/>
            <w:u w:val="single"/>
          </w:rPr>
          <w:t>带有 N-杂环卡宾和柔性烷基链的铂 (II) 配合物中的蒸汽控制全色发光</w:t>
        </w:r>
      </w:hyperlink>
    </w:p>
    <w:p>
      <w:pPr>
        <w:spacing w:before="0" w:after="80"/>
      </w:pPr>
      <w:r>
        <w:rPr>
          <w:i/>
          <w:sz w:val="20"/>
        </w:rPr>
        <w:t>EN: Vapor‐Controlled Full‐Color Luminescence in Platinum(II) Complexes Bearing N‐Heterocyclic Carbene and a Flexible Alkyl Chain</w:t>
      </w:r>
    </w:p>
    <w:p>
      <w:pPr>
        <w:spacing w:before="0" w:after="120"/>
      </w:pPr>
      <w:r>
        <w:rPr>
          <w:b/>
        </w:rPr>
        <w:t xml:space="preserve">Source: </w:t>
      </w:r>
      <w:r>
        <w:t>Wiley: Angewandte Chemie International Edition: Table of Contents</w:t>
      </w:r>
      <w:r>
        <w:t xml:space="preserve">    </w:t>
      </w:r>
      <w:r>
        <w:rPr>
          <w:b/>
        </w:rPr>
        <w:t xml:space="preserve">Pub date: </w:t>
      </w:r>
      <w:r>
        <w:t>2026-06-20 09:16:15+00:00</w:t>
      </w:r>
      <w:r>
        <w:t xml:space="preserve">    </w:t>
      </w:r>
      <w:r>
        <w:rPr>
          <w:b/>
        </w:rPr>
        <w:t xml:space="preserve">DOI: </w:t>
      </w:r>
      <w:hyperlink r:id="rId311">
        <w:r>
          <w:rPr>
            <w:color w:val="1155CC"/>
            <w:u w:val="single"/>
          </w:rPr>
          <w:t>10.1002/anie.9229483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带有芳香配体的铂（II）配合物引起了广泛的关注，因为它们表现出高效的刺激响应性发光，这种发光源自堆叠时的三线态金属-金属-配体电荷转移态，这使得铂离子之间能够发生电子相互作用。然而，通过外部刺激在单一系统中实现全色发光变化仍然具有挑战性。在这项工作中，我们合成了一种柔性铂（II）复合物，具有</w:t>
      </w:r>
      <w:r>
        <w:t xml:space="preserve"> </w:t>
      </w:r>
      <w:r>
        <w:t>氮</w:t>
      </w:r>
      <w:r>
        <w:t xml:space="preserve"> </w:t>
      </w:r>
      <w:r>
        <w:t>‐具有中等大小烷基链（戊基）的杂环卡宾配体，[Pt(CN)</w:t>
      </w:r>
      <w:r>
        <w:rPr>
          <w:vertAlign w:val="subscript"/>
        </w:rPr>
        <w:t>2</w:t>
      </w:r>
      <w:r>
        <w:t>(C5im-Mepy)](C5im-MepyH</w:t>
      </w:r>
      <w:r>
        <w:t xml:space="preserve"> </w:t>
      </w:r>
      <w:r>
        <w:t>+</w:t>
      </w:r>
      <w:r>
        <w:t xml:space="preserve"> </w:t>
      </w:r>
      <w:r>
        <w:t>= 3-戊基-1-(4-甲基-(2-吡啶基))-1</w:t>
      </w:r>
      <w:r>
        <w:t xml:space="preserve"> </w:t>
      </w:r>
      <w:r>
        <w:t>H</w:t>
      </w:r>
      <w:r>
        <w:t xml:space="preserve"> </w:t>
      </w:r>
      <w:r>
        <w:t>‐咪唑鎓，</w:t>
      </w:r>
      <w:r>
        <w:t xml:space="preserve"> </w:t>
      </w:r>
      <w:r>
        <w:t>五碳化铂</w:t>
      </w:r>
      <w:r>
        <w:t xml:space="preserve"> </w:t>
      </w:r>
      <w:r>
        <w:t>），从而开发出一种能够响应各种蒸汽而显示全色发光变化的材料。戊基在晶体内采用不同的构象，从而能够在单个络合物中构建多个堆叠结构，这是传统铂 (II) 络合物无法实现的功能。此外，可逆结构转变</w:t>
      </w:r>
      <w:r>
        <w:t xml:space="preserve"> </w:t>
      </w:r>
      <w:r>
        <w:t>五碳化铂</w:t>
      </w:r>
      <w:r>
        <w:t xml:space="preserve"> </w:t>
      </w:r>
      <w:r>
        <w:t>，导致明显的发光颜色变化，是通过受控的蒸气暴露在固态下引起的。详细的结构和光谱研究阐明了全色汽致变色背后​​的机制——在该系统中首次实现</w:t>
      </w:r>
    </w:p>
    <w:p>
      <w:pPr>
        <w:spacing w:before="0" w:after="200" w:lineRule="auto" w:line="276"/>
      </w:pPr>
      <w:r>
        <w:rPr>
          <w:b/>
        </w:rPr>
        <w:t xml:space="preserve">Abstract (EN): </w:t>
      </w:r>
      <w:r>
        <w:t>Platinum(II) complexes bearing aromatic ligands have garnered extensive attention as they exhibit highly efficient, stimulus‐responsive luminescence originating from the triplet metal–metal‐to‐ligand charge transfer state when stacked, which enables electronic interactions between platinum ions. However, achieving full‐color luminescence changes in a single system through external stimuli remains challenging. In this work, we synthesized a flexible platinum(II) complex bearing an</w:t>
      </w:r>
      <w:r>
        <w:t xml:space="preserve"> </w:t>
      </w:r>
      <w:r>
        <w:t>N</w:t>
      </w:r>
      <w:r>
        <w:t xml:space="preserve"> </w:t>
      </w:r>
      <w:r>
        <w:t>‐heterocyclic carbene ligand with a medium‐sized alkyl chain (pentyl group), [Pt(CN)</w:t>
      </w:r>
      <w:r>
        <w:rPr>
          <w:vertAlign w:val="subscript"/>
        </w:rPr>
        <w:t>2</w:t>
      </w:r>
      <w:r>
        <w:t>(C5im‐Mepy)](C5im‐MepyH</w:t>
      </w:r>
      <w:r>
        <w:t xml:space="preserve"> </w:t>
      </w:r>
      <w:r>
        <w:t>+</w:t>
      </w:r>
      <w:r>
        <w:t xml:space="preserve"> </w:t>
      </w:r>
      <w:r>
        <w:t>= 3‐pentyl‐1‐(4‐methyl‐(2‐pyridinyl))‐1</w:t>
      </w:r>
      <w:r>
        <w:t xml:space="preserve"> </w:t>
      </w:r>
      <w:r>
        <w:t>H</w:t>
      </w:r>
      <w:r>
        <w:t xml:space="preserve"> </w:t>
      </w:r>
      <w:r>
        <w:t>‐imidazolium,</w:t>
      </w:r>
      <w:r>
        <w:t xml:space="preserve"> </w:t>
      </w:r>
      <w:r>
        <w:t>PtC5</w:t>
      </w:r>
      <w:r>
        <w:t xml:space="preserve"> </w:t>
      </w:r>
      <w:r>
        <w:t>), thereby developing a material that displays full‐color luminescence changes in response to various vapors. The pentyl group adopted diverse conformations within the crystal, enabling the construction of multiple stacking structures within a single complex—a feature unattainable with conventional platinum(II) complexes. Furthermore, reversible structural transformations of</w:t>
      </w:r>
      <w:r>
        <w:t xml:space="preserve"> </w:t>
      </w:r>
      <w:r>
        <w:t>PtC5</w:t>
      </w:r>
      <w:r>
        <w:t xml:space="preserve"> </w:t>
      </w:r>
      <w:r>
        <w:t>, resulting in distinct luminescence color changes, were induced in the solid state through controlled vapor exposure. Detailed structural and spectroscopic studies elucidated the mechanism underlying the full‐color vapochromism—achieved for the first time in this system—, and the influence of the alkyl chain was clarified through a comparison with related complexes. This research provides valuable guidelines for developing advanced luminescent materials with precise and diversely tunable features.</w:t>
      </w:r>
    </w:p>
    <w:p>
      <w:pPr>
        <w:spacing w:before="120" w:after="120"/>
      </w:pPr>
      <w:r>
        <w:rPr>
          <w:sz w:val="18"/>
        </w:rPr>
        <w:t>——————————————————————————————————————————————————————————————————————</w:t>
      </w:r>
    </w:p>
    <w:p>
      <w:pPr>
        <w:spacing w:before="160" w:after="40" w:line="240" w:lineRule="auto"/>
      </w:pPr>
      <w:r>
        <w:rPr>
          <w:b/>
        </w:rPr>
        <w:t xml:space="preserve">[23] </w:t>
      </w:r>
      <w:hyperlink r:id="rId312">
        <w:r>
          <w:rPr>
            <w:color w:val="1155CC"/>
            <w:u w:val="single"/>
          </w:rPr>
          <w:t>通过 Photo-HAT/镍双重催化进行区域选择性、立体选择性和对映选择性 C(sp3)─H 单氟烯基化</w:t>
        </w:r>
      </w:hyperlink>
    </w:p>
    <w:p>
      <w:pPr>
        <w:spacing w:before="0" w:after="80"/>
      </w:pPr>
      <w:r>
        <w:rPr>
          <w:i/>
          <w:sz w:val="20"/>
        </w:rPr>
        <w:t>EN: Regio‐, Stereo‐, and Enantioselective C(sp3)─H Monofluoroalkenylation via Photo‐HAT/Nickel Dual Catalysis</w:t>
      </w:r>
    </w:p>
    <w:p>
      <w:pPr>
        <w:spacing w:before="0" w:after="120"/>
      </w:pPr>
      <w:r>
        <w:rPr>
          <w:b/>
        </w:rPr>
        <w:t xml:space="preserve">Source: </w:t>
      </w:r>
      <w:r>
        <w:t>Wiley: Angewandte Chemie International Edition: Table of Contents</w:t>
      </w:r>
      <w:r>
        <w:t xml:space="preserve">    </w:t>
      </w:r>
      <w:r>
        <w:rPr>
          <w:b/>
        </w:rPr>
        <w:t xml:space="preserve">Pub date: </w:t>
      </w:r>
      <w:r>
        <w:t>2026-06-20 09:17:38+00:00</w:t>
      </w:r>
      <w:r>
        <w:t xml:space="preserve">    </w:t>
      </w:r>
      <w:r>
        <w:rPr>
          <w:b/>
        </w:rPr>
        <w:t xml:space="preserve">DOI: </w:t>
      </w:r>
      <w:hyperlink r:id="rId313">
        <w:r>
          <w:rPr>
            <w:color w:val="1155CC"/>
            <w:u w:val="single"/>
          </w:rPr>
          <w:t>10.1002/anie.1226201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C(sp的立体选择性功能化</w:t>
      </w:r>
      <w:r>
        <w:rPr>
          <w:vertAlign w:val="subscript"/>
        </w:rPr>
        <w:t>3</w:t>
      </w:r>
      <w:r>
        <w:t>)─碳氢化合物中的氢键构成了获取高价值手性分子的革命性策略。尽管该领域取得了显着进展，但对映选择性 C(sp</w:t>
      </w:r>
      <w:r>
        <w:rPr>
          <w:vertAlign w:val="subscript"/>
        </w:rPr>
        <w:t>3</w:t>
      </w:r>
      <w:r>
        <w:t>)-H 单氟烯基化至今仍未被探索。在此，我们报道了第一个区域选择性、立体选择性和对映选择性的苄基 C(sp</w:t>
      </w:r>
      <w:r>
        <w:rPr>
          <w:vertAlign w:val="subscript"/>
        </w:rPr>
        <w:t>3</w:t>
      </w:r>
      <w:r>
        <w:t>)─H 单氟烯基化，由十钨酸盐介导的氢原子转移 (HAT)/镍双催化系统实现。该方案利用廉价、容易获得且易于获取的碳氢化合物</w:t>
      </w:r>
      <w:r>
        <w:t xml:space="preserve"> </w:t>
      </w:r>
      <w:r>
        <w:t>宝石</w:t>
      </w:r>
      <w:r>
        <w:t xml:space="preserve"> </w:t>
      </w:r>
      <w:r>
        <w:t>‐二氟烯烃作为起始材料，提供广泛的结构多样化（</w:t>
      </w:r>
      <w:r>
        <w:t xml:space="preserve"> </w:t>
      </w:r>
      <w:r>
        <w:t>乙</w:t>
      </w:r>
      <w:r>
        <w:t xml:space="preserve"> </w:t>
      </w:r>
      <w:r>
        <w:t>)-单氟烯烃带有立构烯丙基中心，是合成化学中的通用结构单元。</w:t>
      </w:r>
    </w:p>
    <w:p>
      <w:pPr>
        <w:spacing w:before="0" w:after="200" w:lineRule="auto" w:line="276"/>
      </w:pPr>
      <w:r>
        <w:rPr>
          <w:b/>
        </w:rPr>
        <w:t xml:space="preserve">Abstract (EN): </w:t>
      </w:r>
      <w:r>
        <w:t>Stereoselective functionalization of C(sp</w:t>
      </w:r>
      <w:r>
        <w:rPr>
          <w:vertAlign w:val="subscript"/>
        </w:rPr>
        <w:t>3</w:t>
      </w:r>
      <w:r>
        <w:t>)─H bonds in hydrocarbons constitutes a revolutionary strategy for accessing high‐value chiral molecules. Despite remarkable advances in this field, enantioselective C(sp</w:t>
      </w:r>
      <w:r>
        <w:rPr>
          <w:vertAlign w:val="subscript"/>
        </w:rPr>
        <w:t>3</w:t>
      </w:r>
      <w:r>
        <w:t>)‐H monofluoroalkenylation remains unexplored to date. Herein, we report the first regio‐, stereo‐, and enantioselective benzylic C(sp</w:t>
      </w:r>
      <w:r>
        <w:rPr>
          <w:vertAlign w:val="subscript"/>
        </w:rPr>
        <w:t>3</w:t>
      </w:r>
      <w:r>
        <w:t>)─H monofluoroalkenylation, enabled by a decatungstate‐mediated hydrogen atom transfer (HAT)/nickel dual‐catalytic system. This protocol utilizes inexpensive, readily available hydrocarbons and easily accessible</w:t>
      </w:r>
      <w:r>
        <w:t xml:space="preserve"> </w:t>
      </w:r>
      <w:r>
        <w:t>gem</w:t>
      </w:r>
      <w:r>
        <w:t xml:space="preserve"> </w:t>
      </w:r>
      <w:r>
        <w:t>‐difluoroalkenes as starting materials, delivering a broad array of structurally diverse (</w:t>
      </w:r>
      <w:r>
        <w:t xml:space="preserve"> </w:t>
      </w:r>
      <w:r>
        <w:t>E</w:t>
      </w:r>
      <w:r>
        <w:t xml:space="preserve"> </w:t>
      </w:r>
      <w:r>
        <w:t>)‐monofluoroalkenes bearing stereogenic allylic centers, versatile building blocks in synthetic chemistry.</w:t>
      </w:r>
    </w:p>
    <w:p>
      <w:pPr>
        <w:spacing w:before="120" w:after="120"/>
      </w:pPr>
      <w:r>
        <w:rPr>
          <w:sz w:val="18"/>
        </w:rPr>
        <w:t>——————————————————————————————————————————————————————————————————————</w:t>
      </w:r>
    </w:p>
    <w:p>
      <w:pPr>
        <w:spacing w:before="160" w:after="40" w:line="240" w:lineRule="auto"/>
      </w:pPr>
      <w:r>
        <w:rPr>
          <w:b/>
        </w:rPr>
        <w:t xml:space="preserve">[24] </w:t>
      </w:r>
      <w:hyperlink r:id="rId314">
        <w:r>
          <w:rPr>
            <w:color w:val="1155CC"/>
            <w:u w:val="single"/>
          </w:rPr>
          <w:t>V2O5表面电子结构抑制乙烷过度氧化，使乙烯收率达到65%</w:t>
        </w:r>
      </w:hyperlink>
    </w:p>
    <w:p>
      <w:pPr>
        <w:spacing w:before="0" w:after="80"/>
      </w:pPr>
      <w:r>
        <w:rPr>
          <w:i/>
          <w:sz w:val="20"/>
        </w:rPr>
        <w:t>EN: V2O5 Surface Electronic Structure Suppresses Ethane Over‐Oxidation, Enabling 65% Ethylene Yield</w:t>
      </w:r>
    </w:p>
    <w:p>
      <w:pPr>
        <w:spacing w:before="0" w:after="120"/>
      </w:pPr>
      <w:r>
        <w:rPr>
          <w:b/>
        </w:rPr>
        <w:t xml:space="preserve">Source: </w:t>
      </w:r>
      <w:r>
        <w:t>Wiley: Angewandte Chemie International Edition: Table of Contents</w:t>
      </w:r>
      <w:r>
        <w:t xml:space="preserve">    </w:t>
      </w:r>
      <w:r>
        <w:rPr>
          <w:b/>
        </w:rPr>
        <w:t xml:space="preserve">Pub date: </w:t>
      </w:r>
      <w:r>
        <w:t>2026-06-20 09:19:40+00:00</w:t>
      </w:r>
      <w:r>
        <w:t xml:space="preserve">    </w:t>
      </w:r>
      <w:r>
        <w:rPr>
          <w:b/>
        </w:rPr>
        <w:t xml:space="preserve">DOI: </w:t>
      </w:r>
      <w:hyperlink r:id="rId315">
        <w:r>
          <w:rPr>
            <w:color w:val="1155CC"/>
            <w:u w:val="single"/>
          </w:rPr>
          <w:t>10.1002/anie.8633105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氧化物电解池（SOEC）中乙烷的电化学氧化脱氢（ODH）提供了一种生产乙烯的节能途径，但由于过度氧化而面临转化率和选择性之间的权衡。传统的电压-电流调节可以抑制深度氧化，但不可避免地会影响乙烷转化。在这里，我们通过沉积 V 来设计表面电子结构</w:t>
      </w:r>
      <w:r>
        <w:rPr>
          <w:vertAlign w:val="subscript"/>
        </w:rPr>
        <w:t>2</w:t>
      </w:r>
      <w:r>
        <w:t>氧</w:t>
      </w:r>
      <w:r>
        <w:rPr>
          <w:vertAlign w:val="subscript"/>
        </w:rPr>
        <w:t>5</w:t>
      </w:r>
      <w:r>
        <w:t>SrFe层</w:t>
      </w:r>
      <w:r>
        <w:t xml:space="preserve"> </w:t>
      </w:r>
      <w:r>
        <w:t>0.9</w:t>
      </w:r>
      <w:r>
        <w:t xml:space="preserve"> </w:t>
      </w:r>
      <w:r>
        <w:t>钛</w:t>
      </w:r>
      <w:r>
        <w:t xml:space="preserve"> </w:t>
      </w:r>
      <w:r>
        <w:t>0.1</w:t>
      </w:r>
      <w:r>
        <w:t xml:space="preserve"> </w:t>
      </w:r>
      <w:r>
        <w:t>氧</w:t>
      </w:r>
      <w:r>
        <w:t xml:space="preserve"> </w:t>
      </w:r>
      <w:r>
        <w:t>3−δ</w:t>
      </w:r>
      <w:r>
        <w:t xml:space="preserve"> </w:t>
      </w:r>
      <w:r>
        <w:t>(STF)，引入比 STF (‐1.49/‐4.52 eV) 更接近费米能级的本征 O 2p (‐1.33 eV) 和 V 3d (‐0.18 eV) 态。密度泛函理论和原位红外光谱揭示了三种协同效应：增强乙烷吸附（Δ</w:t>
      </w:r>
      <w:r>
        <w:t xml:space="preserve"> </w:t>
      </w:r>
      <w:r>
        <w:t>乙</w:t>
      </w:r>
      <w:r>
        <w:t xml:space="preserve"> </w:t>
      </w:r>
      <w:r>
        <w:t>广告</w:t>
      </w:r>
      <w:r>
        <w:t xml:space="preserve"> </w:t>
      </w:r>
      <w:r>
        <w:t>‐0.33 vs. ‐0.11 eV)，降低第一脱氢势垒 (Δ</w:t>
      </w:r>
      <w:r>
        <w:t xml:space="preserve"> </w:t>
      </w:r>
      <w:r>
        <w:t>G</w:t>
      </w:r>
      <w:r>
        <w:rPr>
          <w:vertAlign w:val="subscript"/>
        </w:rPr>
        <w:t>1</w:t>
      </w:r>
      <w:r>
        <w:t>1.13 vs. 1.15 eV），并促进乙烯解吸（（Δ</w:t>
      </w:r>
      <w:r>
        <w:t xml:space="preserve"> </w:t>
      </w:r>
      <w:r>
        <w:t>G</w:t>
      </w:r>
      <w:r>
        <w:t xml:space="preserve"> </w:t>
      </w:r>
      <w:r>
        <w:t>德斯</w:t>
      </w:r>
      <w:r>
        <w:t xml:space="preserve"> </w:t>
      </w:r>
      <w:r>
        <w:t>‐Δ</w:t>
      </w:r>
      <w:r>
        <w:t xml:space="preserve"> </w:t>
      </w:r>
      <w:r>
        <w:t>G</w:t>
      </w:r>
      <w:r>
        <w:rPr>
          <w:vertAlign w:val="subscript"/>
        </w:rPr>
        <w:t>3</w:t>
      </w:r>
      <w:r>
        <w:t>) ‐4.98 对比 ‐1.92 eV)。优化后的阳极在 750°C 下的产率达 65%，选择性达 90%，比未改性的 STF 高出 10%。这项工作强调了能带中心工程作为调节碳氢化合物电极反应的有前途的设计概念。</w:t>
      </w:r>
    </w:p>
    <w:p>
      <w:pPr>
        <w:spacing w:before="0" w:after="200" w:lineRule="auto" w:line="276"/>
      </w:pPr>
      <w:r>
        <w:rPr>
          <w:b/>
        </w:rPr>
        <w:t xml:space="preserve">Abstract (EN): </w:t>
      </w:r>
      <w:r>
        <w:t>Electrochemical oxidative dehydrogenation (ODH) of ethane in solid oxide electrolysis cells (SOECs) offers an energy‐efficient route to ethylene but faces a trade‐off between conversion and selectivity due to over‐oxidation. Conventional voltage–current regulation can suppress deep oxidation but inevitably compromises ethane conversion. Here, we engineer surface electronic structures by depositing a V</w:t>
      </w:r>
      <w:r>
        <w:rPr>
          <w:vertAlign w:val="subscript"/>
        </w:rPr>
        <w:t>2</w:t>
      </w:r>
      <w:r>
        <w:t>O</w:t>
      </w:r>
      <w:r>
        <w:rPr>
          <w:vertAlign w:val="subscript"/>
        </w:rPr>
        <w:t>5</w:t>
      </w:r>
      <w:r>
        <w:t>layer on SrFe</w:t>
      </w:r>
      <w:r>
        <w:t xml:space="preserve"> </w:t>
      </w:r>
      <w:r>
        <w:t>0.9</w:t>
      </w:r>
      <w:r>
        <w:t xml:space="preserve"> </w:t>
      </w:r>
      <w:r>
        <w:t>Ti</w:t>
      </w:r>
      <w:r>
        <w:t xml:space="preserve"> </w:t>
      </w:r>
      <w:r>
        <w:t>0.1</w:t>
      </w:r>
      <w:r>
        <w:t xml:space="preserve"> </w:t>
      </w:r>
      <w:r>
        <w:t>O</w:t>
      </w:r>
      <w:r>
        <w:t xml:space="preserve"> </w:t>
      </w:r>
      <w:r>
        <w:t>3−δ</w:t>
      </w:r>
      <w:r>
        <w:t xml:space="preserve"> </w:t>
      </w:r>
      <w:r>
        <w:t>(STF), introducing intrinsic O 2p (‐1.33 eV) and V 3d (‐0.18 eV) states closer to the Fermi level than in STF (‐1.49/‐4.52 eV). Density functional theory and operando infrared spectroscopy reveal three synergistic effects: enhanced ethane adsorption (Δ</w:t>
      </w:r>
      <w:r>
        <w:t xml:space="preserve"> </w:t>
      </w:r>
      <w:r>
        <w:t>E</w:t>
      </w:r>
      <w:r>
        <w:t xml:space="preserve"> </w:t>
      </w:r>
      <w:r>
        <w:t>ads</w:t>
      </w:r>
      <w:r>
        <w:t xml:space="preserve"> </w:t>
      </w:r>
      <w:r>
        <w:t>‐0.33 vs. ‐0.11 eV), reduced first dehydrogenation barrier (Δ</w:t>
      </w:r>
      <w:r>
        <w:t xml:space="preserve"> </w:t>
      </w:r>
      <w:r>
        <w:t>G</w:t>
      </w:r>
      <w:r>
        <w:rPr>
          <w:vertAlign w:val="subscript"/>
        </w:rPr>
        <w:t>1</w:t>
      </w:r>
      <w:r>
        <w:t>1.13 vs. 1.15 eV), and promoted ethylene desorption ((Δ</w:t>
      </w:r>
      <w:r>
        <w:t xml:space="preserve"> </w:t>
      </w:r>
      <w:r>
        <w:t>G</w:t>
      </w:r>
      <w:r>
        <w:t xml:space="preserve"> </w:t>
      </w:r>
      <w:r>
        <w:t>des</w:t>
      </w:r>
      <w:r>
        <w:t xml:space="preserve"> </w:t>
      </w:r>
      <w:r>
        <w:t>‐Δ</w:t>
      </w:r>
      <w:r>
        <w:t xml:space="preserve"> </w:t>
      </w:r>
      <w:r>
        <w:t>G</w:t>
      </w:r>
      <w:r>
        <w:rPr>
          <w:vertAlign w:val="subscript"/>
        </w:rPr>
        <w:t>3</w:t>
      </w:r>
      <w:r>
        <w:t>) ‐4.98 vs. ‐1.92 eV). The optimized anode delivers 65% yield and 90% selectivity at 750°C, exceeding unmodified STF by 10%. This work highlights band‐center engineering as a promising design concept for regulating hydrocarbon electrode reactions.</w:t>
      </w:r>
    </w:p>
    <w:p>
      <w:pPr>
        <w:spacing w:before="120" w:after="120"/>
      </w:pPr>
      <w:r>
        <w:rPr>
          <w:sz w:val="18"/>
        </w:rPr>
        <w:t>——————————————————————————————————————————————————————————————————————</w:t>
      </w:r>
    </w:p>
    <w:p>
      <w:pPr>
        <w:spacing w:before="160" w:after="40" w:line="240" w:lineRule="auto"/>
      </w:pPr>
      <w:r>
        <w:rPr>
          <w:b/>
        </w:rPr>
        <w:t xml:space="preserve">[25] </w:t>
      </w:r>
      <w:hyperlink r:id="rId316">
        <w:r>
          <w:rPr>
            <w:color w:val="1155CC"/>
            <w:u w:val="single"/>
          </w:rPr>
          <w:t>富含活性金属的金属间化合物作为分层间隙电子态的平台</w:t>
        </w:r>
      </w:hyperlink>
    </w:p>
    <w:p>
      <w:pPr>
        <w:spacing w:before="0" w:after="80"/>
      </w:pPr>
      <w:r>
        <w:rPr>
          <w:i/>
          <w:sz w:val="20"/>
        </w:rPr>
        <w:t>EN: Active‐Metal‐Rich Intermetallics as a Platform for Tiered Interstitial Electronic States</w:t>
      </w:r>
    </w:p>
    <w:p>
      <w:pPr>
        <w:spacing w:before="0" w:after="120"/>
      </w:pPr>
      <w:r>
        <w:rPr>
          <w:b/>
        </w:rPr>
        <w:t xml:space="preserve">Source: </w:t>
      </w:r>
      <w:r>
        <w:t>Wiley: Advanced Materials: Table of Contents</w:t>
      </w:r>
      <w:r>
        <w:t xml:space="preserve">    </w:t>
      </w:r>
      <w:r>
        <w:rPr>
          <w:b/>
        </w:rPr>
        <w:t xml:space="preserve">Pub date: </w:t>
      </w:r>
      <w:r>
        <w:t>2026-06-20 16:02:34+00:00</w:t>
      </w:r>
      <w:r>
        <w:t xml:space="preserve">    </w:t>
      </w:r>
      <w:r>
        <w:rPr>
          <w:b/>
        </w:rPr>
        <w:t xml:space="preserve">DOI: </w:t>
      </w:r>
      <w:hyperlink r:id="rId317">
        <w:r>
          <w:rPr>
            <w:color w:val="1155CC"/>
            <w:u w:val="single"/>
          </w:rPr>
          <w:t>10.1002/adma.73783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间隙电子态通常存在于 F 中心和电子化合物中，在材料发现以及催化和电子学领域的应用中引起了极大的关注。在这里，我们证明富含活性金属的金属间化合物可以作为形成容纳不同间隙电子的多种阳离子笼的平台。这源于两个关键因素：（1）活性金属的高原子密度，促进它们聚集形成笼； (2)高价电子密度，有利于电子限制在笼形空隙中。我们以 10 种富含金属的 RE-T-Al/Mg（RE = 稀土，T = 过渡金属）三元化合物为例。密度泛函理论 (DFT) 计算表明，这些化合物表现出电子化物特性，在不同的威科夫位点和能级上具有分层间隙电子。详细分析确定了两种类型的间隙电子：富含稀土笼中的间隙电子，能带中心位于-1.25 eV&lt;</w:t>
      </w:r>
      <w:r>
        <w:t xml:space="preserve"> </w:t>
      </w:r>
      <w:r>
        <w:t>乙</w:t>
      </w:r>
      <w:r>
        <w:t xml:space="preserve"> </w:t>
      </w:r>
      <w:r>
        <w:t>-</w:t>
      </w:r>
      <w:r>
        <w:t xml:space="preserve"> </w:t>
      </w:r>
      <w:r>
        <w:t>乙</w:t>
      </w:r>
      <w:r>
        <w:t xml:space="preserve"> </w:t>
      </w:r>
      <w:r>
        <w:t>F</w:t>
      </w:r>
      <w:r>
        <w:t xml:space="preserve"> </w:t>
      </w:r>
      <w:r>
        <w:t>&lt; 0 eV, ∼1 e</w:t>
      </w:r>
      <w:r>
        <w:t xml:space="preserve"> </w:t>
      </w:r>
      <w:r>
        <w:t>-</w:t>
      </w:r>
      <w:r>
        <w:t>/位点和负氢结合能，表现出类阴离子行为；和那些在铝笼中的，带中心在</w:t>
      </w:r>
      <w:r>
        <w:t xml:space="preserve"> </w:t>
      </w:r>
      <w:r>
        <w:t>乙</w:t>
      </w:r>
      <w:r>
        <w:t xml:space="preserve"> </w:t>
      </w:r>
      <w:r>
        <w:t>-</w:t>
      </w:r>
      <w:r>
        <w:t xml:space="preserve"> </w:t>
      </w:r>
      <w:r>
        <w:t>乙</w:t>
      </w:r>
      <w:r>
        <w:t xml:space="preserve"> </w:t>
      </w:r>
      <w:r>
        <w:t>F</w:t>
      </w:r>
      <w:r>
        <w:t xml:space="preserve"> </w:t>
      </w:r>
      <w:r>
        <w:t>&lt; −1.8 eV, ∼2 e</w:t>
      </w:r>
      <w:r>
        <w:t xml:space="preserve"> </w:t>
      </w:r>
      <w:r>
        <w:t>-</w:t>
      </w:r>
      <w:r>
        <w:t>/site, and</w:t>
      </w:r>
    </w:p>
    <w:p>
      <w:pPr>
        <w:spacing w:before="0" w:after="200" w:lineRule="auto" w:line="276"/>
      </w:pPr>
      <w:r>
        <w:rPr>
          <w:b/>
        </w:rPr>
        <w:t xml:space="preserve">Abstract (EN): </w:t>
      </w:r>
      <w:r>
        <w:t>Interstitial electronic states, commonly found in F‐centers and electrides, have garnered significant attention in materials discovery, and applications spanning catalysis and electronics. Here, we demonstrate that active‐metal‐rich intermetallics serve as a platform for forming diverse cationic cages that accommodate distinct interstitial electrons. This arises from two key factors: (1) the high atomic density of active metals, promoting their aggregation to form cages; and (2) the high valence electron density, facilitating electron confinement in cage voids. We examine 10 metal‐rich RE–T–Al/Mg (RE = rare earth, T = transition metal) ternary compounds as examples. Density functional theory (DFT) calculations reveal that these compounds exhibit electride characteristics, featuring tiered interstitial electrons at distinct Wyckoff sites and energy levels. Detailed analyses identify two types of interstitial electrons: those in RE‐rich cages, with band centers at −1.25 eV&amp;lt;</w:t>
      </w:r>
      <w:r>
        <w:t xml:space="preserve"> </w:t>
      </w:r>
      <w:r>
        <w:t>E</w:t>
      </w:r>
      <w:r>
        <w:t xml:space="preserve"> </w:t>
      </w:r>
      <w:r>
        <w:t>−</w:t>
      </w:r>
      <w:r>
        <w:t xml:space="preserve"> </w:t>
      </w:r>
      <w:r>
        <w:t>E</w:t>
      </w:r>
      <w:r>
        <w:t xml:space="preserve"> </w:t>
      </w:r>
      <w:r>
        <w:t>F</w:t>
      </w:r>
      <w:r>
        <w:t xml:space="preserve"> </w:t>
      </w:r>
      <w:r>
        <w:t>&amp;lt; 0 eV, ∼1 e</w:t>
      </w:r>
      <w:r>
        <w:t xml:space="preserve"> </w:t>
      </w:r>
      <w:r>
        <w:t>−</w:t>
      </w:r>
      <w:r>
        <w:t>/site, and negative hydrogen binding energies, exhibiting anionic‐like behavior; and those in Al cages, with band centers at</w:t>
      </w:r>
      <w:r>
        <w:t xml:space="preserve"> </w:t>
      </w:r>
      <w:r>
        <w:t>E</w:t>
      </w:r>
      <w:r>
        <w:t xml:space="preserve"> </w:t>
      </w:r>
      <w:r>
        <w:t>−</w:t>
      </w:r>
      <w:r>
        <w:t xml:space="preserve"> </w:t>
      </w:r>
      <w:r>
        <w:t>E</w:t>
      </w:r>
      <w:r>
        <w:t xml:space="preserve"> </w:t>
      </w:r>
      <w:r>
        <w:t>F</w:t>
      </w:r>
      <w:r>
        <w:t xml:space="preserve"> </w:t>
      </w:r>
      <w:r>
        <w:t>&amp;lt; −1.8 eV, ∼2 e</w:t>
      </w:r>
      <w:r>
        <w:t xml:space="preserve"> </w:t>
      </w:r>
      <w:r>
        <w:t>−</w:t>
      </w:r>
      <w:r>
        <w:t>/site, and positive hydrogen binding energies, displaying covalent‐like behavior. Our results provide a systematic insight into interstitial electrons in RE–T–Al/Mg ternary compounds, potentially offering a guideline for designing intermetallic compounds with tailored interstitial electronic states.</w:t>
      </w:r>
    </w:p>
    <w:p>
      <w:pPr>
        <w:spacing w:before="120" w:after="120"/>
      </w:pPr>
      <w:r>
        <w:rPr>
          <w:sz w:val="18"/>
        </w:rPr>
        <w:t>——————————————————————————————————————————————————————————————————————</w:t>
      </w:r>
    </w:p>
    <w:p>
      <w:pPr>
        <w:spacing w:before="160" w:after="40" w:line="240" w:lineRule="auto"/>
      </w:pPr>
      <w:r>
        <w:rPr>
          <w:b/>
        </w:rPr>
        <w:t xml:space="preserve">[26] </w:t>
      </w:r>
      <w:hyperlink r:id="rId318">
        <w:r>
          <w:rPr>
            <w:color w:val="1155CC"/>
            <w:u w:val="single"/>
          </w:rPr>
          <w:t>通过共结晶小分子受体实现有机太阳能电池 20.5% 的效率</w:t>
        </w:r>
      </w:hyperlink>
    </w:p>
    <w:p>
      <w:pPr>
        <w:spacing w:before="0" w:after="80"/>
      </w:pPr>
      <w:r>
        <w:rPr>
          <w:i/>
          <w:sz w:val="20"/>
        </w:rPr>
        <w:t>EN: Achieving 20.5% Efficiency in Organic Solar Cells via Co‐Crystallizable Small Molecule Acceptors</w:t>
      </w:r>
    </w:p>
    <w:p>
      <w:pPr>
        <w:spacing w:before="0" w:after="120"/>
      </w:pPr>
      <w:r>
        <w:rPr>
          <w:b/>
        </w:rPr>
        <w:t xml:space="preserve">Source: </w:t>
      </w:r>
      <w:r>
        <w:t>Wiley: Advanced Materials: Table of Contents</w:t>
      </w:r>
      <w:r>
        <w:t xml:space="preserve">    </w:t>
      </w:r>
      <w:r>
        <w:rPr>
          <w:b/>
        </w:rPr>
        <w:t xml:space="preserve">Pub date: </w:t>
      </w:r>
      <w:r>
        <w:t>2026-06-20 16:05:54+00:00</w:t>
      </w:r>
      <w:r>
        <w:t xml:space="preserve">    </w:t>
      </w:r>
      <w:r>
        <w:rPr>
          <w:b/>
        </w:rPr>
        <w:t xml:space="preserve">DOI: </w:t>
      </w:r>
      <w:hyperlink r:id="rId319">
        <w:r>
          <w:rPr>
            <w:color w:val="1155CC"/>
            <w:u w:val="single"/>
          </w:rPr>
          <w:t>10.1002/adma.73840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尽管有机太阳能电池（OSC）中的三元策略显着提高了效率，但仍然缺乏对电子耦合及其在能量排列中的作用的分子水平理解。在这里，我们报告了在广泛使用的受体 L8-BO 和新设计的基于苯并三唑的客体 Y18-C3 之间形成的明确的双分子共晶 (BC)，并通过单晶 X 射线衍射分析证实。 Y18-C3采用类似于L8-BO的共轭主链，并结合短烷基链以增强π-π堆积并延长吸收。主体和客体之间的结构相似性促进了强烈的分子间相互作用，产生明显的分子间电子耦合，从而能够持续调节能量排列和吸收分布。因此，D18:L8-BO:Y18-C3 器件表现出增强的分子有序性和抑制的电荷复合，提供 20.50% 的高功率转换效率，同时增加短路电流和填充因子，同时保持高开路电压。值得注意的是，即使当 Y18-C3 部分达到总受体含量的 50% 时，器件也能实现高性能 (&gt; 19.6%)，这表明对成分变化的高度耐受性。这些结果强调，通过共享共轭主链构建BC，结合兼容的分子间相互作用和结晶倾向，为实现高性能、耐成分的OSC提供了有效的分子设计原理。</w:t>
      </w:r>
    </w:p>
    <w:p>
      <w:pPr>
        <w:spacing w:before="0" w:after="200" w:lineRule="auto" w:line="276"/>
      </w:pPr>
      <w:r>
        <w:rPr>
          <w:b/>
        </w:rPr>
        <w:t xml:space="preserve">Abstract (EN): </w:t>
      </w:r>
      <w:r>
        <w:t>Despite the remarkable efficiency enhancement enabled by the ternary strategy in organic solar cells (OSCs), yet a molecular‐level understanding of electronic coupling and its role in energetic alignment remains lacking. Here, we report a well‐defined bimolecular co‐crystal (BC) formed between the widely used acceptor L8‐BO and a newly designed benzotriazole‐based guest, Y18‐C3, as confirmed by single‐crystal x‐ray diffraction analysis. Y18‐C3 adopts a conjugated backbone similar to L8‐BO and incorporates short alkyl chains to enhance π–π stacking and extend absorption. The structural similarity between host and guest promotes strong intermolecular interactions, giving rise to pronounced intermolecular electronic coupling that enables continuous tuning of energetic alignment and absorption profiles. Consequently, D18:L8‐BO:Y18‐C3 devices exhibit enhanced molecular ordering and suppressed charge recombination, delivering a high power conversion efficiency of 20.50% with simultaneously increased short‐circuit current and fill factor while maintaining a high open‐circuit voltage. Notably, the devices achieve high performance (&amp;gt; 19.6%) even when the Y18‐C3 fraction reaches 50% of the total acceptor content, indicating a high tolerance to composition variations. These results highlight that constructing a BC through a shared conjugated backbone, combined with compatible intermolecular interactions and crystallization tendencies, provides an effective molecular design principle for achieving high‐performance, composition‐tolerant OSCs.</w:t>
      </w:r>
    </w:p>
    <w:p>
      <w:pPr>
        <w:spacing w:before="120" w:after="120"/>
      </w:pPr>
      <w:r>
        <w:rPr>
          <w:sz w:val="18"/>
        </w:rPr>
        <w:t>——————————————————————————————————————————————————————————————————————</w:t>
      </w:r>
    </w:p>
    <w:p>
      <w:pPr>
        <w:spacing w:before="160" w:after="40" w:line="240" w:lineRule="auto"/>
      </w:pPr>
      <w:r>
        <w:rPr>
          <w:b/>
        </w:rPr>
        <w:t xml:space="preserve">[27] </w:t>
      </w:r>
      <w:hyperlink r:id="rId320">
        <w:r>
          <w:rPr>
            <w:color w:val="1155CC"/>
            <w:u w:val="single"/>
          </w:rPr>
          <w:t>金属玻璃中类液原子局域流动控制的形状记忆效应</w:t>
        </w:r>
      </w:hyperlink>
    </w:p>
    <w:p>
      <w:pPr>
        <w:spacing w:before="0" w:after="80"/>
      </w:pPr>
      <w:r>
        <w:rPr>
          <w:i/>
          <w:sz w:val="20"/>
        </w:rPr>
        <w:t>EN: Shape Memory Effect Controlled by Localized Flow of Liquid‐Like Atoms in Metallic Glass</w:t>
      </w:r>
    </w:p>
    <w:p>
      <w:pPr>
        <w:spacing w:before="0" w:after="120"/>
      </w:pPr>
      <w:r>
        <w:rPr>
          <w:b/>
        </w:rPr>
        <w:t xml:space="preserve">Source: </w:t>
      </w:r>
      <w:r>
        <w:t>Wiley: Advanced Materials: Table of Contents</w:t>
      </w:r>
      <w:r>
        <w:t xml:space="preserve">    </w:t>
      </w:r>
      <w:r>
        <w:rPr>
          <w:b/>
        </w:rPr>
        <w:t xml:space="preserve">Pub date: </w:t>
      </w:r>
      <w:r>
        <w:t>2026-06-20 16:06:47+00:00</w:t>
      </w:r>
      <w:r>
        <w:t xml:space="preserve">    </w:t>
      </w:r>
      <w:r>
        <w:rPr>
          <w:b/>
        </w:rPr>
        <w:t xml:space="preserve">DOI: </w:t>
      </w:r>
      <w:hyperlink r:id="rId321">
        <w:r>
          <w:rPr>
            <w:color w:val="1155CC"/>
            <w:u w:val="single"/>
          </w:rPr>
          <w:t>10.1002/adma.73782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形状记忆效应（SME）通常存在于晶体合金、聚合物、陶瓷及其复合材料中，由马氏体相变和玻璃化转变等相变引起。在这里，我们报告了远低于玻璃化转变温度的金属玻璃 (MG) 中的 SME。研究发现，训练后的 MG 的可恢复应变反映了 SME，随着训练温度、压力和时间的增加而增加。 SME 被解释为 MG 的固有现象，其中粘度为 ∼10 的局部类液体区域（LLR）</w:t>
      </w:r>
      <w:r>
        <w:rPr>
          <w:vertAlign w:val="subscript"/>
        </w:rPr>
        <w:t>10</w:t>
      </w:r>
      <w:r>
        <w:t>Pa s 和周围的弹性矩阵分别充当开关段和记忆段。 LLR 的激活受阿累尼乌斯型关系中的变形温度和时间的影响，涉及溶质原子的非仿射位移和不稳定的中程有序 (MRO) 结构的重排。相比之下，含有更刚性的MRO弦状结构的基体的恢复主要是由短程原子距离的可逆变化贡献的。由于 LLR 的不稳定性，形状记忆 (SM) 过程中会出现从年轻化到衰老的转变。研究结果揭示了 SME 与 MG 动态结构异质性相关的新机制，对于设计新型玻璃状 SM 功能材料具有重要意义。</w:t>
      </w:r>
    </w:p>
    <w:p>
      <w:pPr>
        <w:spacing w:before="0" w:after="200" w:lineRule="auto" w:line="276"/>
      </w:pPr>
      <w:r>
        <w:rPr>
          <w:b/>
        </w:rPr>
        <w:t xml:space="preserve">Abstract (EN): </w:t>
      </w:r>
      <w:r>
        <w:t>Shape memory effect (SME) usually exists in crystalline alloys, polymers, ceramics, and their composites, induced by phase changes like Martensitic transformation and glass transition. Here, we report SME in metallic glasses (MGs) far below the glass transition temperatures. It is found that the recoverable strain of the trained MG, which reflects SME, increases with training temperature, stress, and time. The SME is interpreted as an intrinsic phenomenon of MGs, in which the local liquid‐like regions (LLRs) with viscosities of ∼10</w:t>
      </w:r>
      <w:r>
        <w:rPr>
          <w:vertAlign w:val="subscript"/>
        </w:rPr>
        <w:t>10</w:t>
      </w:r>
      <w:r>
        <w:t>Pa s and surrounding elastic matrix serve as the switching and memorizing segments, respectively. The activation of the LLRs, affected by deformation temperature and time in an Arrhenius‐type relation, involves the nonaffine displacement of solute atoms and the rearrangement of unstable medium‐range ordered (MRO) structure. In contrast, the recovery of the matrix containing more rigid MRO string‐like structure is mainly contributed by the reversible variation of short‐range atomic distance. Due to the instability of the LLRs, a transition from rejuvenation to aging appears during the shape memory (SM) process. The results reveal a new mechanism of SME linking to the dynamic structural heterogeneity of MGs and could be insightful for designing new types of glassy SM functional materials.</w:t>
      </w:r>
    </w:p>
    <w:p>
      <w:pPr>
        <w:spacing w:before="120" w:after="120"/>
      </w:pPr>
      <w:r>
        <w:rPr>
          <w:sz w:val="18"/>
        </w:rPr>
        <w:t>——————————————————————————————————————————————————————————————————————</w:t>
      </w:r>
    </w:p>
    <w:p>
      <w:pPr>
        <w:spacing w:before="160" w:after="40" w:line="240" w:lineRule="auto"/>
      </w:pPr>
      <w:r>
        <w:rPr>
          <w:b/>
        </w:rPr>
        <w:t xml:space="preserve">[28] </w:t>
      </w:r>
      <w:hyperlink r:id="rId322">
        <w:r>
          <w:rPr>
            <w:color w:val="1155CC"/>
            <w:u w:val="single"/>
          </w:rPr>
          <w:t>由三嵌段热塑性聚酯弹性体制成的耐低温和生物相容性热熔粘合剂</w:t>
        </w:r>
      </w:hyperlink>
    </w:p>
    <w:p>
      <w:pPr>
        <w:spacing w:before="0" w:after="80"/>
      </w:pPr>
      <w:r>
        <w:rPr>
          <w:i/>
          <w:sz w:val="20"/>
        </w:rPr>
        <w:t>EN: Low‐Temperature Resistant and Biocompatible Hot‐Melt Adhesives Enabled by Triblock Thermoplastic Polyester Elastomers</w:t>
      </w:r>
    </w:p>
    <w:p>
      <w:pPr>
        <w:spacing w:before="0" w:after="120"/>
      </w:pPr>
      <w:r>
        <w:rPr>
          <w:b/>
        </w:rPr>
        <w:t xml:space="preserve">Source: </w:t>
      </w:r>
      <w:r>
        <w:t>Wiley: Advanced Materials: Table of Contents</w:t>
      </w:r>
      <w:r>
        <w:t xml:space="preserve">    </w:t>
      </w:r>
      <w:r>
        <w:rPr>
          <w:b/>
        </w:rPr>
        <w:t xml:space="preserve">Pub date: </w:t>
      </w:r>
      <w:r>
        <w:t>2026-06-20 16:08:05+00:00</w:t>
      </w:r>
      <w:r>
        <w:t xml:space="preserve">    </w:t>
      </w:r>
      <w:r>
        <w:rPr>
          <w:b/>
        </w:rPr>
        <w:t xml:space="preserve">DOI: </w:t>
      </w:r>
      <w:hyperlink r:id="rId323">
        <w:r>
          <w:rPr>
            <w:color w:val="1155CC"/>
            <w:u w:val="single"/>
          </w:rPr>
          <w:t>10.1002/adma.202521551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最先进的商用聚合物粘合剂主要是石油基的、不可生物降解且不耐低温，严重限制了它们在极寒地区的应用。目前的研究工作重点是开发可持续和可生物降解的聚酯基粘合剂。然而，几乎所有报道的聚酯基粘合剂都是在室温下使用的，并且具有耐低温功能的创新功能性聚酯基粘合剂非常罕见。在此，我们合理设计并合成了三嵌段热塑性聚酯弹性体聚(1,4-二恶烷-2-酮)-</w:t>
      </w:r>
      <w:r>
        <w:t>乙</w:t>
      </w:r>
      <w:r>
        <w:t xml:space="preserve"> </w:t>
      </w:r>
      <w:r>
        <w:t>‐聚（</w:t>
      </w:r>
      <w:r>
        <w:t xml:space="preserve"> </w:t>
      </w:r>
      <w:r>
        <w:t>γ</w:t>
      </w:r>
      <w:r>
        <w:t xml:space="preserve"> </w:t>
      </w:r>
      <w:r>
        <w:t>‐甲基‐</w:t>
      </w:r>
      <w:r>
        <w:t xml:space="preserve"> </w:t>
      </w:r>
      <w:r>
        <w:t>ε</w:t>
      </w:r>
      <w:r>
        <w:t xml:space="preserve"> </w:t>
      </w:r>
      <w:r>
        <w:t>‐己内酯）‐</w:t>
      </w:r>
      <w:r>
        <w:t xml:space="preserve"> </w:t>
      </w:r>
      <w:r>
        <w:t>乙</w:t>
      </w:r>
      <w:r>
        <w:t xml:space="preserve"> </w:t>
      </w:r>
      <w:r>
        <w:t>-聚(1,4-二恶烷-2-酮)(PPDO-</w:t>
      </w:r>
      <w:r>
        <w:t>乙</w:t>
      </w:r>
      <w:r>
        <w:t xml:space="preserve"> </w:t>
      </w:r>
      <w:r>
        <w:t>‐PMCL‐</w:t>
      </w:r>
      <w:r>
        <w:t xml:space="preserve"> </w:t>
      </w:r>
      <w:r>
        <w:t>乙</w:t>
      </w:r>
      <w:r>
        <w:t xml:space="preserve"> </w:t>
      </w:r>
      <w:r>
        <w:t>‐PPDO），作为高性能可生物降解热熔胶，具有优异的耐低温性能。聚酯基粘合剂的机械和粘弹性特性可以通过受控开环聚合改变硬/软嵌段的分子量和比例来轻松调节。 PPDO-</w:t>
      </w:r>
      <w:r>
        <w:t>乙</w:t>
      </w:r>
      <w:r>
        <w:t xml:space="preserve"> </w:t>
      </w:r>
      <w:r>
        <w:t>‐PMCL‐</w:t>
      </w:r>
      <w:r>
        <w:t xml:space="preserve"> </w:t>
      </w:r>
      <w:r>
        <w:t>乙</w:t>
      </w:r>
      <w:r>
        <w:t xml:space="preserve"> </w:t>
      </w:r>
      <w:r>
        <w:t>‐具有适当体积分数的硬块的 PPDO 在室温甚至低温下都对一系列基材表现出很强的附着力（粘合强度高达 5.0 MPa）</w:t>
      </w:r>
    </w:p>
    <w:p>
      <w:pPr>
        <w:spacing w:before="0" w:after="200" w:lineRule="auto" w:line="276"/>
      </w:pPr>
      <w:r>
        <w:rPr>
          <w:b/>
        </w:rPr>
        <w:t xml:space="preserve">Abstract (EN): </w:t>
      </w:r>
      <w:r>
        <w:t>The state‐of‐art commercial polymeric adhesives are mainly petroleum‐based, non‐biodegradable and not tolerant of low temperature, severely limiting their applications in extremely cold regions. Current research efforts focus on development of sustainable and biodegradable polyester‐based adhesives. However, nearly all the reported polyester‐based adhesives were used at room temperature, and the innovative functional polyester‐based adhesives with low‐temperature‐resistance are very rare. Herein, we rationally designed and synthesized triblock thermoplastic polyester elastomers, poly(1,4‐dioxan‐2‐one)‐</w:t>
      </w:r>
      <w:r>
        <w:t xml:space="preserve"> </w:t>
      </w:r>
      <w:r>
        <w:t>b</w:t>
      </w:r>
      <w:r>
        <w:t xml:space="preserve"> </w:t>
      </w:r>
      <w:r>
        <w:t>‐poly(</w:t>
      </w:r>
      <w:r>
        <w:t xml:space="preserve"> </w:t>
      </w:r>
      <w:r>
        <w:t>γ</w:t>
      </w:r>
      <w:r>
        <w:t xml:space="preserve"> </w:t>
      </w:r>
      <w:r>
        <w:t>‐methyl‐</w:t>
      </w:r>
      <w:r>
        <w:t xml:space="preserve"> </w:t>
      </w:r>
      <w:r>
        <w:t>ε</w:t>
      </w:r>
      <w:r>
        <w:t xml:space="preserve"> </w:t>
      </w:r>
      <w:r>
        <w:t>‐caprolactone)‐</w:t>
      </w:r>
      <w:r>
        <w:t xml:space="preserve"> </w:t>
      </w:r>
      <w:r>
        <w:t>b</w:t>
      </w:r>
      <w:r>
        <w:t xml:space="preserve"> </w:t>
      </w:r>
      <w:r>
        <w:t>‐poly(1,4‐dioxan‐2‐one) (PPDO‐</w:t>
      </w:r>
      <w:r>
        <w:t xml:space="preserve"> </w:t>
      </w:r>
      <w:r>
        <w:t>b</w:t>
      </w:r>
      <w:r>
        <w:t xml:space="preserve"> </w:t>
      </w:r>
      <w:r>
        <w:t>‐PMCL‐</w:t>
      </w:r>
      <w:r>
        <w:t xml:space="preserve"> </w:t>
      </w:r>
      <w:r>
        <w:t>b</w:t>
      </w:r>
      <w:r>
        <w:t xml:space="preserve"> </w:t>
      </w:r>
      <w:r>
        <w:t>‐PPDO), serving as high‐performance biodegradable hot‐melt adhesive with excellent low‐temperature‐resistance. The mechanical and viscoelastic properties of polyester‐based adhesives could be readily modulated by varying molecular weight and fraction of hard/soft blocks via controlled ring‐opening polymerization. PPDO‐</w:t>
      </w:r>
      <w:r>
        <w:t xml:space="preserve"> </w:t>
      </w:r>
      <w:r>
        <w:t>b</w:t>
      </w:r>
      <w:r>
        <w:t xml:space="preserve"> </w:t>
      </w:r>
      <w:r>
        <w:t>‐PMCL‐</w:t>
      </w:r>
      <w:r>
        <w:t xml:space="preserve"> </w:t>
      </w:r>
      <w:r>
        <w:t>b</w:t>
      </w:r>
      <w:r>
        <w:t xml:space="preserve"> </w:t>
      </w:r>
      <w:r>
        <w:t>‐PPDO with appropriate volume fraction of hard blocks exhibited strong adhesion to a range of substrates (with a bonding strength high up to 5.0 MPa) both at room temperature and even at cryogenic temperature (−196°C). The polyester elastomer‐based adhesives outperformed some common commercial petroleum‐based hot‐melt adhesives, showing their great potential in the specific scenarios like polar‐region exploration.</w:t>
      </w:r>
    </w:p>
    <w:p>
      <w:pPr>
        <w:spacing w:before="120" w:after="120"/>
      </w:pPr>
      <w:r>
        <w:rPr>
          <w:sz w:val="18"/>
        </w:rPr>
        <w:t>——————————————————————————————————————————————————————————————————————</w:t>
      </w:r>
    </w:p>
    <w:p>
      <w:pPr>
        <w:spacing w:before="160" w:after="40" w:line="240" w:lineRule="auto"/>
      </w:pPr>
      <w:r>
        <w:rPr>
          <w:b/>
        </w:rPr>
        <w:t xml:space="preserve">[29] </w:t>
      </w:r>
      <w:hyperlink r:id="rId324">
        <w:r>
          <w:rPr>
            <w:color w:val="1155CC"/>
            <w:u w:val="single"/>
          </w:rPr>
          <w:t>水溶液中的自适应电荷转移状态促进光敏剂中的快速系间穿越以抑制肿瘤</w:t>
        </w:r>
      </w:hyperlink>
    </w:p>
    <w:p>
      <w:pPr>
        <w:spacing w:before="0" w:after="80"/>
      </w:pPr>
      <w:r>
        <w:rPr>
          <w:i/>
          <w:sz w:val="20"/>
        </w:rPr>
        <w:t>EN: Self‐Adaptive Charge Transfer States in Aqueous Solutions Promote Fast Intersystem Crossing in a Photosensitizer for Tumor Inhibition</w:t>
      </w:r>
    </w:p>
    <w:p>
      <w:pPr>
        <w:spacing w:before="0" w:after="120"/>
      </w:pPr>
      <w:r>
        <w:rPr>
          <w:b/>
        </w:rPr>
        <w:t xml:space="preserve">Source: </w:t>
      </w:r>
      <w:r>
        <w:t>Wiley: Advanced Materials: Table of Contents</w:t>
      </w:r>
      <w:r>
        <w:t xml:space="preserve">    </w:t>
      </w:r>
      <w:r>
        <w:rPr>
          <w:b/>
        </w:rPr>
        <w:t xml:space="preserve">Pub date: </w:t>
      </w:r>
      <w:r>
        <w:t>2026-06-20 16:09:38+00:00</w:t>
      </w:r>
      <w:r>
        <w:t xml:space="preserve">    </w:t>
      </w:r>
      <w:r>
        <w:rPr>
          <w:b/>
        </w:rPr>
        <w:t xml:space="preserve">DOI: </w:t>
      </w:r>
      <w:hyperlink r:id="rId325">
        <w:r>
          <w:rPr>
            <w:color w:val="1155CC"/>
            <w:u w:val="single"/>
          </w:rPr>
          <w:t>10.1002/adma.73793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光敏剂（PS）的传统设计策略已经能够控制它们在有机溶剂中的激发态演化，但它们在水溶液中独特的光物理演化途径严重降低了它们的系间窜越（ISC）速率和活性氧（ROS）产量。因此，在水溶液中设计具有高ISC率和ROS产量的高性能PS仍然是光动力疗法（PDT）的一个挑战。在本研究中，我们利用水性溶剂促进电荷转移的能力来构建Cy5-PCZ，这是一种可以自适应产生电荷转移单线态的PS（</w:t>
      </w:r>
      <w:r>
        <w:rPr>
          <w:vertAlign w:val="subscript"/>
        </w:rPr>
        <w:t>1</w:t>
      </w:r>
      <w:r>
        <w:t>CT）和电荷转移三重态（</w:t>
      </w:r>
      <w:r>
        <w:rPr>
          <w:vertAlign w:val="subscript"/>
        </w:rPr>
        <w:t>3</w:t>
      </w:r>
      <w:r>
        <w:t>CT）在水溶液中，从而促进ISC。瞬态吸收光谱和理论计算表明，Cy5-PCZ 的 ISC 时间 (∼5 ps) 比不含 PCZ 的 Cy5 (∼580 ps) 快两个数量级。因此，Cy5-PCZ 在水溶液中表现出 I 型和 II 型 ROS 的产率显着增加。因此，Cy5-PCZ 介导的 PDT 在低浓度下诱导癌细胞凋亡和焦亡，并显着抑制小鼠模型中的皮下肿瘤生长和肺转移。因此，本研究为优化水介质中高性能PS的激发态过程提供了合理的设计原则，从而提高了其在生物应用中的功效。</w:t>
      </w:r>
    </w:p>
    <w:p>
      <w:pPr>
        <w:spacing w:before="0" w:after="200" w:lineRule="auto" w:line="276"/>
      </w:pPr>
      <w:r>
        <w:rPr>
          <w:b/>
        </w:rPr>
        <w:t xml:space="preserve">Abstract (EN): </w:t>
      </w:r>
      <w:r>
        <w:t>Although conventional design strategies of photosensitizers (PSs) have enabled control of their excited‐state evolution in organic solvents, their distinct photophysical evolution pathways in aqueous solutions severely reduce their intersystem crossing (ISC) rates and reactive oxygen species (ROS) yields. Thus, the design of high‐performance PSs with high ISC rates and ROS yields in aqueous solutions remains a challenge for photodynamic therapy (PDT). In this study, we utilized the ability of aqueous solvents to promote charge transfer to construct Cy5‐PCZ, a PS that can self‐adaptively generate charge transfer singlet states (</w:t>
      </w:r>
      <w:r>
        <w:rPr>
          <w:vertAlign w:val="subscript"/>
        </w:rPr>
        <w:t>1</w:t>
      </w:r>
      <w:r>
        <w:t>CT) and charge transfer triplet states (</w:t>
      </w:r>
      <w:r>
        <w:rPr>
          <w:vertAlign w:val="subscript"/>
        </w:rPr>
        <w:t>3</w:t>
      </w:r>
      <w:r>
        <w:t>CT) in aqueous solutions, thereby promoting ISC. Transient absorption spectroscopy and theoretical calculations demonstrated that the ISC time (∼5 ps) of Cy5‐PCZ was two orders of magnitude faster than Cy5 without PCZ (∼580 ps). Thus, Cy5‐PCZ exhibited markedly increased yields of both type I and type II ROS in aqueous solutions. Consequently, Cy5‐PCZ–mediated PDT induced cancer cell apoptosis and pyroptosis at low concentrations, and markedly suppressed subcutaneous tumor growth and lung metastasis in mouse models. Therefore, this study offers a rational design principle for optimizing the excited‐state processes of high‐performance PSs in aqueous media, thereby enhancing their efficacy in biological applications.</w:t>
      </w:r>
    </w:p>
    <w:p>
      <w:pPr>
        <w:spacing w:before="120" w:after="120"/>
      </w:pPr>
      <w:r>
        <w:rPr>
          <w:sz w:val="18"/>
        </w:rPr>
        <w:t>——————————————————————————————————————————————————————————————————————</w:t>
      </w:r>
    </w:p>
    <w:p>
      <w:pPr>
        <w:spacing w:before="160" w:after="40" w:line="240" w:lineRule="auto"/>
      </w:pPr>
      <w:r>
        <w:rPr>
          <w:b/>
        </w:rPr>
        <w:t xml:space="preserve">[30] </w:t>
      </w:r>
      <w:hyperlink r:id="rId326">
        <w:r>
          <w:rPr>
            <w:color w:val="1155CC"/>
            <w:u w:val="single"/>
          </w:rPr>
          <w:t>具有不对称局域电子分布的三联吡啶基丙烯腈连接共价有机框架增强光催化 H2O2 生产</w:t>
        </w:r>
      </w:hyperlink>
    </w:p>
    <w:p>
      <w:pPr>
        <w:spacing w:before="0" w:after="80"/>
      </w:pPr>
      <w:r>
        <w:rPr>
          <w:i/>
          <w:sz w:val="20"/>
        </w:rPr>
        <w:t>EN: Enhanced Photocatalytic H2O2 Production on Terpyridine‐Based Acrylonitrile‐Linked Covalent Organic Frameworks with Asymmetric Localized Electron Distribution</w:t>
      </w:r>
    </w:p>
    <w:p>
      <w:pPr>
        <w:spacing w:before="0" w:after="120"/>
      </w:pPr>
      <w:r>
        <w:rPr>
          <w:b/>
        </w:rPr>
        <w:t xml:space="preserve">Source: </w:t>
      </w:r>
      <w:r>
        <w:t>Wiley: Advanced Materials: Table of Contents</w:t>
      </w:r>
      <w:r>
        <w:t xml:space="preserve">    </w:t>
      </w:r>
      <w:r>
        <w:rPr>
          <w:b/>
        </w:rPr>
        <w:t xml:space="preserve">Pub date: </w:t>
      </w:r>
      <w:r>
        <w:t>2026-06-20 16:12:25+00:00</w:t>
      </w:r>
      <w:r>
        <w:t xml:space="preserve">    </w:t>
      </w:r>
      <w:r>
        <w:rPr>
          <w:b/>
        </w:rPr>
        <w:t xml:space="preserve">DOI: </w:t>
      </w:r>
      <w:hyperlink r:id="rId327">
        <w:r>
          <w:rPr>
            <w:color w:val="1155CC"/>
            <w:u w:val="single"/>
          </w:rPr>
          <w:t>10.1002/adma.73821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共价有机骨架（COF）作为H的可持续光合作用的有前途的光催化剂</w:t>
      </w:r>
      <w:r>
        <w:rPr>
          <w:vertAlign w:val="subscript"/>
        </w:rPr>
        <w:t>2</w:t>
      </w:r>
      <w:r>
        <w:t>氧</w:t>
      </w:r>
      <w:r>
        <w:rPr>
          <w:vertAlign w:val="subscript"/>
        </w:rPr>
        <w:t>2</w:t>
      </w:r>
      <w:r>
        <w:t>由于其明确的架构和精确可控的结构，可以免受水和空气的影响。实现高H的关键</w:t>
      </w:r>
      <w:r>
        <w:rPr>
          <w:vertAlign w:val="subscript"/>
        </w:rPr>
        <w:t>2</w:t>
      </w:r>
      <w:r>
        <w:t>氧</w:t>
      </w:r>
      <w:r>
        <w:rPr>
          <w:vertAlign w:val="subscript"/>
        </w:rPr>
        <w:t>2</w:t>
      </w:r>
      <w:r>
        <w:t>生产率取决于 O 的有效吸附</w:t>
      </w:r>
      <w:r>
        <w:rPr>
          <w:vertAlign w:val="subscript"/>
        </w:rPr>
        <w:t>2</w:t>
      </w:r>
      <w:r>
        <w:t>COF 上的有效电荷转移。在这项工作中，我们研究了基于三联吡啶的丙烯腈连接的COF（TPy-acr COF），其具有最佳的局域电子分布和增强的电荷转移，用于双电子转移氧还原为H</w:t>
      </w:r>
      <w:r>
        <w:rPr>
          <w:vertAlign w:val="subscript"/>
        </w:rPr>
        <w:t>2</w:t>
      </w:r>
      <w:r>
        <w:t>氧</w:t>
      </w:r>
      <w:r>
        <w:rPr>
          <w:vertAlign w:val="subscript"/>
        </w:rPr>
        <w:t>2</w:t>
      </w:r>
      <w:r>
        <w:t>生产。三联吡啶单元中的缺电子吡啶氮原子在相邻碳原子处诱导出局域电子密度的不对称电子分布，而吸电子丙烯腈键增加了整个骨架的电子分布不对称性。因此，TPy-acr COF的三联吡啶单元中的高电子密度碳原子表现出与O的强结合。</w:t>
      </w:r>
      <w:r>
        <w:rPr>
          <w:vertAlign w:val="subscript"/>
        </w:rPr>
        <w:t>2</w:t>
      </w:r>
      <w:r>
        <w:t>并快速将电荷转移到关键中间体</w:t>
      </w:r>
      <w:r>
        <w:t xml:space="preserve"> </w:t>
      </w:r>
      <w:r>
        <w:t>*</w:t>
      </w:r>
      <w:r>
        <w:t xml:space="preserve"> </w:t>
      </w:r>
      <w:r>
        <w:t>哦。值得注意的是，TPy-acr COF 实现了 4.85 mmol g 的高产率</w:t>
      </w:r>
      <w:r>
        <w:t xml:space="preserve"> </w:t>
      </w:r>
      <w:r>
        <w:t>−1</w:t>
      </w:r>
      <w:r>
        <w:t xml:space="preserve"> </w:t>
      </w:r>
      <w:r>
        <w:t>小时</w:t>
      </w:r>
      <w:r>
        <w:t xml:space="preserve"> </w:t>
      </w:r>
      <w:r>
        <w:t>−1</w:t>
      </w:r>
    </w:p>
    <w:p>
      <w:pPr>
        <w:spacing w:before="0" w:after="200" w:lineRule="auto" w:line="276"/>
      </w:pPr>
      <w:r>
        <w:rPr>
          <w:b/>
        </w:rPr>
        <w:t xml:space="preserve">Abstract (EN): </w:t>
      </w:r>
      <w:r>
        <w:t>Covalent organic frameworks (COFs) serve as promising photocatalysts for sustainable photosynthesis of H</w:t>
      </w:r>
      <w:r>
        <w:rPr>
          <w:vertAlign w:val="subscript"/>
        </w:rPr>
        <w:t>2</w:t>
      </w:r>
      <w:r>
        <w:t>O</w:t>
      </w:r>
      <w:r>
        <w:rPr>
          <w:vertAlign w:val="subscript"/>
        </w:rPr>
        <w:t>2</w:t>
      </w:r>
      <w:r>
        <w:t>from water and air due to their well‐defined architecture and precisely controllable structure. The key to achieving high H</w:t>
      </w:r>
      <w:r>
        <w:rPr>
          <w:vertAlign w:val="subscript"/>
        </w:rPr>
        <w:t>2</w:t>
      </w:r>
      <w:r>
        <w:t>O</w:t>
      </w:r>
      <w:r>
        <w:rPr>
          <w:vertAlign w:val="subscript"/>
        </w:rPr>
        <w:t>2</w:t>
      </w:r>
      <w:r>
        <w:t>production rates lies in the efficient adsorption of O</w:t>
      </w:r>
      <w:r>
        <w:rPr>
          <w:vertAlign w:val="subscript"/>
        </w:rPr>
        <w:t>2</w:t>
      </w:r>
      <w:r>
        <w:t>and effective charge transfer over COFs. In this work, we have studied a terpyridine‐based acrylonitrile‐linked COF (TPy‐acr COF) with optimum localized electron distribution and enhanced charge transfer for two‐electron transfer oxygen reduction toward H</w:t>
      </w:r>
      <w:r>
        <w:rPr>
          <w:vertAlign w:val="subscript"/>
        </w:rPr>
        <w:t>2</w:t>
      </w:r>
      <w:r>
        <w:t>O</w:t>
      </w:r>
      <w:r>
        <w:rPr>
          <w:vertAlign w:val="subscript"/>
        </w:rPr>
        <w:t>2</w:t>
      </w:r>
      <w:r>
        <w:t>production. The electron‐deficient pyridine nitrogen atoms in the terpyridine unit induce an asymmetric electron distribution with localized electron density at the adjacent carbon atoms, while the electron‐withdrawing acrylonitrile linkage increases the electron distribution asymmetry of the entire framework. Consequently, the high electron‐density carbon atoms in the terpyridine units of TPy‐acr COF show strong binding for O</w:t>
      </w:r>
      <w:r>
        <w:rPr>
          <w:vertAlign w:val="subscript"/>
        </w:rPr>
        <w:t>2</w:t>
      </w:r>
      <w:r>
        <w:t>and fast charge transfer to the key intermediate</w:t>
      </w:r>
      <w:r>
        <w:t xml:space="preserve"> </w:t>
      </w:r>
      <w:r>
        <w:t>*</w:t>
      </w:r>
      <w:r>
        <w:t xml:space="preserve"> </w:t>
      </w:r>
      <w:r>
        <w:t>OOH. Remarkably, the TPy‐acr COF enabled a high production rate of 4.85 mmol g</w:t>
      </w:r>
      <w:r>
        <w:t xml:space="preserve"> </w:t>
      </w:r>
      <w:r>
        <w:t>−1</w:t>
      </w:r>
      <w:r>
        <w:t xml:space="preserve"> </w:t>
      </w:r>
      <w:r>
        <w:t>h</w:t>
      </w:r>
      <w:r>
        <w:t xml:space="preserve"> </w:t>
      </w:r>
      <w:r>
        <w:t>−1</w:t>
      </w:r>
      <w:r>
        <w:t xml:space="preserve"> </w:t>
      </w:r>
      <w:r>
        <w:t>for H</w:t>
      </w:r>
      <w:r>
        <w:rPr>
          <w:vertAlign w:val="subscript"/>
        </w:rPr>
        <w:t>2</w:t>
      </w:r>
      <w:r>
        <w:t>O</w:t>
      </w:r>
      <w:r>
        <w:rPr>
          <w:vertAlign w:val="subscript"/>
        </w:rPr>
        <w:t>2</w:t>
      </w:r>
      <w:r>
        <w:t>directly from water and air. An outdoor scale‐up experiment shows an average H</w:t>
      </w:r>
      <w:r>
        <w:rPr>
          <w:vertAlign w:val="subscript"/>
        </w:rPr>
        <w:t>2</w:t>
      </w:r>
      <w:r>
        <w:t>O</w:t>
      </w:r>
      <w:r>
        <w:rPr>
          <w:vertAlign w:val="subscript"/>
        </w:rPr>
        <w:t>2</w:t>
      </w:r>
      <w:r>
        <w:t>production rate of 1.14 mmol g</w:t>
      </w:r>
      <w:r>
        <w:t xml:space="preserve"> </w:t>
      </w:r>
      <w:r>
        <w:t>−1</w:t>
      </w:r>
      <w:r>
        <w:t xml:space="preserve"> </w:t>
      </w:r>
      <w:r>
        <w:t>h</w:t>
      </w:r>
      <w:r>
        <w:t xml:space="preserve"> </w:t>
      </w:r>
      <w:r>
        <w:t>−1</w:t>
      </w:r>
      <w:r>
        <w:t xml:space="preserve"> </w:t>
      </w:r>
      <w:r>
        <w:t>over TPy‐acr COF using water in ambient air under natural sunlight, demonstrating practical application potential with sustainability, simplicity, and scalability.</w:t>
      </w:r>
    </w:p>
    <w:p>
      <w:pPr>
        <w:spacing w:before="120" w:after="120"/>
      </w:pPr>
      <w:r>
        <w:rPr>
          <w:sz w:val="18"/>
        </w:rPr>
        <w:t>——————————————————————————————————————————————————————————————————————</w:t>
      </w:r>
    </w:p>
    <w:p>
      <w:pPr>
        <w:spacing w:before="160" w:after="40" w:line="240" w:lineRule="auto"/>
      </w:pPr>
      <w:r>
        <w:rPr>
          <w:b/>
        </w:rPr>
        <w:t xml:space="preserve">[31] </w:t>
      </w:r>
      <w:hyperlink r:id="rId328">
        <w:r>
          <w:rPr>
            <w:color w:val="1155CC"/>
            <w:u w:val="single"/>
          </w:rPr>
          <w:t>新兴国家和发展中国家不确定性下的金融包容性以及获得清洁烹饪燃料和技术的机会</w:t>
        </w:r>
      </w:hyperlink>
    </w:p>
    <w:p>
      <w:pPr>
        <w:spacing w:before="0" w:after="80"/>
      </w:pPr>
      <w:r>
        <w:rPr>
          <w:i/>
          <w:sz w:val="20"/>
        </w:rPr>
        <w:t>EN: Financial inclusion and access to clean cooking fuels and technologies under uncertainty in emerging and developing countries</w:t>
      </w:r>
    </w:p>
    <w:p>
      <w:pPr>
        <w:spacing w:before="0" w:after="120"/>
      </w:pPr>
      <w:r>
        <w:rPr>
          <w:b/>
        </w:rPr>
        <w:t xml:space="preserve">Source: </w:t>
      </w:r>
      <w:r>
        <w:t>ScienceDirect Publication: Energy Policy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 </w:t>
      </w:r>
      <w:hyperlink r:id="rId329">
        <w:r>
          <w:rPr>
            <w:color w:val="1155CC"/>
            <w:u w:val="single"/>
          </w:rPr>
          <w:t>企业感知到的政治不稳定是否会影响能源贫困？</w:t>
        </w:r>
      </w:hyperlink>
    </w:p>
    <w:p>
      <w:pPr>
        <w:spacing w:before="0" w:after="80"/>
      </w:pPr>
      <w:r>
        <w:rPr>
          <w:i/>
          <w:sz w:val="20"/>
        </w:rPr>
        <w:t>EN: Does firms’ perceived political instability affect energy poverty?</w:t>
      </w:r>
    </w:p>
    <w:p>
      <w:pPr>
        <w:spacing w:before="0" w:after="120"/>
      </w:pPr>
      <w:r>
        <w:rPr>
          <w:b/>
        </w:rPr>
        <w:t xml:space="preserve">Source: </w:t>
      </w:r>
      <w:r>
        <w:t>ScienceDirect Publication: Energy Policy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330">
        <w:r>
          <w:rPr>
            <w:color w:val="1155CC"/>
            <w:u w:val="single"/>
          </w:rPr>
          <w:t>振动能源为离网能源获取和可持续能源转型做出贡献</w:t>
        </w:r>
      </w:hyperlink>
    </w:p>
    <w:p>
      <w:pPr>
        <w:spacing w:before="0" w:after="80"/>
      </w:pPr>
      <w:r>
        <w:rPr>
          <w:i/>
          <w:sz w:val="20"/>
        </w:rPr>
        <w:t>EN: Vibration energy as a contributor to off-grid energy access and the sustainable energy transition</w:t>
      </w:r>
    </w:p>
    <w:p>
      <w:pPr>
        <w:spacing w:before="0" w:after="120"/>
      </w:pPr>
      <w:r>
        <w:rPr>
          <w:b/>
        </w:rPr>
        <w:t xml:space="preserve">Source: </w:t>
      </w:r>
      <w:r>
        <w:t>ScienceDirect Publication: Applied Energy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331">
        <w:r>
          <w:rPr>
            <w:color w:val="1155CC"/>
            <w:u w:val="single"/>
          </w:rPr>
          <w:t>动态电位图指导大型电动汽车充电站的实时协调</w:t>
        </w:r>
      </w:hyperlink>
    </w:p>
    <w:p>
      <w:pPr>
        <w:spacing w:before="0" w:after="80"/>
      </w:pPr>
      <w:r>
        <w:rPr>
          <w:i/>
          <w:sz w:val="20"/>
        </w:rPr>
        <w:t>EN: Dynamic potential graphs guided real-time coordination for large-scale EV charging stations</w:t>
      </w:r>
    </w:p>
    <w:p>
      <w:pPr>
        <w:spacing w:before="0" w:after="120"/>
      </w:pPr>
      <w:r>
        <w:rPr>
          <w:b/>
        </w:rPr>
        <w:t xml:space="preserve">Source: </w:t>
      </w:r>
      <w:r>
        <w:t>ScienceDirect Publication: Applied Energy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 </w:t>
      </w:r>
      <w:hyperlink r:id="rId332">
        <w:r>
          <w:rPr>
            <w:color w:val="1155CC"/>
            <w:u w:val="single"/>
          </w:rPr>
          <w:t>考虑内生不确定性的网络化微电网最优直接互联扩展规划</w:t>
        </w:r>
      </w:hyperlink>
    </w:p>
    <w:p>
      <w:pPr>
        <w:spacing w:before="0" w:after="80"/>
      </w:pPr>
      <w:r>
        <w:rPr>
          <w:i/>
          <w:sz w:val="20"/>
        </w:rPr>
        <w:t>EN: Optimal direct interconnected expansion planning for networked-microgrids considering endogenous uncertainties</w:t>
      </w:r>
    </w:p>
    <w:p>
      <w:pPr>
        <w:spacing w:before="0" w:after="120"/>
      </w:pPr>
      <w:r>
        <w:rPr>
          <w:b/>
        </w:rPr>
        <w:t xml:space="preserve">Source: </w:t>
      </w:r>
      <w:r>
        <w:t>ScienceDirect Publication: Applied Energy</w:t>
      </w:r>
      <w:r>
        <w:t xml:space="preserve">    </w:t>
      </w:r>
      <w:r>
        <w:rPr>
          <w:b/>
        </w:rPr>
        <w:t xml:space="preserve">Pub date: </w:t>
      </w:r>
      <w:r>
        <w:t>2026-06-21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 </w:t>
      </w:r>
      <w:hyperlink r:id="rId333">
        <w:r>
          <w:rPr>
            <w:color w:val="1155CC"/>
            <w:u w:val="single"/>
          </w:rPr>
          <w:t>铁催化亚磺酰胺的不对称NH2-氨基化</w:t>
        </w:r>
      </w:hyperlink>
    </w:p>
    <w:p>
      <w:pPr>
        <w:spacing w:before="0" w:after="80"/>
      </w:pPr>
      <w:r>
        <w:rPr>
          <w:i/>
          <w:sz w:val="20"/>
        </w:rPr>
        <w:t>EN: Iron‐Catalyzed Asymmetric NH2‐Amination of Sulfenamides</w:t>
      </w:r>
    </w:p>
    <w:p>
      <w:pPr>
        <w:spacing w:before="0" w:after="120"/>
      </w:pPr>
      <w:r>
        <w:rPr>
          <w:b/>
        </w:rPr>
        <w:t xml:space="preserve">Source: </w:t>
      </w:r>
      <w:r>
        <w:t>Wiley: Angewandte Chemie International Edition: Table of Contents</w:t>
      </w:r>
      <w:r>
        <w:t xml:space="preserve">    </w:t>
      </w:r>
      <w:r>
        <w:rPr>
          <w:b/>
        </w:rPr>
        <w:t xml:space="preserve">Pub date: </w:t>
      </w:r>
      <w:r>
        <w:t>2026-06-21 15:43:56+00:00</w:t>
      </w:r>
      <w:r>
        <w:t xml:space="preserve">    </w:t>
      </w:r>
      <w:r>
        <w:rPr>
          <w:b/>
        </w:rPr>
        <w:t xml:space="preserve">DOI: </w:t>
      </w:r>
      <w:hyperlink r:id="rId334">
        <w:r>
          <w:rPr>
            <w:color w:val="1155CC"/>
            <w:u w:val="single"/>
          </w:rPr>
          <w:t>10.1002/anie.1625296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硫立体异构基序在药物发现和催化中的日益突出，对多功能合成方法的需求不断增长。我们在这里描述 Fe(</w:t>
      </w:r>
      <w:r>
        <w:t xml:space="preserve"> </w:t>
      </w:r>
      <w:r>
        <w:t>TIBS</w:t>
      </w:r>
      <w:r>
        <w:t xml:space="preserve"> </w:t>
      </w:r>
      <w:r>
        <w:t>PDP)催化的对映选择性</w:t>
      </w:r>
      <w:r>
        <w:t xml:space="preserve"> </w:t>
      </w:r>
      <w:r>
        <w:t>NH</w:t>
      </w:r>
      <w:r>
        <w:rPr>
          <w:vertAlign w:val="subscript"/>
        </w:rPr>
        <w:t>2</w:t>
      </w:r>
      <w:r>
        <w:t xml:space="preserve"> </w:t>
      </w:r>
      <w:r>
        <w:t>‐亚磺酰胺的胺化以获得手性亚磺脒。该方法适用于多种次磺酰胺，能够直接获得多种含氮立体异构的硫结构。通过有效制备药学相关化合物（例如候选药物 LY181984 的氮杂类似物和 PP2A 调节剂）证明了合成效用。此外，该反应代表了不对称反应的第一个例子</w:t>
      </w:r>
      <w:r>
        <w:t xml:space="preserve"> </w:t>
      </w:r>
      <w:r>
        <w:t>NH</w:t>
      </w:r>
      <w:r>
        <w:rPr>
          <w:vertAlign w:val="subscript"/>
        </w:rPr>
        <w:t>2</w:t>
      </w:r>
      <w:r>
        <w:t xml:space="preserve"> </w:t>
      </w:r>
      <w:r>
        <w:t>使用广泛使用的仿生 Fe(PDP) 型催化剂进行转移。</w:t>
      </w:r>
    </w:p>
    <w:p>
      <w:pPr>
        <w:spacing w:before="0" w:after="200" w:lineRule="auto" w:line="276"/>
      </w:pPr>
      <w:r>
        <w:rPr>
          <w:b/>
        </w:rPr>
        <w:t xml:space="preserve">Abstract (EN): </w:t>
      </w:r>
      <w:r>
        <w:t>The increasing prominence of stereogenic‐at‐sulfur motifs in drug discovery and catalysis has created a growing demand for versatile synthetic methods. We describe here an Fe(</w:t>
      </w:r>
      <w:r>
        <w:t xml:space="preserve"> </w:t>
      </w:r>
      <w:r>
        <w:t>TIBS</w:t>
      </w:r>
      <w:r>
        <w:t xml:space="preserve"> </w:t>
      </w:r>
      <w:r>
        <w:t>PDP)‐catalyzed enantioselective</w:t>
      </w:r>
      <w:r>
        <w:t xml:space="preserve"> </w:t>
      </w:r>
      <w:r>
        <w:t>NH</w:t>
      </w:r>
      <w:r>
        <w:rPr>
          <w:vertAlign w:val="subscript"/>
        </w:rPr>
        <w:t>2</w:t>
      </w:r>
      <w:r>
        <w:t xml:space="preserve"> </w:t>
      </w:r>
      <w:r>
        <w:t>‐amination of sulfenamides to access chiral sulfinamidines. This method accommodates a broad range of sulfenamides, enabling direct access to diverse nitrogenated stereogenic‐at‐sulfur architectures. The synthetic utility is demonstrated by the efficient preparation of pharmaceutically relevant compounds, such as an aza‐analog of drug candidate LY181984 and a PP2A modulator. Moreover, this reaction represents the first example of asymmetric</w:t>
      </w:r>
      <w:r>
        <w:t xml:space="preserve"> </w:t>
      </w:r>
      <w:r>
        <w:t>NH</w:t>
      </w:r>
      <w:r>
        <w:rPr>
          <w:vertAlign w:val="subscript"/>
        </w:rPr>
        <w:t>2</w:t>
      </w:r>
      <w:r>
        <w:t xml:space="preserve"> </w:t>
      </w:r>
      <w:r>
        <w:t>transfer using the widely employed bioinspired Fe(PDP)‐type catalysts.</w:t>
      </w:r>
    </w:p>
    <w:p>
      <w:pPr>
        <w:spacing w:before="120" w:after="120"/>
      </w:pPr>
      <w:r>
        <w:rPr>
          <w:sz w:val="18"/>
        </w:rPr>
        <w:t>——————————————————————————————————————————————————————————————————————</w:t>
      </w:r>
    </w:p>
    <w:p>
      <w:pPr>
        <w:spacing w:before="160" w:after="40" w:line="240" w:lineRule="auto"/>
      </w:pPr>
      <w:r>
        <w:rPr>
          <w:b/>
        </w:rPr>
        <w:t xml:space="preserve">[37] </w:t>
      </w:r>
      <w:hyperlink r:id="rId335">
        <w:r>
          <w:rPr>
            <w:color w:val="1155CC"/>
            <w:u w:val="single"/>
          </w:rPr>
          <w:t>碳环 5-Aza-2'-脱氧胞苷抗代谢物增加 TET 表达和 5-羟甲基胞嘧啶形成</w:t>
        </w:r>
      </w:hyperlink>
    </w:p>
    <w:p>
      <w:pPr>
        <w:spacing w:before="0" w:after="80"/>
      </w:pPr>
      <w:r>
        <w:rPr>
          <w:i/>
          <w:sz w:val="20"/>
        </w:rPr>
        <w:t>EN: Increasing TET Expression and 5‐Hydroxymethylcytosine Formation by a Carbocyclic 5‐Aza‐2′‐deoxy‐cytidine Antimetabolite</w:t>
      </w:r>
    </w:p>
    <w:p>
      <w:pPr>
        <w:spacing w:before="0" w:after="120"/>
      </w:pPr>
      <w:r>
        <w:rPr>
          <w:b/>
        </w:rPr>
        <w:t xml:space="preserve">Source: </w:t>
      </w:r>
      <w:r>
        <w:t>Wiley: Angewandte Chemie International Edition: Table of Contents</w:t>
      </w:r>
      <w:r>
        <w:t xml:space="preserve">    </w:t>
      </w:r>
      <w:r>
        <w:rPr>
          <w:b/>
        </w:rPr>
        <w:t xml:space="preserve">Pub date: </w:t>
      </w:r>
      <w:r>
        <w:t>2026-06-21 15:45:19+00:00</w:t>
      </w:r>
      <w:r>
        <w:t xml:space="preserve">    </w:t>
      </w:r>
      <w:r>
        <w:rPr>
          <w:b/>
        </w:rPr>
        <w:t xml:space="preserve">DOI: </w:t>
      </w:r>
      <w:hyperlink r:id="rId336">
        <w:r>
          <w:rPr>
            <w:color w:val="1155CC"/>
            <w:u w:val="single"/>
          </w:rPr>
          <w:t>10.1002/anie.6265286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10-11 易位 (TET) 酶是关键的表观遗传调节剂，它们以 α-酮戊二酸依赖性方式将基因组中的甲基化胞嘧啶核碱基 5-甲基-dC (mdC) 氧化为 5-羟甲基-dC (hmdC)。因为给定基因的启动子区域中 mdC 的存在会沉默其表达，因此这种氧化与此类沉默基因的重新激活同时进行。在不同的高度侵袭性癌症中，例如急性髓系白血病 (AML) 和胶质母细胞瘤，TET 酶功能的丧失以及因此导致的 hmdC 水平降低为肿瘤的发展铺平了道路。 TET 活性的损害可以通过代谢抑制、TET 基因本身的功能丧失突变以及最终通过表观遗传沉默抑制 TET 表达来发生。 TET 酶表达的重新激活是表观遗传癌症治疗的一个主要目标。在这里，我们发现碳环抗代谢物 5-aza-2' 脱氧胞苷 (cAzadC) 被认为在复制过程中抑制 DNA 甲基化，导致 TET2 表达大幅增加并强烈增加 hmdC 水平。我们表明，cAzadC 治疗与细胞抗肿瘤反应的广泛重新激活密切相关。通过患者来源的异种移植 AML 小鼠模型，我们表明这可以转化为体内抗癌效果的显着改善。</w:t>
      </w:r>
    </w:p>
    <w:p>
      <w:pPr>
        <w:spacing w:before="0" w:after="200" w:lineRule="auto" w:line="276"/>
      </w:pPr>
      <w:r>
        <w:rPr>
          <w:b/>
        </w:rPr>
        <w:t xml:space="preserve">Abstract (EN): </w:t>
      </w:r>
      <w:r>
        <w:t>Ten‐eleven translocation (TET) enzymes are critical epigenetic regulators, which oxidize the methylated cytosine nucleobase 5‐methyl‐dC (mdC) in the genome to 5‐hydroxymethyl‐dC (hmdC) in an α‐ketoglutarate‐dependent manner. Because the presence of mdC in the promoter region of a given gene silences its expression, this oxidation goes in hand with the reactivation of such silenced genes. In different highly aggressive cancers such as acute myeloid leukemia (AML) and glioblastoma, loss of TET enzyme function, and therefore reduced hmdC levels pave the way for tumor development. Impairment of TET activity can occur through metabolic inhibition, through loss‐of‐function mutations in TET genes themselves, and finally through suppression of TET‐expression via epigenetic silencing. Reactivation of TET enzyme expression represents a major aim of epigenetic cancer therapy. Here we show that the carbocyclic antimetabolite 5‐aza‐2′deoxycytidine (cAzadC), which is supposed to suppress the methylation of DNA during replication, leads to a substantial increase of TET2 expression and strongly increasing hmdC levels. We show that the treatment with cAzadC goes in hand with the broad reactivation of the cellular antitumor responses. With patient‐derived xenograft AML‐mouse models, we show that this translates into a strongly improved anticancer effect in vivo.</w:t>
      </w:r>
    </w:p>
    <w:p>
      <w:pPr>
        <w:spacing w:before="120" w:after="120"/>
      </w:pPr>
      <w:r>
        <w:rPr>
          <w:sz w:val="18"/>
        </w:rPr>
        <w:t>——————————————————————————————————————————————————————————————————————</w:t>
      </w:r>
    </w:p>
    <w:p>
      <w:pPr>
        <w:spacing w:before="160" w:after="40" w:line="240" w:lineRule="auto"/>
      </w:pPr>
      <w:r>
        <w:rPr>
          <w:b/>
        </w:rPr>
        <w:t xml:space="preserve">[38] </w:t>
      </w:r>
      <w:hyperlink r:id="rId337">
        <w:r>
          <w:rPr>
            <w:color w:val="1155CC"/>
            <w:u w:val="single"/>
          </w:rPr>
          <w:t>化学调控的脱氧核糖环二核苷酸的 STING 激活前药可引发强大的免疫激活和持久的抗肿瘤免疫</w:t>
        </w:r>
      </w:hyperlink>
    </w:p>
    <w:p>
      <w:pPr>
        <w:spacing w:before="0" w:after="80"/>
      </w:pPr>
      <w:r>
        <w:rPr>
          <w:i/>
          <w:sz w:val="20"/>
        </w:rPr>
        <w:t>EN: Chemically Regulated STING‐Activating Prodrugs of Deoxyribose Cyclic Dinucleotides Elicit Robust Immune Activation and Durable Antitumor Immunity</w:t>
      </w:r>
    </w:p>
    <w:p>
      <w:pPr>
        <w:spacing w:before="0" w:after="120"/>
      </w:pPr>
      <w:r>
        <w:rPr>
          <w:b/>
        </w:rPr>
        <w:t xml:space="preserve">Source: </w:t>
      </w:r>
      <w:r>
        <w:t>Wiley: Angewandte Chemie International Edition: Table of Contents</w:t>
      </w:r>
      <w:r>
        <w:t xml:space="preserve">    </w:t>
      </w:r>
      <w:r>
        <w:rPr>
          <w:b/>
        </w:rPr>
        <w:t xml:space="preserve">Pub date: </w:t>
      </w:r>
      <w:r>
        <w:t>2026-06-21 15:49:52+00:00</w:t>
      </w:r>
      <w:r>
        <w:t xml:space="preserve">    </w:t>
      </w:r>
      <w:r>
        <w:rPr>
          <w:b/>
        </w:rPr>
        <w:t xml:space="preserve">DOI: </w:t>
      </w:r>
      <w:hyperlink r:id="rId338">
        <w:r>
          <w:rPr>
            <w:color w:val="1155CC"/>
            <w:u w:val="single"/>
          </w:rPr>
          <w:t>10.1002/anie.8478309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脱氧核糖环二核苷酸 (dCDN) 的衍生物在 STING 通路的激活中表现出显着的优势特性。 dCDN 前药磷酸三酯的手性可能会影响稳定性、细胞通透性、生物活性和持续时间，但通过细胞和动物模型的系统评估尚未充分探索这一点。在此，我们分离并表征了炔偶联酯酶敏感的 dCDN 前药的所有三种非对映异构体，并仔细检查了它们在稳定性、细胞摄取和生物活性方面的差异。在 THP1 细胞内，(</w:t>
      </w:r>
      <w:r>
        <w:t xml:space="preserve"> </w:t>
      </w:r>
      <w:r>
        <w:t>RP,Rp</w:t>
      </w:r>
      <w:r>
        <w:t xml:space="preserve"> </w:t>
      </w:r>
      <w:r>
        <w:t>) 非对映异构体表现出最高水平的 STING 通路激活 (EC</w:t>
      </w:r>
      <w:r>
        <w:rPr>
          <w:vertAlign w:val="subscript"/>
        </w:rPr>
        <w:t>50</w:t>
      </w:r>
      <w:r>
        <w:t>= 1.7 nM)，并且比 (</w:t>
      </w:r>
      <w:r>
        <w:t xml:space="preserve"> </w:t>
      </w:r>
      <w:r>
        <w:t>RP,Sp</w:t>
      </w:r>
      <w:r>
        <w:t xml:space="preserve"> </w:t>
      </w:r>
      <w:r>
        <w:t>) 和 (</w:t>
      </w:r>
      <w:r>
        <w:t xml:space="preserve"> </w:t>
      </w:r>
      <w:r>
        <w:t>,Sp</w:t>
      </w:r>
      <w:r>
        <w:t xml:space="preserve"> </w:t>
      </w:r>
      <w:r>
        <w:t>）非对映异构体。在小鼠模型中，与母体 CDN 3',3'-c-di-dAMP 以及临床相关的 STING 激动剂 ADU-S100 相比，前药在抗肿瘤免疫反应的发展中引发了明显更强的刺激。的（</w:t>
      </w:r>
      <w:r>
        <w:t xml:space="preserve"> </w:t>
      </w:r>
      <w:r>
        <w:t>RP,Rp</w:t>
      </w:r>
      <w:r>
        <w:t xml:space="preserve"> </w:t>
      </w:r>
      <w:r>
        <w:t>）非对映异构体在静脉注射时表现出最显着的抗肿瘤活性，显着抑制肿瘤增殖，延长小鼠 CT26 肿瘤模型中的生存期，完全缓解 (CR) 率为 90%，并建立持久的肿瘤特异性免疫</w:t>
      </w:r>
    </w:p>
    <w:p>
      <w:pPr>
        <w:spacing w:before="0" w:after="200" w:lineRule="auto" w:line="276"/>
      </w:pPr>
      <w:r>
        <w:rPr>
          <w:b/>
        </w:rPr>
        <w:t xml:space="preserve">Abstract (EN): </w:t>
      </w:r>
      <w:r>
        <w:t>Derivatives of deoxyribose cyclic dinucleotides (dCDNs) displayed notable advantageous properties in the activation of STING pathway. The chirality of the phosphotriester of dCDN prodrugs may influence the stability, cellular permeability, bioactivity and duration, which remains inadequately explored through systematic evaluations in cellular and animal models. Herein, we isolated and characterized all three diastereoisomers of alkyne‐conjugated esterase‐sensitive dCDN prodrugs, and meticulously examined their difference in stability, cellular uptake and bioactivity. Within THP1 cells, the (</w:t>
      </w:r>
      <w:r>
        <w:t xml:space="preserve"> </w:t>
      </w:r>
      <w:r>
        <w:t>Rp,Rp</w:t>
      </w:r>
      <w:r>
        <w:t xml:space="preserve"> </w:t>
      </w:r>
      <w:r>
        <w:t>) diastereoisomer demonstrated the highest level of activation of STING pathway (EC</w:t>
      </w:r>
      <w:r>
        <w:rPr>
          <w:vertAlign w:val="subscript"/>
        </w:rPr>
        <w:t>50</w:t>
      </w:r>
      <w:r>
        <w:t>= 1.7 nM), and induced more robust and prolonged activation pulse than the (</w:t>
      </w:r>
      <w:r>
        <w:t xml:space="preserve"> </w:t>
      </w:r>
      <w:r>
        <w:t>Rp,Sp</w:t>
      </w:r>
      <w:r>
        <w:t xml:space="preserve"> </w:t>
      </w:r>
      <w:r>
        <w:t>) and (</w:t>
      </w:r>
      <w:r>
        <w:t xml:space="preserve"> </w:t>
      </w:r>
      <w:r>
        <w:t>Sp,Sp</w:t>
      </w:r>
      <w:r>
        <w:t xml:space="preserve"> </w:t>
      </w:r>
      <w:r>
        <w:t>) diastereoisomers. In murine models, prodrugs elicited significantly stronger stimulation in the development of an antitumor immune response compared to the parent CDN 3′,3′‐c‐di‐dAMP, as well as the clinically relevant STING agonist ADU‐S100. The (</w:t>
      </w:r>
      <w:r>
        <w:t xml:space="preserve"> </w:t>
      </w:r>
      <w:r>
        <w:t>Rp,Rp</w:t>
      </w:r>
      <w:r>
        <w:t xml:space="preserve"> </w:t>
      </w:r>
      <w:r>
        <w:t>) diastereoisomer exhibited the most pronounced antitumor activity in the context of intravenous administration, significantly suppressing tumor proliferation, extending the survival with a complete response (CR) rate of 90% in a mouse CT26 tumor model, and establishing long‐lasting tumor‐specific immunological memory. These findings underscore the importance of considering the chirality of phosphotriesters in the development of more effective, safer, and sustainable STING agonist in tumor immunotherapy.</w:t>
      </w:r>
    </w:p>
    <w:p>
      <w:pPr>
        <w:spacing w:before="120" w:after="120"/>
      </w:pPr>
      <w:r>
        <w:rPr>
          <w:sz w:val="18"/>
        </w:rPr>
        <w:t>——————————————————————————————————————————————————————————————————————</w:t>
      </w:r>
    </w:p>
    <w:p>
      <w:pPr>
        <w:spacing w:before="160" w:after="40" w:line="240" w:lineRule="auto"/>
      </w:pPr>
      <w:r>
        <w:rPr>
          <w:b/>
        </w:rPr>
        <w:t xml:space="preserve">[39] </w:t>
      </w:r>
      <w:hyperlink r:id="rId339">
        <w:r>
          <w:rPr>
            <w:color w:val="1155CC"/>
            <w:u w:val="single"/>
          </w:rPr>
          <w:t>稀土二氮配合物将白磷还原活化为 [P4]2–、[P2]2– 和形式 P2– 自由基</w:t>
        </w:r>
      </w:hyperlink>
    </w:p>
    <w:p>
      <w:pPr>
        <w:spacing w:before="0" w:after="80"/>
      </w:pPr>
      <w:r>
        <w:rPr>
          <w:i/>
          <w:sz w:val="20"/>
        </w:rPr>
        <w:t>EN: Reductive Activation of White Phosphorus to [P4]2–, [P2]2–, and a Formal P2– Radical by Rare‐Earth Dinitrogen Complexes</w:t>
      </w:r>
    </w:p>
    <w:p>
      <w:pPr>
        <w:spacing w:before="0" w:after="120"/>
      </w:pPr>
      <w:r>
        <w:rPr>
          <w:b/>
        </w:rPr>
        <w:t xml:space="preserve">Source: </w:t>
      </w:r>
      <w:r>
        <w:t>Wiley: Angewandte Chemie International Edition: Table of Contents</w:t>
      </w:r>
      <w:r>
        <w:t xml:space="preserve">    </w:t>
      </w:r>
      <w:r>
        <w:rPr>
          <w:b/>
        </w:rPr>
        <w:t xml:space="preserve">Pub date: </w:t>
      </w:r>
      <w:r>
        <w:t>2026-06-21 15:52:19+00:00</w:t>
      </w:r>
      <w:r>
        <w:t xml:space="preserve">    </w:t>
      </w:r>
      <w:r>
        <w:rPr>
          <w:b/>
        </w:rPr>
        <w:t xml:space="preserve">DOI: </w:t>
      </w:r>
      <w:hyperlink r:id="rId340">
        <w:r>
          <w:rPr>
            <w:color w:val="1155CC"/>
            <w:u w:val="single"/>
          </w:rPr>
          <w:t>10.1002/anie.6643873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活化白磷（P</w:t>
      </w:r>
      <w:r>
        <w:rPr>
          <w:vertAlign w:val="subscript"/>
        </w:rPr>
        <w:t>4</w:t>
      </w:r>
      <w:r>
        <w:t>) 到较小的 P</w:t>
      </w:r>
      <w:r>
        <w:t xml:space="preserve"> </w:t>
      </w:r>
      <w:r>
        <w:t>n</w:t>
      </w:r>
      <w:r>
        <w:t xml:space="preserve"> </w:t>
      </w:r>
      <w:r>
        <w:t>稀土化合物单元仍然是一个综合挑战。在这里，我们证明稀土二氮配合物[{(Cp</w:t>
      </w:r>
      <w:r>
        <w:t xml:space="preserve"> </w:t>
      </w:r>
      <w:r>
        <w:t>ttt</w:t>
      </w:r>
      <w:r>
        <w:t xml:space="preserve"> </w:t>
      </w:r>
      <w:r>
        <w:t>）</w:t>
      </w:r>
      <w:r>
        <w:rPr>
          <w:vertAlign w:val="subscript"/>
        </w:rPr>
        <w:t>2</w:t>
      </w:r>
      <w:r>
        <w:t>M}</w:t>
      </w:r>
      <w:r>
        <w:rPr>
          <w:vertAlign w:val="subscript"/>
        </w:rPr>
        <w:t>2</w:t>
      </w:r>
      <w:r>
        <w:t>(μ-1,2-N</w:t>
      </w:r>
      <w:r>
        <w:rPr>
          <w:vertAlign w:val="subscript"/>
        </w:rPr>
        <w:t>2</w:t>
      </w:r>
      <w:r>
        <w:t>)] (M = Y, Gd;Cp</w:t>
      </w:r>
      <w:r>
        <w:t xml:space="preserve"> </w:t>
      </w:r>
      <w:r>
        <w:t>ttt</w:t>
      </w:r>
      <w:r>
        <w:t xml:space="preserve"> </w:t>
      </w:r>
      <w:r>
        <w:t>= 1,2,4-三(</w:t>
      </w:r>
      <w:r>
        <w:t xml:space="preserve"> </w:t>
      </w:r>
      <w:r>
        <w:t>叔</w:t>
      </w:r>
      <w:r>
        <w:t xml:space="preserve"> </w:t>
      </w:r>
      <w:r>
        <w:t>‐丁基）环戊二烯基），还原性裂解 P</w:t>
      </w:r>
      <w:r>
        <w:rPr>
          <w:vertAlign w:val="subscript"/>
        </w:rPr>
        <w:t>4</w:t>
      </w:r>
      <w:r>
        <w:t>给出一系列核数递减的磷阴离子，即 [{(Cp</w:t>
      </w:r>
      <w:r>
        <w:t xml:space="preserve"> </w:t>
      </w:r>
      <w:r>
        <w:t>ttt</w:t>
      </w:r>
      <w:r>
        <w:t xml:space="preserve"> </w:t>
      </w:r>
      <w:r>
        <w:t>）</w:t>
      </w:r>
      <w:r>
        <w:rPr>
          <w:vertAlign w:val="subscript"/>
        </w:rPr>
        <w:t>2</w:t>
      </w:r>
      <w:r>
        <w:t>M}</w:t>
      </w:r>
      <w:r>
        <w:rPr>
          <w:vertAlign w:val="subscript"/>
        </w:rPr>
        <w:t>2</w:t>
      </w:r>
      <w:r>
        <w:t>(μ-P</w:t>
      </w:r>
      <w:r>
        <w:rPr>
          <w:vertAlign w:val="subscript"/>
        </w:rPr>
        <w:t>4</w:t>
      </w:r>
      <w:r>
        <w:t>)](</w:t>
      </w:r>
      <w:r>
        <w:rPr>
          <w:vertAlign w:val="subscript"/>
        </w:rPr>
        <w:t>1</w:t>
      </w:r>
      <w:r>
        <w:t xml:space="preserve"> </w:t>
      </w:r>
      <w:r>
        <w:t>中号</w:t>
      </w:r>
      <w:r>
        <w:t xml:space="preserve"> </w:t>
      </w:r>
      <w:r>
        <w:t>), [{(Cp</w:t>
      </w:r>
      <w:r>
        <w:t xml:space="preserve"> </w:t>
      </w:r>
      <w:r>
        <w:t>ttt</w:t>
      </w:r>
      <w:r>
        <w:t xml:space="preserve"> </w:t>
      </w:r>
      <w:r>
        <w:t>）</w:t>
      </w:r>
      <w:r>
        <w:rPr>
          <w:vertAlign w:val="subscript"/>
        </w:rPr>
        <w:t>2</w:t>
      </w:r>
      <w:r>
        <w:t>M}</w:t>
      </w:r>
      <w:r>
        <w:rPr>
          <w:vertAlign w:val="subscript"/>
        </w:rPr>
        <w:t>2</w:t>
      </w:r>
      <w:r>
        <w:t>(μ-η</w:t>
      </w:r>
      <w:r>
        <w:rPr>
          <w:vertAlign w:val="subscript"/>
        </w:rPr>
        <w:t>2</w:t>
      </w:r>
      <w:r>
        <w:t>: η</w:t>
      </w:r>
      <w:r>
        <w:rPr>
          <w:vertAlign w:val="subscript"/>
        </w:rPr>
        <w:t>2</w:t>
      </w:r>
      <w:r>
        <w:t>-P</w:t>
      </w:r>
      <w:r>
        <w:rPr>
          <w:vertAlign w:val="subscript"/>
        </w:rPr>
        <w:t>2</w:t>
      </w:r>
      <w:r>
        <w:t>)](</w:t>
      </w:r>
      <w:r>
        <w:rPr>
          <w:vertAlign w:val="subscript"/>
        </w:rPr>
        <w:t>2</w:t>
      </w:r>
      <w:r>
        <w:t xml:space="preserve"> </w:t>
      </w:r>
      <w:r>
        <w:t>中号</w:t>
      </w:r>
      <w:r>
        <w:t xml:space="preserve"> </w:t>
      </w:r>
      <w:r>
        <w:t>) 和 [{(Cp</w:t>
      </w:r>
      <w:r>
        <w:t xml:space="preserve"> </w:t>
      </w:r>
      <w:r>
        <w:t>ttt</w:t>
      </w:r>
      <w:r>
        <w:t xml:space="preserve"> </w:t>
      </w:r>
      <w:r>
        <w:t>）</w:t>
      </w:r>
      <w:r>
        <w:rPr>
          <w:vertAlign w:val="subscript"/>
        </w:rPr>
        <w:t>2</w:t>
      </w:r>
    </w:p>
    <w:p>
      <w:pPr>
        <w:spacing w:before="0" w:after="200" w:lineRule="auto" w:line="276"/>
      </w:pPr>
      <w:r>
        <w:rPr>
          <w:b/>
        </w:rPr>
        <w:t xml:space="preserve">Abstract (EN): </w:t>
      </w:r>
      <w:r>
        <w:t>Activation of white phosphorus (P</w:t>
      </w:r>
      <w:r>
        <w:rPr>
          <w:vertAlign w:val="subscript"/>
        </w:rPr>
        <w:t>4</w:t>
      </w:r>
      <w:r>
        <w:t>) to smaller P</w:t>
      </w:r>
      <w:r>
        <w:t xml:space="preserve"> </w:t>
      </w:r>
      <w:r>
        <w:t>n</w:t>
      </w:r>
      <w:r>
        <w:t xml:space="preserve"> </w:t>
      </w:r>
      <w:r>
        <w:t>units by rare‐earth compounds remains a synthetic challenge. Here, we show that the rare‐earth dinitrogen complexes [{(Cp</w:t>
      </w:r>
      <w:r>
        <w:t xml:space="preserve"> </w:t>
      </w:r>
      <w:r>
        <w:t>ttt</w:t>
      </w:r>
      <w:r>
        <w:t xml:space="preserve"> </w:t>
      </w:r>
      <w:r>
        <w:t>)</w:t>
      </w:r>
      <w:r>
        <w:rPr>
          <w:vertAlign w:val="subscript"/>
        </w:rPr>
        <w:t>2</w:t>
      </w:r>
      <w:r>
        <w:t>M}</w:t>
      </w:r>
      <w:r>
        <w:rPr>
          <w:vertAlign w:val="subscript"/>
        </w:rPr>
        <w:t>2</w:t>
      </w:r>
      <w:r>
        <w:t>(μ‐1,2‐N</w:t>
      </w:r>
      <w:r>
        <w:rPr>
          <w:vertAlign w:val="subscript"/>
        </w:rPr>
        <w:t>2</w:t>
      </w:r>
      <w:r>
        <w:t>)] (M = Y, Gd; Cp</w:t>
      </w:r>
      <w:r>
        <w:t xml:space="preserve"> </w:t>
      </w:r>
      <w:r>
        <w:t>ttt</w:t>
      </w:r>
      <w:r>
        <w:t xml:space="preserve"> </w:t>
      </w:r>
      <w:r>
        <w:t>= 1,2,4‐tri(</w:t>
      </w:r>
      <w:r>
        <w:t xml:space="preserve"> </w:t>
      </w:r>
      <w:r>
        <w:t>tert</w:t>
      </w:r>
      <w:r>
        <w:t xml:space="preserve"> </w:t>
      </w:r>
      <w:r>
        <w:t>‐butyl)cyclopentadienyl), reductively cleave P</w:t>
      </w:r>
      <w:r>
        <w:rPr>
          <w:vertAlign w:val="subscript"/>
        </w:rPr>
        <w:t>4</w:t>
      </w:r>
      <w:r>
        <w:t>to give a homologous series of phosphorus anions of decreasing nuclearity, that is, [{(Cp</w:t>
      </w:r>
      <w:r>
        <w:t xml:space="preserve"> </w:t>
      </w:r>
      <w:r>
        <w:t>ttt</w:t>
      </w:r>
      <w:r>
        <w:t xml:space="preserve"> </w:t>
      </w:r>
      <w:r>
        <w:t>)</w:t>
      </w:r>
      <w:r>
        <w:rPr>
          <w:vertAlign w:val="subscript"/>
        </w:rPr>
        <w:t>2</w:t>
      </w:r>
      <w:r>
        <w:t>M}</w:t>
      </w:r>
      <w:r>
        <w:rPr>
          <w:vertAlign w:val="subscript"/>
        </w:rPr>
        <w:t>2</w:t>
      </w:r>
      <w:r>
        <w:t>(μ‐P</w:t>
      </w:r>
      <w:r>
        <w:rPr>
          <w:vertAlign w:val="subscript"/>
        </w:rPr>
        <w:t>4</w:t>
      </w:r>
      <w:r>
        <w:t>)] (</w:t>
      </w:r>
      <w:r>
        <w:rPr>
          <w:vertAlign w:val="subscript"/>
        </w:rPr>
        <w:t>1</w:t>
      </w:r>
      <w:r>
        <w:t xml:space="preserve"> </w:t>
      </w:r>
      <w:r>
        <w:t>M</w:t>
      </w:r>
      <w:r>
        <w:t xml:space="preserve"> </w:t>
      </w:r>
      <w:r>
        <w:t>), [{(Cp</w:t>
      </w:r>
      <w:r>
        <w:t xml:space="preserve"> </w:t>
      </w:r>
      <w:r>
        <w:t>ttt</w:t>
      </w:r>
      <w:r>
        <w:t xml:space="preserve"> </w:t>
      </w:r>
      <w:r>
        <w:t>)</w:t>
      </w:r>
      <w:r>
        <w:rPr>
          <w:vertAlign w:val="subscript"/>
        </w:rPr>
        <w:t>2</w:t>
      </w:r>
      <w:r>
        <w:t>M}</w:t>
      </w:r>
      <w:r>
        <w:rPr>
          <w:vertAlign w:val="subscript"/>
        </w:rPr>
        <w:t>2</w:t>
      </w:r>
      <w:r>
        <w:t>(μ‐η</w:t>
      </w:r>
      <w:r>
        <w:rPr>
          <w:vertAlign w:val="subscript"/>
        </w:rPr>
        <w:t>2</w:t>
      </w:r>
      <w:r>
        <w:t>:η</w:t>
      </w:r>
      <w:r>
        <w:rPr>
          <w:vertAlign w:val="subscript"/>
        </w:rPr>
        <w:t>2</w:t>
      </w:r>
      <w:r>
        <w:t>‐P</w:t>
      </w:r>
      <w:r>
        <w:rPr>
          <w:vertAlign w:val="subscript"/>
        </w:rPr>
        <w:t>2</w:t>
      </w:r>
      <w:r>
        <w:t>)] (</w:t>
      </w:r>
      <w:r>
        <w:rPr>
          <w:vertAlign w:val="subscript"/>
        </w:rPr>
        <w:t>2</w:t>
      </w:r>
      <w:r>
        <w:t xml:space="preserve"> </w:t>
      </w:r>
      <w:r>
        <w:t>M</w:t>
      </w:r>
      <w:r>
        <w:t xml:space="preserve"> </w:t>
      </w:r>
      <w:r>
        <w:t>), and [{(Cp</w:t>
      </w:r>
      <w:r>
        <w:t xml:space="preserve"> </w:t>
      </w:r>
      <w:r>
        <w:t>ttt</w:t>
      </w:r>
      <w:r>
        <w:t xml:space="preserve"> </w:t>
      </w:r>
      <w:r>
        <w:t>)</w:t>
      </w:r>
      <w:r>
        <w:rPr>
          <w:vertAlign w:val="subscript"/>
        </w:rPr>
        <w:t>2</w:t>
      </w:r>
      <w:r>
        <w:t>M}</w:t>
      </w:r>
      <w:r>
        <w:rPr>
          <w:vertAlign w:val="subscript"/>
        </w:rPr>
        <w:t>2</w:t>
      </w:r>
      <w:r>
        <w:t>(μ‐P)] (</w:t>
      </w:r>
      <w:r>
        <w:rPr>
          <w:vertAlign w:val="subscript"/>
        </w:rPr>
        <w:t>3</w:t>
      </w:r>
      <w:r>
        <w:t xml:space="preserve"> </w:t>
      </w:r>
      <w:r>
        <w:t>M</w:t>
      </w:r>
      <w:r>
        <w:t xml:space="preserve"> </w:t>
      </w:r>
      <w:r>
        <w:t>). Structural, spectroscopic, and computational studies show that</w:t>
      </w:r>
      <w:r>
        <w:rPr>
          <w:vertAlign w:val="subscript"/>
        </w:rPr>
        <w:t>1</w:t>
      </w:r>
      <w:r>
        <w:t xml:space="preserve"> </w:t>
      </w:r>
      <w:r>
        <w:t>M</w:t>
      </w:r>
      <w:r>
        <w:t xml:space="preserve"> </w:t>
      </w:r>
      <w:r>
        <w:t>contains a bicyclobutane‐like [P</w:t>
      </w:r>
      <w:r>
        <w:rPr>
          <w:vertAlign w:val="subscript"/>
        </w:rPr>
        <w:t>4</w:t>
      </w:r>
      <w:r>
        <w:t>]</w:t>
      </w:r>
      <w:r>
        <w:t xml:space="preserve"> </w:t>
      </w:r>
      <w:r>
        <w:t>2–</w:t>
      </w:r>
      <w:r>
        <w:t xml:space="preserve"> </w:t>
      </w:r>
      <w:r>
        <w:t>ligand, whereas</w:t>
      </w:r>
      <w:r>
        <w:rPr>
          <w:vertAlign w:val="subscript"/>
        </w:rPr>
        <w:t>2</w:t>
      </w:r>
      <w:r>
        <w:t xml:space="preserve"> </w:t>
      </w:r>
      <w:r>
        <w:t>M</w:t>
      </w:r>
      <w:r>
        <w:t xml:space="preserve"> </w:t>
      </w:r>
      <w:r>
        <w:t>features a side‐on coordinated [P═P]</w:t>
      </w:r>
      <w:r>
        <w:t xml:space="preserve"> </w:t>
      </w:r>
      <w:r>
        <w:t>2–</w:t>
      </w:r>
      <w:r>
        <w:t xml:space="preserve"> </w:t>
      </w:r>
      <w:r>
        <w:t>ligand, and</w:t>
      </w:r>
      <w:r>
        <w:rPr>
          <w:vertAlign w:val="subscript"/>
        </w:rPr>
        <w:t>3</w:t>
      </w:r>
      <w:r>
        <w:t xml:space="preserve"> </w:t>
      </w:r>
      <w:r>
        <w:t>M</w:t>
      </w:r>
      <w:r>
        <w:t xml:space="preserve"> </w:t>
      </w:r>
      <w:r>
        <w:t>comprises a monatomic P</w:t>
      </w:r>
      <w:r>
        <w:t xml:space="preserve"> </w:t>
      </w:r>
      <w:r>
        <w:t>2–</w:t>
      </w:r>
      <w:r>
        <w:t xml:space="preserve"> </w:t>
      </w:r>
      <w:r>
        <w:t>ligand formulated as a phosphorus‐centered radical with</w:t>
      </w:r>
      <w:r>
        <w:t xml:space="preserve"> </w:t>
      </w:r>
      <w:r>
        <w:t>S</w:t>
      </w:r>
      <w:r>
        <w:t xml:space="preserve"> </w:t>
      </w:r>
      <w:r>
        <w:t>= 1/2. The EPR spectrum of</w:t>
      </w:r>
      <w:r>
        <w:t xml:space="preserve"> </w:t>
      </w:r>
      <w:r>
        <w:rPr>
          <w:vertAlign w:val="subscript"/>
        </w:rPr>
        <w:t>3</w:t>
      </w:r>
      <w:r>
        <w:t>Y</w:t>
      </w:r>
      <w:r>
        <w:t xml:space="preserve"> </w:t>
      </w:r>
      <w:r>
        <w:t>confirms hyperfine coupling to</w:t>
      </w:r>
      <w:r>
        <w:rPr>
          <w:vertAlign w:val="subscript"/>
        </w:rPr>
        <w:t>31</w:t>
      </w:r>
      <w:r>
        <w:t>P and</w:t>
      </w:r>
      <w:r>
        <w:rPr>
          <w:vertAlign w:val="subscript"/>
        </w:rPr>
        <w:t>89</w:t>
      </w:r>
      <w:r>
        <w:t>Y, while magnetic measurements on</w:t>
      </w:r>
      <w:r>
        <w:t xml:space="preserve"> </w:t>
      </w:r>
      <w:r>
        <w:rPr>
          <w:vertAlign w:val="subscript"/>
        </w:rPr>
        <w:t>3</w:t>
      </w:r>
      <w:r>
        <w:t>Gd</w:t>
      </w:r>
      <w:r>
        <w:t xml:space="preserve"> </w:t>
      </w:r>
      <w:r>
        <w:t>reveal strong antiferromagnetic exchange between the Gd</w:t>
      </w:r>
      <w:r>
        <w:t xml:space="preserve"> </w:t>
      </w:r>
      <w:r>
        <w:t>3+</w:t>
      </w:r>
      <w:r>
        <w:t xml:space="preserve"> </w:t>
      </w:r>
      <w:r>
        <w:t>ions and the radical ligand. Density functional theory supports a three‐center π‐type M–P–M interaction in</w:t>
      </w:r>
      <w:r>
        <w:rPr>
          <w:vertAlign w:val="subscript"/>
        </w:rPr>
        <w:t>3</w:t>
      </w:r>
      <w:r>
        <w:t xml:space="preserve"> </w:t>
      </w:r>
      <w:r>
        <w:t>M</w:t>
      </w:r>
      <w:r>
        <w:t xml:space="preserve"> </w:t>
      </w:r>
      <w:r>
        <w:t>, with the unpaired spin localized primarily on phosphorus and only weak delocalization onto the metal centers. These findings represent progressive fragmentation of P</w:t>
      </w:r>
      <w:r>
        <w:rPr>
          <w:vertAlign w:val="subscript"/>
        </w:rPr>
        <w:t>4</w:t>
      </w:r>
      <w:r>
        <w:t>to diatomic and monatomic phosphorus anions by rare‐earth reagents, thereby extending the chemistry of multiply bonded phosphorus and persistent phosphorus radicals into the rare‐earth series.</w:t>
      </w:r>
    </w:p>
    <w:p>
      <w:pPr>
        <w:spacing w:before="120" w:after="120"/>
      </w:pPr>
      <w:r>
        <w:rPr>
          <w:sz w:val="18"/>
        </w:rPr>
        <w:t>——————————————————————————————————————————————————————————————————————</w:t>
      </w:r>
    </w:p>
    <w:p>
      <w:pPr>
        <w:spacing w:before="160" w:after="40" w:line="240" w:lineRule="auto"/>
      </w:pPr>
      <w:r>
        <w:rPr>
          <w:b/>
        </w:rPr>
        <w:t xml:space="preserve">[40] </w:t>
      </w:r>
      <w:hyperlink r:id="rId341">
        <w:r>
          <w:rPr>
            <w:color w:val="1155CC"/>
            <w:u w:val="single"/>
          </w:rPr>
          <w:t>耐用全钙钛矿串联光伏发电的埋界面碘氧化还原调节</w:t>
        </w:r>
      </w:hyperlink>
    </w:p>
    <w:p>
      <w:pPr>
        <w:spacing w:before="0" w:after="80"/>
      </w:pPr>
      <w:r>
        <w:rPr>
          <w:i/>
          <w:sz w:val="20"/>
        </w:rPr>
        <w:t>EN: Buried‐Interface Iodine Redox Regulation for Durable All‐Perovskite Tandem Photovoltaics</w:t>
      </w:r>
    </w:p>
    <w:p>
      <w:pPr>
        <w:spacing w:before="0" w:after="120"/>
      </w:pPr>
      <w:r>
        <w:rPr>
          <w:b/>
        </w:rPr>
        <w:t xml:space="preserve">Source: </w:t>
      </w:r>
      <w:r>
        <w:t>Wiley: Angewandte Chemie International Edition: Table of Contents</w:t>
      </w:r>
      <w:r>
        <w:t xml:space="preserve">    </w:t>
      </w:r>
      <w:r>
        <w:rPr>
          <w:b/>
        </w:rPr>
        <w:t xml:space="preserve">Pub date: </w:t>
      </w:r>
      <w:r>
        <w:t>2026-06-21 15:54:42+00:00</w:t>
      </w:r>
      <w:r>
        <w:t xml:space="preserve">    </w:t>
      </w:r>
      <w:r>
        <w:rPr>
          <w:b/>
        </w:rPr>
        <w:t xml:space="preserve">DOI: </w:t>
      </w:r>
      <w:hyperlink r:id="rId342">
        <w:r>
          <w:rPr>
            <w:color w:val="1155CC"/>
            <w:u w:val="single"/>
          </w:rPr>
          <w:t>10.1002/anie.4918900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锡铅 (Sn-Pb) 混合钙钛矿已使全钙钛矿串联太阳能电池 (APTSC) 的效率超过 30%，但埋入界面的不稳定性阻碍了商业化。无处不在的 PEDOT:PSS 层很容易促进 I 的氧化</w:t>
      </w:r>
      <w:r>
        <w:t xml:space="preserve"> </w:t>
      </w:r>
      <w:r>
        <w:t>-</w:t>
      </w:r>
      <w:r>
        <w:t>，以及随后腐蚀物 I 的扩散</w:t>
      </w:r>
      <w:r>
        <w:rPr>
          <w:vertAlign w:val="subscript"/>
        </w:rPr>
        <w:t>2</w:t>
      </w:r>
      <w:r>
        <w:t>严重损害设备性能——这是一个尚未解决的基本化学降解途径。在这里，我们引入 6-氨基-2-硫尿嘧啶 (ATU) 作为一种多功能添加剂，以化学方式靶向该降解途径。嵌入 PEDOT:PSS 层中，ATU 和 PSS 之间的相互作用有助于减轻 I 的氧化</w:t>
      </w:r>
      <w:r>
        <w:t xml:space="preserve"> </w:t>
      </w:r>
      <w:r>
        <w:t>-</w:t>
      </w:r>
      <w:r>
        <w:t>而其 C=S 部分则积极降低腐蚀性 I</w:t>
      </w:r>
      <w:r>
        <w:rPr>
          <w:vertAlign w:val="subscript"/>
        </w:rPr>
        <w:t>2</w:t>
      </w:r>
      <w:r>
        <w:t>回到我</w:t>
      </w:r>
      <w:r>
        <w:t xml:space="preserve"> </w:t>
      </w:r>
      <w:r>
        <w:t>-</w:t>
      </w:r>
      <w:r>
        <w:t>，建立动态碘回收机制，解决不稳定的根本化学原因。同时进行的缺陷钝化和结晶调节进一步提高了薄膜质量。受益于这些协同效应，优化后的 APTSC 实现了 29.29% 的冠军效率（认证为 28.79%），并且稳定性显着提高，在最大功率点跟踪 500 小时后仍保持其初始效率的 85% 以上。通过针对埋地界面腐蚀剂 I</w:t>
      </w:r>
      <w:r>
        <w:rPr>
          <w:vertAlign w:val="subscript"/>
        </w:rPr>
        <w:t>2</w:t>
      </w:r>
      <w:r>
        <w:t>，这项工作为持久钙钛矿提供了超越传统钝化的合理框架</w:t>
      </w:r>
    </w:p>
    <w:p>
      <w:pPr>
        <w:spacing w:before="0" w:after="200" w:lineRule="auto" w:line="276"/>
      </w:pPr>
      <w:r>
        <w:rPr>
          <w:b/>
        </w:rPr>
        <w:t xml:space="preserve">Abstract (EN): </w:t>
      </w:r>
      <w:r>
        <w:t>Tin–lead (Sn–Pb) mixed perovskites have propelled all‐perovskite tandem solar cells (APTSCs) beyond 30% efficiency, yet buried‐interface instability impedes commercialization. The ubiquitous PEDOT:PSS layer readily facilitates the oxidation of I</w:t>
      </w:r>
      <w:r>
        <w:t xml:space="preserve"> </w:t>
      </w:r>
      <w:r>
        <w:t>−</w:t>
      </w:r>
      <w:r>
        <w:t>, and the subsequent diffusion of corrosive I</w:t>
      </w:r>
      <w:r>
        <w:rPr>
          <w:vertAlign w:val="subscript"/>
        </w:rPr>
        <w:t>2</w:t>
      </w:r>
      <w:r>
        <w:t>severely compromises device performance—a fundamental chemical degradation pathway that leaves unresolved. Here, we introduce 6‐amino‐2‐thiouracil (ATU) as a multifunctional additive that chemically targets this degradation pathway. Embedded within the PEDOT:PSS layer, the interaction between ATU and PSS contributes to alleviating the oxidation of I</w:t>
      </w:r>
      <w:r>
        <w:t xml:space="preserve"> </w:t>
      </w:r>
      <w:r>
        <w:t>−</w:t>
      </w:r>
      <w:r>
        <w:t>while its C═S moiety actively reduces corrosive I</w:t>
      </w:r>
      <w:r>
        <w:rPr>
          <w:vertAlign w:val="subscript"/>
        </w:rPr>
        <w:t>2</w:t>
      </w:r>
      <w:r>
        <w:t>back to I</w:t>
      </w:r>
      <w:r>
        <w:t xml:space="preserve"> </w:t>
      </w:r>
      <w:r>
        <w:t>−</w:t>
      </w:r>
      <w:r>
        <w:t>, establishing a dynamic iodine‐recycling mechanism that addresses the root chemical cause of instability. Concurrent defect passivation and crystallization modulation further enhance film quality. Benefiting from these synergistic effects, the optimized APTSCs achieve a champion efficiency of 29.29% (certified 28.79%) and exhibit significantly improved stability, maintaining over 85% of their initial efficiency after 500 h of maximum power point tracking. By targeting buried‐interface corrosive I</w:t>
      </w:r>
      <w:r>
        <w:rPr>
          <w:vertAlign w:val="subscript"/>
        </w:rPr>
        <w:t>2</w:t>
      </w:r>
      <w:r>
        <w:t>, this work provides a rational framework beyond conventional passivation for durable perovskite photovoltaics.</w:t>
      </w:r>
    </w:p>
    <w:p>
      <w:pPr>
        <w:spacing w:before="120" w:after="120"/>
      </w:pPr>
      <w:r>
        <w:rPr>
          <w:sz w:val="18"/>
        </w:rPr>
        <w:t>——————————————————————————————————————————————————————————————————————</w:t>
      </w:r>
    </w:p>
    <w:p>
      <w:pPr>
        <w:spacing w:before="160" w:after="40" w:line="240" w:lineRule="auto"/>
      </w:pPr>
      <w:r>
        <w:rPr>
          <w:b/>
        </w:rPr>
        <w:t xml:space="preserve">[41] </w:t>
      </w:r>
      <w:hyperlink r:id="rId343">
        <w:r>
          <w:rPr>
            <w:color w:val="1155CC"/>
            <w:u w:val="single"/>
          </w:rPr>
          <w:t>限域催化非稀释合成大二内酯和大四内酯</w:t>
        </w:r>
      </w:hyperlink>
    </w:p>
    <w:p>
      <w:pPr>
        <w:spacing w:before="0" w:after="80"/>
      </w:pPr>
      <w:r>
        <w:rPr>
          <w:i/>
          <w:sz w:val="20"/>
        </w:rPr>
        <w:t>EN: Non‐Dilute Synthesis of Macrodiolides and Macrotetrolides Enabled by Confinement Catalysis</w:t>
      </w:r>
    </w:p>
    <w:p>
      <w:pPr>
        <w:spacing w:before="0" w:after="120"/>
      </w:pPr>
      <w:r>
        <w:rPr>
          <w:b/>
        </w:rPr>
        <w:t xml:space="preserve">Source: </w:t>
      </w:r>
      <w:r>
        <w:t>Wiley: Angewandte Chemie International Edition: Table of Contents</w:t>
      </w:r>
      <w:r>
        <w:t xml:space="preserve">    </w:t>
      </w:r>
      <w:r>
        <w:rPr>
          <w:b/>
        </w:rPr>
        <w:t xml:space="preserve">Pub date: </w:t>
      </w:r>
      <w:r>
        <w:t>2026-06-21 15:57:32+00:00</w:t>
      </w:r>
      <w:r>
        <w:t xml:space="preserve">    </w:t>
      </w:r>
      <w:r>
        <w:rPr>
          <w:b/>
        </w:rPr>
        <w:t xml:space="preserve">DOI: </w:t>
      </w:r>
      <w:hyperlink r:id="rId344">
        <w:r>
          <w:rPr>
            <w:color w:val="1155CC"/>
            <w:u w:val="single"/>
          </w:rPr>
          <w:t>10.1002/anie.6206059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二内酯是功能分子中广泛存在的基序，但其合成仍然具有挑战性。现有方法通常仍然依赖于高稀释条件来抑制不需要的低聚，限制了效率和可扩展性。因此，开发非稀释条件下的大环化策略仍然是一个长期目标。在此，我们报告了一种利用六聚间苯二酚[4]芳烃胶囊提供的空间限制和构象预组织来解决这一挑战的限制方法。这种超分子限制使得易于获得的二醇和二酰氯能够在非稀释条件下环化以提供 18-32 元大二内酯，并且无需缓慢添加程序。值得注意的是，该方法还能够一锅法形成 26-32 元大环四内酯，这是使用传统策略（包括高稀释条件）难以实现的转化。与已建立的闭环复分解相比，该策略提供了更高的效率、更短的合成路线，并且可以获得更多张力的大二内酯。总的来说，这些发现凸显了限制催化对于具有挑战性的大环化反应的能力。</w:t>
      </w:r>
    </w:p>
    <w:p>
      <w:pPr>
        <w:spacing w:before="0" w:after="200" w:lineRule="auto" w:line="276"/>
      </w:pPr>
      <w:r>
        <w:rPr>
          <w:b/>
        </w:rPr>
        <w:t xml:space="preserve">Abstract (EN): </w:t>
      </w:r>
      <w:r>
        <w:t>Macrodiolides are widespread motifs in functional molecules, yet their synthesis remains challenging. Existing methods typically still rely on high‐dilution conditions to suppress undesired oligomerization, limiting efficiency and scalability. Therefore, developing macrocyclization strategies under non‐dilute conditions remains a long‐standing goal. Herein, we report a confinement approach to address this challenge by utilizing the spatial restriction and conformational preorganization provided by the hexameric resorcin[4]arene capsule. Such supramolecular confinement enables the cyclization of readily accessible diols and diacyl chlorides to afford 18–32‐membered macrodiolides under non‐dilute conditions and without the need for slow‐addition procedures. Notably, the method also enables the one‐pot formation of 26–32‐membered macrotetrolides, a transformation that is difficult to achieve using conventional strategies, including high‐dilution conditions. Compared with established ring‐closing metathesis, this strategy offers higher efficiency, shorter synthetic routes, and access to more strained macrodiolides. Overall, these findings highlight the power of confinement catalysis for challenging macrocyclization reactions.</w:t>
      </w:r>
    </w:p>
    <w:p>
      <w:pPr>
        <w:spacing w:before="120" w:after="120"/>
      </w:pPr>
      <w:r>
        <w:rPr>
          <w:sz w:val="18"/>
        </w:rPr>
        <w:t>——————————————————————————————————————————————————————————————————————</w:t>
      </w:r>
    </w:p>
    <w:p>
      <w:pPr>
        <w:spacing w:before="160" w:after="40" w:line="240" w:lineRule="auto"/>
      </w:pPr>
      <w:r>
        <w:rPr>
          <w:b/>
        </w:rPr>
        <w:t xml:space="preserve">[42] </w:t>
      </w:r>
      <w:hyperlink r:id="rId345">
        <w:r>
          <w:rPr>
            <w:color w:val="1155CC"/>
            <w:u w:val="single"/>
          </w:rPr>
          <w:t>用于高对比度体内成像的白光激发深红/近红外有机余辉纳米颗粒</w:t>
        </w:r>
      </w:hyperlink>
    </w:p>
    <w:p>
      <w:pPr>
        <w:spacing w:before="0" w:after="80"/>
      </w:pPr>
      <w:r>
        <w:rPr>
          <w:i/>
          <w:sz w:val="20"/>
        </w:rPr>
        <w:t>EN: White‐Light‐Excitable Deep‐Red/NIR Organic Afterglow Nanoparticles for High‐Contrast In Vivo Imaging</w:t>
      </w:r>
    </w:p>
    <w:p>
      <w:pPr>
        <w:spacing w:before="0" w:after="120"/>
      </w:pPr>
      <w:r>
        <w:rPr>
          <w:b/>
        </w:rPr>
        <w:t xml:space="preserve">Source: </w:t>
      </w:r>
      <w:r>
        <w:t>Wiley: Angewandte Chemie International Edition: Table of Contents</w:t>
      </w:r>
      <w:r>
        <w:t xml:space="preserve">    </w:t>
      </w:r>
      <w:r>
        <w:rPr>
          <w:b/>
        </w:rPr>
        <w:t xml:space="preserve">Pub date: </w:t>
      </w:r>
      <w:r>
        <w:t>2026-06-21 15:59:56+00:00</w:t>
      </w:r>
      <w:r>
        <w:t xml:space="preserve">    </w:t>
      </w:r>
      <w:r>
        <w:rPr>
          <w:b/>
        </w:rPr>
        <w:t xml:space="preserve">DOI: </w:t>
      </w:r>
      <w:hyperlink r:id="rId346">
        <w:r>
          <w:rPr>
            <w:color w:val="1155CC"/>
            <w:u w:val="single"/>
          </w:rPr>
          <w:t>10.1002/anie.3963775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近红外 (NIR) 有机余辉探针对于深组织、高对比度生物成像很有吸引力，但同时实现白光激发、长寿命 NIR 磷光和均匀的纳米颗粒制造仍然具有挑战性。在此，我们通过将刚性苯基咔唑主体（BMC）与支架匹配的延伸共轭客体（PyC或BPC）相结合，开发了一种自下而上的晶格匹配主客体纳米晶体路线。所得的掺杂晶体表现出以客体为主的深红/近红外余辉，最长波长振动带达到762 nm，可以被高达475 nm的可见光激活，具有126.1 ms的超长寿命和高达2.7%的磷光量子产率。重要的是，晶格匹配结合的内在均匀性使得能够通过简单的自下而上的纳米沉淀直接形成单分散磷光纳米粒子，避免通常与自上而下的晶体碎片相关的尺寸异质性和材料损失。这些纳米粒子表现出可忽略不计的细胞毒性，并在白光激发下发出明亮、持久的深红/近红外发射，用于高对比度体内成像。</w:t>
      </w:r>
    </w:p>
    <w:p>
      <w:pPr>
        <w:spacing w:before="0" w:after="200" w:lineRule="auto" w:line="276"/>
      </w:pPr>
      <w:r>
        <w:rPr>
          <w:b/>
        </w:rPr>
        <w:t xml:space="preserve">Abstract (EN): </w:t>
      </w:r>
      <w:r>
        <w:t>Near‐infrared (NIR) organic afterglow probes are attractive for deep‐tissue, high‐contrast bioimaging, yet simultaneously achieving white‐light excitation, long‐lived NIR phosphorescence, and uniform nanoparticle fabrication remains challenging. Herein, we develop a bottom‐up route to lattice‐matched host–guest nanocrystals by incorporating a rigid phenylcarbazole host (BMC) with scaffold‐matched, extended‐conjugation guests (PyC or BPC). The resulting doped crystals show guest‐dominated deep‐red/NIR afterglow, with the longest‐wavelength vibronic band reaching 762 nm and can be activated by visible light up to 475 nm, delivering an ultralong lifetime of 126.1 ms and a phosphorescence quantum yield of up to 2.7%. Importantly, the intrinsic homogeneity of the lattice‐matched incorporation enables direct formation of monodisperse phosphorescent nanoparticles via simple bottom‐up nanoprecipitation, avoiding the size heterogeneity and material loss typically associated with top‐down crystal fragmentation. These nanoparticles exhibit negligible cytotoxicity and deliver bright, persistent deep‐red/NIR emission under white‐light excitation for high‐contrast in vivo imaging.</w:t>
      </w:r>
    </w:p>
    <w:p>
      <w:pPr>
        <w:spacing w:before="120" w:after="120"/>
      </w:pPr>
      <w:r>
        <w:rPr>
          <w:sz w:val="18"/>
        </w:rPr>
        <w:t>——————————————————————————————————————————————————————————————————————</w:t>
      </w:r>
    </w:p>
    <w:p>
      <w:pPr>
        <w:spacing w:before="160" w:after="40" w:line="240" w:lineRule="auto"/>
      </w:pPr>
      <w:r>
        <w:rPr>
          <w:b/>
        </w:rPr>
        <w:t xml:space="preserve">[43] </w:t>
      </w:r>
      <w:hyperlink r:id="rId347">
        <w:r>
          <w:rPr>
            <w:color w:val="1155CC"/>
            <w:u w:val="single"/>
          </w:rPr>
          <w:t>铁电超晶格中的过应变弛豫状态和位错控制的极性拓扑</w:t>
        </w:r>
      </w:hyperlink>
    </w:p>
    <w:p>
      <w:pPr>
        <w:spacing w:before="0" w:after="80"/>
      </w:pPr>
      <w:r>
        <w:rPr>
          <w:i/>
          <w:sz w:val="20"/>
        </w:rPr>
        <w:t>EN: Over‐Strain‐Relaxation State and Dislocation‐Governed Polar Topologies in Ferroelectric Superlattices</w:t>
      </w:r>
    </w:p>
    <w:p>
      <w:pPr>
        <w:spacing w:before="0" w:after="120"/>
      </w:pPr>
      <w:r>
        <w:rPr>
          <w:b/>
        </w:rPr>
        <w:t xml:space="preserve">Source: </w:t>
      </w:r>
      <w:r>
        <w:t>Wiley: Advanced Materials: Table of Contents</w:t>
      </w:r>
      <w:r>
        <w:t xml:space="preserve">    </w:t>
      </w:r>
      <w:r>
        <w:rPr>
          <w:b/>
        </w:rPr>
        <w:t xml:space="preserve">Pub date: </w:t>
      </w:r>
      <w:r>
        <w:t>2026-06-21 17:22:09+00:00</w:t>
      </w:r>
      <w:r>
        <w:t xml:space="preserve">    </w:t>
      </w:r>
      <w:r>
        <w:rPr>
          <w:b/>
        </w:rPr>
        <w:t xml:space="preserve">DOI: </w:t>
      </w:r>
      <w:hyperlink r:id="rId348">
        <w:r>
          <w:rPr>
            <w:color w:val="1155CC"/>
            <w:u w:val="single"/>
          </w:rPr>
          <w:t>10.1002/adma.73779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铁电薄膜中的极性拓扑可以通过相干生长通过拉伸应变稳定地构建。在压应变基底下生长的铁电薄膜中潜在的极性纹理将如何演变仍然是难以捉摸的。在这里，我们种植了高品质的 PbTiO</w:t>
      </w:r>
      <w:r>
        <w:rPr>
          <w:vertAlign w:val="subscript"/>
        </w:rPr>
        <w:t>3</w:t>
      </w:r>
      <w:r>
        <w:t>/钛酸锶</w:t>
      </w:r>
      <w:r>
        <w:rPr>
          <w:vertAlign w:val="subscript"/>
        </w:rPr>
        <w:t>3</w:t>
      </w:r>
      <w:r>
        <w:t>NdGaO 上的超晶格</w:t>
      </w:r>
      <w:r>
        <w:rPr>
          <w:vertAlign w:val="subscript"/>
        </w:rPr>
        <w:t>3</w:t>
      </w:r>
      <w:r>
        <w:t>衬底，其中该系统的标称失配约为-1.0%，因此超晶格可能会受到压缩应变。识别了基底和薄膜之间的位错阵列。令人惊讶的是，这些失配位错被发现释放的失配远超过-1.0%标称失配，接近-1.7%，实际上形成了约0.7%的最终拉伸应变状态。这种应变状态是由热失配动力学和 PbTiO2 铁电相变之间的竞争驱动的</w:t>
      </w:r>
      <w:r>
        <w:rPr>
          <w:vertAlign w:val="subscript"/>
        </w:rPr>
        <w:t>3</w:t>
      </w:r>
      <w:r>
        <w:t>，从而触发极涡阵列的形成。特别是，这里的极拓扑在穿透位错的影响下具有从涡旋波过渡到周期性偶极波的趋势。我们的研究提供了在标称压应变基板上集成和调节铁电拓扑的可能性。这种新颖的过度应变弛豫行为以前尚未实现，并将刺激氧化物外延膜的更多应变操纵。更多的努力可以集中在一些实用的基材上，例如</w:t>
      </w:r>
    </w:p>
    <w:p>
      <w:pPr>
        <w:spacing w:before="0" w:after="200" w:lineRule="auto" w:line="276"/>
      </w:pPr>
      <w:r>
        <w:rPr>
          <w:b/>
        </w:rPr>
        <w:t xml:space="preserve">Abstract (EN): </w:t>
      </w:r>
      <w:r>
        <w:t>Polar topologies in ferroelectric films can be stably constructed by tensile strains through coherent growth. How potential polar textures in ferroelectric films grown under compressive strain substrate will evolve is still elusive. Here, we have grown high‐quality PbTiO</w:t>
      </w:r>
      <w:r>
        <w:rPr>
          <w:vertAlign w:val="subscript"/>
        </w:rPr>
        <w:t>3</w:t>
      </w:r>
      <w:r>
        <w:t>/SrTiO</w:t>
      </w:r>
      <w:r>
        <w:rPr>
          <w:vertAlign w:val="subscript"/>
        </w:rPr>
        <w:t>3</w:t>
      </w:r>
      <w:r>
        <w:t>superlattices on NdGaO</w:t>
      </w:r>
      <w:r>
        <w:rPr>
          <w:vertAlign w:val="subscript"/>
        </w:rPr>
        <w:t>3</w:t>
      </w:r>
      <w:r>
        <w:t>substrates, where the nominal mismatch of this system is about −1.0% and thus the superlattices may be subjected to compressive strain. Dislocation arrays between the substrate and the films were identified. Amazingly, these misfit dislocations were found to release the mismatch far exceeding the −1.0% nominal mismatch, approaching −1.7% and forming actually a final tensile strain state of about 0.7%. This strain state was driven by the competition between thermal mismatch dynamics and ferroelectric phase transition of PbTiO</w:t>
      </w:r>
      <w:r>
        <w:rPr>
          <w:vertAlign w:val="subscript"/>
        </w:rPr>
        <w:t>3</w:t>
      </w:r>
      <w:r>
        <w:t>, which triggers the formation of polar vortex arrays. In particular, the polar topology here has the tendency of transition from vortex to periodic dipole waves under the influence of threading dislocations. Our research provides possibilities of integrating and regulating ferroelectric topologies on nominal compressive strain substrates. The novel over‐strain‐relaxation behavior was unrealized previously, and will stimulate more strain manipulations for oxide epitaxial films. More efforts could be focused on some practical substrates, such as direct growth of polar topologies on silicon.</w:t>
      </w:r>
    </w:p>
    <w:p>
      <w:pPr>
        <w:spacing w:before="120" w:after="120"/>
      </w:pPr>
      <w:r>
        <w:rPr>
          <w:sz w:val="18"/>
        </w:rPr>
        <w:t>——————————————————————————————————————————————————————————————————————</w:t>
      </w:r>
    </w:p>
    <w:p>
      <w:pPr>
        <w:spacing w:before="160" w:after="40" w:line="240" w:lineRule="auto"/>
      </w:pPr>
      <w:r>
        <w:rPr>
          <w:b/>
        </w:rPr>
        <w:t xml:space="preserve">[44] </w:t>
      </w:r>
      <w:hyperlink r:id="rId349">
        <w:r>
          <w:rPr>
            <w:color w:val="1155CC"/>
            <w:u w:val="single"/>
          </w:rPr>
          <w:t>水/醇溶性碳点发光二极管</w:t>
        </w:r>
      </w:hyperlink>
    </w:p>
    <w:p>
      <w:pPr>
        <w:spacing w:before="0" w:after="80"/>
      </w:pPr>
      <w:r>
        <w:rPr>
          <w:i/>
          <w:sz w:val="20"/>
        </w:rPr>
        <w:t>EN: Aqueous/Alcohol‐Soluble Carbon Dot Light‐Emitting Diodes</w:t>
      </w:r>
    </w:p>
    <w:p>
      <w:pPr>
        <w:spacing w:before="0" w:after="120"/>
      </w:pPr>
      <w:r>
        <w:rPr>
          <w:b/>
        </w:rPr>
        <w:t xml:space="preserve">Source: </w:t>
      </w:r>
      <w:r>
        <w:t>Wiley: Advanced Materials: Table of Contents</w:t>
      </w:r>
      <w:r>
        <w:t xml:space="preserve">    </w:t>
      </w:r>
      <w:r>
        <w:rPr>
          <w:b/>
        </w:rPr>
        <w:t xml:space="preserve">Pub date: </w:t>
      </w:r>
      <w:r>
        <w:t>2026-06-21 17:23:52+00:00</w:t>
      </w:r>
      <w:r>
        <w:t xml:space="preserve">    </w:t>
      </w:r>
      <w:r>
        <w:rPr>
          <w:b/>
        </w:rPr>
        <w:t xml:space="preserve">DOI: </w:t>
      </w:r>
      <w:hyperlink r:id="rId350">
        <w:r>
          <w:rPr>
            <w:color w:val="1155CC"/>
            <w:u w:val="single"/>
          </w:rPr>
          <w:t>10.1002/adma.73773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荧光碳点（CD）凭借其环境友好性、溶液可加工性、可调谐发射光谱和高光致发光效率，在下一代固态照明和平板显示器方面显示出巨大的前景。 CD通常通过水热法合成，在水和醇中表现出优异的溶解度。然而，由于缺乏合适的醇溶性主体材料，水/醇溶性CD迄今为止未能实现电致发光。在此，一种名为 2PCT 的双极主体材料是专门为水/醇溶性 CD 基电致发光二极管（LED）而设计的。具体来说，供体-受体单元和亚磷酸二乙酯基团的引入使2PCT具有优异的双极传输性能和成膜能力。此外，2PCT 在乙醇中的高溶解度和低生产成本使其成为基于 CD 的 LED 大规模绿色制造的有前途的候选者。使用 2PCT 作为主体材料，我们成功制造了多色（绿色、黄色和红色）CD-LED，在乙醇加工的 CD 光电器件中具有破纪录的性能基准。受益于酒精兼容工艺，我们进一步实现了 CD-LED 的空气稳定制造，发射面积扩大至 16 cm</w:t>
      </w:r>
      <w:r>
        <w:rPr>
          <w:vertAlign w:val="subscript"/>
        </w:rPr>
        <w:t>2</w:t>
      </w:r>
      <w:r>
        <w:t>，这对于大面积光电应用具有巨大潜力。</w:t>
      </w:r>
    </w:p>
    <w:p>
      <w:pPr>
        <w:spacing w:before="0" w:after="200" w:lineRule="auto" w:line="276"/>
      </w:pPr>
      <w:r>
        <w:rPr>
          <w:b/>
        </w:rPr>
        <w:t xml:space="preserve">Abstract (EN): </w:t>
      </w:r>
      <w:r>
        <w:t>Fluorescent carbon dots (CDs), benefiting from their environmental friendliness, solution processability, tunable emission spectra, and high photoluminescence efficiency, have shown great promise for next‐generation solid‐state lighting and flat panel displays. CDs are typically synthesized via hydrothermal methods, exhibiting excellent solubility in water and alcohols. However, due to the absence of suitable alcohol‐soluble host materials, aqueous/alcohol‐soluble CDs have so far failed to achieve electroluminescence. Herein, a bipolar host material named 2PCT is specifically designed for aqueous/alcohol‐soluble CD‐based electroluminescent light‐emitting diodes (LEDs). Specifically, the introduction of donor‐acceptor units and diethyl phosphite groups enables 2PCT to have excellent bipolar transport properties and film‐forming capability. Moreover, the high solubility of 2PCT in ethanol and low production cost position it as a promising candidate for large‐scale green manufacturing of CD‐based LEDs. Using 2PCT as the host material, we have successfully fabricated multicolor (green, yellow, and red) CD‐LEDs with record‐breaking performance benchmarks among ethanol‐processed CD‐based optoelectronic devices. Benefiting from the alcohol‐compatible processing, we have further achieved air‐stable fabrication of CD‐LEDs with an extended emission area of 16 cm</w:t>
      </w:r>
      <w:r>
        <w:rPr>
          <w:vertAlign w:val="subscript"/>
        </w:rPr>
        <w:t>2</w:t>
      </w:r>
      <w:r>
        <w:t>, which holds significant potential for large‐area optoelectronic applications.</w:t>
      </w:r>
    </w:p>
    <w:p>
      <w:pPr>
        <w:spacing w:before="120" w:after="120"/>
      </w:pPr>
      <w:r>
        <w:rPr>
          <w:sz w:val="18"/>
        </w:rPr>
        <w:t>——————————————————————————————————————————————————————————————————————</w:t>
      </w:r>
    </w:p>
    <w:p>
      <w:pPr>
        <w:spacing w:before="160" w:after="40" w:line="240" w:lineRule="auto"/>
      </w:pPr>
      <w:r>
        <w:rPr>
          <w:b/>
        </w:rPr>
        <w:t xml:space="preserve">[45] </w:t>
      </w:r>
      <w:hyperlink r:id="rId351">
        <w:r>
          <w:rPr>
            <w:color w:val="1155CC"/>
            <w:u w:val="single"/>
          </w:rPr>
          <w:t>人工智能会引发科学复兴——还是分散的单一文化？</w:t>
        </w:r>
      </w:hyperlink>
    </w:p>
    <w:p>
      <w:pPr>
        <w:spacing w:before="0" w:after="80"/>
      </w:pPr>
      <w:r>
        <w:rPr>
          <w:i/>
          <w:sz w:val="20"/>
        </w:rPr>
        <w:t>EN: Will AI spark a scientific renaissance — or a diffuse monoculture?</w:t>
      </w:r>
    </w:p>
    <w:p>
      <w:pPr>
        <w:spacing w:before="0" w:after="120"/>
      </w:pPr>
      <w:r>
        <w:rPr>
          <w:b/>
        </w:rPr>
        <w:t xml:space="preserve">Source: </w:t>
      </w:r>
      <w:r>
        <w:t>Nature</w:t>
      </w:r>
      <w:r>
        <w:t xml:space="preserve">    </w:t>
      </w:r>
      <w:r>
        <w:rPr>
          <w:b/>
        </w:rPr>
        <w:t xml:space="preserve">Pub date: </w:t>
      </w:r>
      <w:r>
        <w:t>2026-06-22 00:00:00+00:00</w:t>
      </w:r>
      <w:r>
        <w:t xml:space="preserve">    </w:t>
      </w:r>
      <w:r>
        <w:rPr>
          <w:b/>
        </w:rPr>
        <w:t xml:space="preserve">DOI: </w:t>
      </w:r>
      <w:hyperlink r:id="rId352">
        <w:r>
          <w:rPr>
            <w:color w:val="1155CC"/>
            <w:u w:val="single"/>
          </w:rPr>
          <w:t>10.1038/d41586-026-01954-2</w:t>
        </w:r>
      </w:hyperlink>
    </w:p>
    <w:p>
      <w:pPr>
        <w:spacing w:before="0" w:after="120"/>
      </w:pPr>
      <w:r>
        <w:rPr>
          <w:b/>
        </w:rPr>
        <w:t xml:space="preserve">Notes: </w:t>
      </w:r>
      <w:r>
        <w:t>abstract_source=nature_html</w:t>
      </w:r>
    </w:p>
    <w:p>
      <w:pPr>
        <w:spacing w:before="0" w:after="80" w:lineRule="auto" w:line="276"/>
      </w:pPr>
      <w:r>
        <w:rPr>
          <w:b/>
        </w:rPr>
        <w:t xml:space="preserve">摘要（ZH）: </w:t>
      </w:r>
      <w:r>
        <w:t>人工智能丰富科学的能力不仅取决于模型能力，还取决于研究人员、审稿人和资助者是否奖励原创性而不是速度。人工智能丰富科学的能力不仅取决于模型能力，还取决于研究人员、审稿人和资助者是否奖励原创性而不是速度。</w:t>
      </w:r>
    </w:p>
    <w:p>
      <w:pPr>
        <w:spacing w:before="0" w:after="200" w:lineRule="auto" w:line="276"/>
      </w:pPr>
      <w:r>
        <w:rPr>
          <w:b/>
        </w:rPr>
        <w:t xml:space="preserve">Abstract (EN): </w:t>
      </w:r>
      <w:r>
        <w:t>Artificial intelligence’s ability to enrich science will depend not only on model capability, but also on whether researchers, reviewers and funders reward originality over speed. Artificial intelligence’s ability to enrich science will depend not only on model capability, but also on whether researchers, reviewers and funders reward originality over speed.</w:t>
      </w:r>
    </w:p>
    <w:p>
      <w:pPr>
        <w:spacing w:before="120" w:after="120"/>
      </w:pPr>
      <w:r>
        <w:rPr>
          <w:sz w:val="18"/>
        </w:rPr>
        <w:t>——————————————————————————————————————————————————————————————————————</w:t>
      </w:r>
    </w:p>
    <w:p>
      <w:pPr>
        <w:spacing w:before="160" w:after="40" w:line="240" w:lineRule="auto"/>
      </w:pPr>
      <w:r>
        <w:rPr>
          <w:b/>
        </w:rPr>
        <w:t xml:space="preserve">[46] </w:t>
      </w:r>
      <w:hyperlink r:id="rId353">
        <w:r>
          <w:rPr>
            <w:color w:val="1155CC"/>
            <w:u w:val="single"/>
          </w:rPr>
          <w:t>每日简报：首个“核”钟让原子钟相形见绌</w:t>
        </w:r>
      </w:hyperlink>
    </w:p>
    <w:p>
      <w:pPr>
        <w:spacing w:before="0" w:after="80"/>
      </w:pPr>
      <w:r>
        <w:rPr>
          <w:i/>
          <w:sz w:val="20"/>
        </w:rPr>
        <w:t>EN: Daily briefing: First-ever ‘nuclear’ clocks put atomic clocks in the shade</w:t>
      </w:r>
    </w:p>
    <w:p>
      <w:pPr>
        <w:spacing w:before="0" w:after="120"/>
      </w:pPr>
      <w:r>
        <w:rPr>
          <w:b/>
        </w:rPr>
        <w:t xml:space="preserve">Source: </w:t>
      </w:r>
      <w:r>
        <w:t>Nature</w:t>
      </w:r>
      <w:r>
        <w:t xml:space="preserve">    </w:t>
      </w:r>
      <w:r>
        <w:rPr>
          <w:b/>
        </w:rPr>
        <w:t xml:space="preserve">Pub date: </w:t>
      </w:r>
      <w:r>
        <w:t>2026-06-22 00:00:00+00:00</w:t>
      </w:r>
      <w:r>
        <w:t xml:space="preserve">    </w:t>
      </w:r>
      <w:r>
        <w:rPr>
          <w:b/>
        </w:rPr>
        <w:t xml:space="preserve">DOI: </w:t>
      </w:r>
      <w:hyperlink r:id="rId354">
        <w:r>
          <w:rPr>
            <w:color w:val="1155CC"/>
            <w:u w:val="single"/>
          </w:rPr>
          <w:t>10.1038/d41586-026-01997-5</w:t>
        </w:r>
      </w:hyperlink>
    </w:p>
    <w:p>
      <w:pPr>
        <w:spacing w:before="0" w:after="120"/>
      </w:pPr>
      <w:r>
        <w:rPr>
          <w:b/>
        </w:rPr>
        <w:t xml:space="preserve">Notes: </w:t>
      </w:r>
      <w:r>
        <w:t>abstract_source=nature_html</w:t>
      </w:r>
    </w:p>
    <w:p>
      <w:pPr>
        <w:spacing w:before="0" w:after="80" w:lineRule="auto" w:line="276"/>
      </w:pPr>
      <w:r>
        <w:rPr>
          <w:b/>
        </w:rPr>
        <w:t xml:space="preserve">摘要（ZH）: </w:t>
      </w:r>
      <w:r>
        <w:t>两个研究小组创造了一种期待已久的新型计时器。此外，强烈反对如何拯救了特朗普针对的海洋监测网络，以及我们的文化遗产如何因气候变化而面临风险。两个研究小组创造了一种期待已久的新型计时器。此外，强烈反对如何拯救了特朗普针对的海洋监测网络，以及我们的文化遗产如何因气候变化而面临风险。</w:t>
      </w:r>
    </w:p>
    <w:p>
      <w:pPr>
        <w:spacing w:before="0" w:after="200" w:lineRule="auto" w:line="276"/>
      </w:pPr>
      <w:r>
        <w:rPr>
          <w:b/>
        </w:rPr>
        <w:t xml:space="preserve">Abstract (EN): </w:t>
      </w:r>
      <w:r>
        <w:t>Two research teams have created a new, long-awaited type of timekeeper. Plus, how backlash has saved an ocean-monitoring network targeted by Trump and how our cultural heritage is put at risk by climate change. Two research teams have created a new, long-awaited type of timekeeper. Plus, how backlash has saved an ocean-monitoring network targeted by Trump and how our cultural heritage is put at risk by climate change.</w:t>
      </w:r>
    </w:p>
    <w:p>
      <w:pPr>
        <w:spacing w:before="120" w:after="120"/>
      </w:pPr>
      <w:r>
        <w:rPr>
          <w:sz w:val="18"/>
        </w:rPr>
        <w:t>——————————————————————————————————————————————————————————————————————</w:t>
      </w:r>
    </w:p>
    <w:p>
      <w:pPr>
        <w:spacing w:before="160" w:after="40" w:line="240" w:lineRule="auto"/>
      </w:pPr>
      <w:r>
        <w:rPr>
          <w:b/>
        </w:rPr>
        <w:t xml:space="preserve">[47] </w:t>
      </w:r>
      <w:hyperlink r:id="rId355">
        <w:r>
          <w:rPr>
            <w:color w:val="1155CC"/>
            <w:u w:val="single"/>
          </w:rPr>
          <w:t>纳米限制推动了水的订购</w:t>
        </w:r>
      </w:hyperlink>
    </w:p>
    <w:p>
      <w:pPr>
        <w:spacing w:before="0" w:after="80"/>
      </w:pPr>
      <w:r>
        <w:rPr>
          <w:i/>
          <w:sz w:val="20"/>
        </w:rPr>
        <w:t>EN: Nanoconfinement drives water ordering</w:t>
      </w:r>
    </w:p>
    <w:p>
      <w:pPr>
        <w:spacing w:before="0" w:after="120"/>
      </w:pPr>
      <w:r>
        <w:rPr>
          <w:b/>
        </w:rPr>
        <w:t xml:space="preserve">Source: </w:t>
      </w:r>
      <w:r>
        <w:t>National Science Review Advance Access</w:t>
      </w:r>
      <w:r>
        <w:t xml:space="preserve">    </w:t>
      </w:r>
      <w:r>
        <w:rPr>
          <w:b/>
        </w:rPr>
        <w:t xml:space="preserve">Pub date: </w:t>
      </w:r>
      <w:r>
        <w:t>2026-06-22 00:00:00+00:00</w:t>
      </w:r>
      <w:r>
        <w:t xml:space="preserve">    </w:t>
      </w:r>
      <w:r>
        <w:rPr>
          <w:b/>
        </w:rPr>
        <w:t xml:space="preserve">DOI: </w:t>
      </w:r>
      <w:hyperlink r:id="rId356">
        <w:r>
          <w:rPr>
            <w:color w:val="1155CC"/>
            <w:u w:val="single"/>
          </w:rPr>
          <w:t>10.1093/nsr/nwag384</w:t>
        </w:r>
      </w:hyperlink>
    </w:p>
    <w:p>
      <w:pPr>
        <w:spacing w:before="0" w:after="120"/>
      </w:pPr>
      <w:r>
        <w:rPr>
          <w:b/>
        </w:rPr>
        <w:t xml:space="preserve">Notes: </w:t>
      </w:r>
      <w:r>
        <w:t>abstract_source=crossref</w:t>
      </w:r>
    </w:p>
    <w:p>
      <w:pPr>
        <w:spacing w:before="0" w:after="80" w:lineRule="auto" w:line="276"/>
      </w:pPr>
      <w:r>
        <w:rPr>
          <w:b/>
        </w:rPr>
        <w:t xml:space="preserve">摘要（ZH）: </w:t>
      </w:r>
      <w:r>
        <w:t>对纳米约束水的直接探测表明，约束会诱导水有序化，并在室温下实现液-固转变，为水主导的反应提供了新的范例。</w:t>
      </w:r>
    </w:p>
    <w:p>
      <w:pPr>
        <w:spacing w:before="0" w:after="200" w:lineRule="auto" w:line="276"/>
      </w:pPr>
      <w:r>
        <w:rPr>
          <w:b/>
        </w:rPr>
        <w:t xml:space="preserve">Abstract (EN): </w:t>
      </w:r>
      <w:r>
        <w:t>Direct probing of nanoconfined water reveals that confinement induces water ordering and enables a liquid–solid transition at room temperature, offering a new paradigm for water-dominated reactions.</w:t>
      </w:r>
    </w:p>
    <w:p>
      <w:pPr>
        <w:spacing w:before="120" w:after="120"/>
      </w:pPr>
      <w:r>
        <w:rPr>
          <w:sz w:val="18"/>
        </w:rPr>
        <w:t>——————————————————————————————————————————————————————————————————————</w:t>
      </w:r>
    </w:p>
    <w:p>
      <w:pPr>
        <w:spacing w:before="160" w:after="40" w:line="240" w:lineRule="auto"/>
      </w:pPr>
      <w:r>
        <w:rPr>
          <w:b/>
        </w:rPr>
        <w:t xml:space="preserve">[48] </w:t>
      </w:r>
      <w:hyperlink r:id="rId357">
        <w:r>
          <w:rPr>
            <w:color w:val="1155CC"/>
            <w:u w:val="single"/>
          </w:rPr>
          <w:t>为什么遗产地在变暖的世界中面临风险 - 以及如何拯救它们</w:t>
        </w:r>
      </w:hyperlink>
    </w:p>
    <w:p>
      <w:pPr>
        <w:spacing w:before="0" w:after="80"/>
      </w:pPr>
      <w:r>
        <w:rPr>
          <w:i/>
          <w:sz w:val="20"/>
        </w:rPr>
        <w:t>EN: Why heritage sites are at risk in a warming world — and how to save them</w:t>
      </w:r>
    </w:p>
    <w:p>
      <w:pPr>
        <w:spacing w:before="0" w:after="120"/>
      </w:pPr>
      <w:r>
        <w:rPr>
          <w:b/>
        </w:rPr>
        <w:t xml:space="preserve">Source: </w:t>
      </w:r>
      <w:r>
        <w:t>Nature</w:t>
      </w:r>
      <w:r>
        <w:t xml:space="preserve">    </w:t>
      </w:r>
      <w:r>
        <w:rPr>
          <w:b/>
        </w:rPr>
        <w:t xml:space="preserve">Pub date: </w:t>
      </w:r>
      <w:r>
        <w:t>2026-06-22 00:00:00+00:00</w:t>
      </w:r>
      <w:r>
        <w:t xml:space="preserve">    </w:t>
      </w:r>
      <w:r>
        <w:rPr>
          <w:b/>
        </w:rPr>
        <w:t xml:space="preserve">DOI: </w:t>
      </w:r>
      <w:hyperlink r:id="rId358">
        <w:r>
          <w:rPr>
            <w:color w:val="1155CC"/>
            <w:u w:val="single"/>
          </w:rPr>
          <w:t>10.1038/d41586-026-01956-0</w:t>
        </w:r>
      </w:hyperlink>
    </w:p>
    <w:p>
      <w:pPr>
        <w:spacing w:before="0" w:after="120"/>
      </w:pPr>
      <w:r>
        <w:rPr>
          <w:b/>
        </w:rPr>
        <w:t xml:space="preserve">Notes: </w:t>
      </w:r>
      <w:r>
        <w:t>abstract_source=nature_html</w:t>
      </w:r>
    </w:p>
    <w:p>
      <w:pPr>
        <w:spacing w:before="0" w:after="80" w:lineRule="auto" w:line="276"/>
      </w:pPr>
      <w:r>
        <w:rPr>
          <w:b/>
        </w:rPr>
        <w:t xml:space="preserve">摘要（ZH）: </w:t>
      </w:r>
      <w:r>
        <w:t>随着海平面上升和灾害加剧威胁着世界各地的历史遗迹，迫切需要新的方法来了解、保护和适应这些地方。随着海平面上升和灾害加剧威胁着世界各地的历史遗迹，迫切需要新的方法来了解、保护和适应这些地方。</w:t>
      </w:r>
    </w:p>
    <w:p>
      <w:pPr>
        <w:spacing w:before="0" w:after="200" w:lineRule="auto" w:line="276"/>
      </w:pPr>
      <w:r>
        <w:rPr>
          <w:b/>
        </w:rPr>
        <w:t xml:space="preserve">Abstract (EN): </w:t>
      </w:r>
      <w:r>
        <w:t>As rising seas and intensifying disasters threaten historic sites worldwide, new ways to understand, preserve and adapt these places are needed urgently. As rising seas and intensifying disasters threaten historic sites worldwide, new ways to understand, preserve and adapt these places are needed urgently.</w:t>
      </w:r>
    </w:p>
    <w:p>
      <w:pPr>
        <w:spacing w:before="120" w:after="120"/>
      </w:pPr>
      <w:r>
        <w:rPr>
          <w:sz w:val="18"/>
        </w:rPr>
        <w:t>——————————————————————————————————————————————————————————————————————</w:t>
      </w:r>
    </w:p>
    <w:p>
      <w:pPr>
        <w:spacing w:before="160" w:after="40" w:line="240" w:lineRule="auto"/>
      </w:pPr>
      <w:r>
        <w:rPr>
          <w:b/>
        </w:rPr>
        <w:t xml:space="preserve">[49] </w:t>
      </w:r>
      <w:hyperlink r:id="rId359">
        <w:r>
          <w:rPr>
            <w:color w:val="1155CC"/>
            <w:u w:val="single"/>
          </w:rPr>
          <w:t>具有亚 10 nm 带宽的分子拓扑引导多共振发射器：超窄高效可溶液加工 OLED</w:t>
        </w:r>
      </w:hyperlink>
    </w:p>
    <w:p>
      <w:pPr>
        <w:spacing w:before="0" w:after="80"/>
      </w:pPr>
      <w:r>
        <w:rPr>
          <w:i/>
          <w:sz w:val="20"/>
        </w:rPr>
        <w:t>EN: Molecular-topology-guided multiple-resonance emitters with sub-10-nm bandwidths: ultranarrow high-efficiency solution-processable OLEDs</w:t>
      </w:r>
    </w:p>
    <w:p>
      <w:pPr>
        <w:spacing w:before="0" w:after="120"/>
      </w:pPr>
      <w:r>
        <w:rPr>
          <w:b/>
        </w:rPr>
        <w:t xml:space="preserve">Source: </w:t>
      </w:r>
      <w:r>
        <w:t>National Science Review Advance Access</w:t>
      </w:r>
      <w:r>
        <w:t xml:space="preserve">    </w:t>
      </w:r>
      <w:r>
        <w:rPr>
          <w:b/>
        </w:rPr>
        <w:t xml:space="preserve">Pub date: </w:t>
      </w:r>
      <w:r>
        <w:t>2026-06-22 00:00:00+00:00</w:t>
      </w:r>
      <w:r>
        <w:t xml:space="preserve">    </w:t>
      </w:r>
      <w:r>
        <w:rPr>
          <w:b/>
        </w:rPr>
        <w:t xml:space="preserve">DOI: </w:t>
      </w:r>
      <w:hyperlink r:id="rId360">
        <w:r>
          <w:rPr>
            <w:color w:val="1155CC"/>
            <w:u w:val="single"/>
          </w:rPr>
          <w:t>10.1093/nsr/nwag377</w:t>
        </w:r>
      </w:hyperlink>
    </w:p>
    <w:p>
      <w:pPr>
        <w:spacing w:before="0" w:after="120"/>
      </w:pPr>
      <w:r>
        <w:rPr>
          <w:b/>
        </w:rPr>
        <w:t xml:space="preserve">Notes: </w:t>
      </w:r>
      <w:r>
        <w:t>abstract_source=rss_oup</w:t>
      </w:r>
    </w:p>
    <w:p>
      <w:pPr>
        <w:spacing w:before="0" w:after="80" w:lineRule="auto" w:line="276"/>
      </w:pPr>
      <w:r>
        <w:rPr>
          <w:b/>
        </w:rPr>
        <w:t xml:space="preserve">摘要（ZH）: </w:t>
      </w:r>
      <w:r>
        <w:t>超窄带发射器对于高色纯度有机发光二极管至关重要，但它们的发现在很大程度上仍然是经验性的，因为光谱变窄很难预测。低效的合成和测试循环以及缺乏将分子结构与激发态弛豫联系起来的简单设计规则限制了进展。在这里，我们通过将分子拓扑视为结构弛豫的明确处理，建立了超窄多共振发射器的预测设计框架。 B、N 掺杂三角烯融合模式的高通量筛选可识别交替融合模式，该模式可最大限度地减少重组能量，并产生用于光谱变窄的基态描述符，而无需明确的激发态计算。在此框架的指导下，我们合成了光致发光带宽低至 9.1 nm 的天蓝色发射器以及具有 10.9 nm 电致发光带宽和 38.1% 外量子效率的溶液处理器件。</w:t>
      </w:r>
    </w:p>
    <w:p>
      <w:pPr>
        <w:spacing w:before="0" w:after="200" w:lineRule="auto" w:line="276"/>
      </w:pPr>
      <w:r>
        <w:rPr>
          <w:b/>
        </w:rPr>
        <w:t xml:space="preserve">Abstract (EN): </w:t>
      </w:r>
      <w:r>
        <w:t>Ultranarrow-band emitters are essential for high-colour-purity organic light-emitting diodes, but their discovery remains largely empirical because spectral narrowing is difficult to predict. Progress has been limited by inefficient synthesis-and-testing cycles and the lack of simple design rules linking molecular structure to excited-state relaxation. Here we establish a predictive design framework for ultranarrow multiple-resonance emitters by treating molecular topology as an explicit handle on structural relaxation. High-throughput screening of B, N-doped triangulene fusion modes identifies an alternating fusion pattern that minimizes reorganization energy and yields a ground-state descriptor for spectral narrowing without explicit excited-state calculations. Guided by this framework, we synthesize sky-blue emitters with photoluminescence bandwidths down to 9.1 nm and solution-processed devices with 10.9-nm electroluminescence bandwidths and 38.1% external quantum efficiency.</w:t>
      </w:r>
    </w:p>
    <w:p>
      <w:pPr>
        <w:spacing w:before="120" w:after="120"/>
      </w:pPr>
      <w:r>
        <w:rPr>
          <w:sz w:val="18"/>
        </w:rPr>
        <w:t>——————————————————————————————————————————————————————————————————————</w:t>
      </w:r>
    </w:p>
    <w:p>
      <w:pPr>
        <w:spacing w:before="160" w:after="40" w:line="240" w:lineRule="auto"/>
      </w:pPr>
      <w:r>
        <w:rPr>
          <w:b/>
        </w:rPr>
        <w:t xml:space="preserve">[50] </w:t>
      </w:r>
      <w:hyperlink r:id="rId361">
        <w:r>
          <w:rPr>
            <w:color w:val="1155CC"/>
            <w:u w:val="single"/>
          </w:rPr>
          <w:t>利用冠层温度观测的见解，了解全球光合作用日益严重的热应力</w:t>
        </w:r>
      </w:hyperlink>
    </w:p>
    <w:p>
      <w:pPr>
        <w:spacing w:before="0" w:after="80"/>
      </w:pPr>
      <w:r>
        <w:rPr>
          <w:i/>
          <w:sz w:val="20"/>
        </w:rPr>
        <w:t>EN: Increasingly severe thermal stresses on global photosynthesis using insights from observations of canopy temperature</w:t>
      </w:r>
    </w:p>
    <w:p>
      <w:pPr>
        <w:spacing w:before="0" w:after="120"/>
      </w:pPr>
      <w:r>
        <w:rPr>
          <w:b/>
        </w:rPr>
        <w:t xml:space="preserve">Source: </w:t>
      </w:r>
      <w:r>
        <w:t>National Science Review Advance Access</w:t>
      </w:r>
      <w:r>
        <w:t xml:space="preserve">    </w:t>
      </w:r>
      <w:r>
        <w:rPr>
          <w:b/>
        </w:rPr>
        <w:t xml:space="preserve">Pub date: </w:t>
      </w:r>
      <w:r>
        <w:t>2026-06-22 00:00:00+00:00</w:t>
      </w:r>
      <w:r>
        <w:t xml:space="preserve">    </w:t>
      </w:r>
      <w:r>
        <w:rPr>
          <w:b/>
        </w:rPr>
        <w:t xml:space="preserve">DOI: </w:t>
      </w:r>
      <w:hyperlink r:id="rId362">
        <w:r>
          <w:rPr>
            <w:color w:val="1155CC"/>
            <w:u w:val="single"/>
          </w:rPr>
          <w:t>10.1093/nsr/nwag347</w:t>
        </w:r>
      </w:hyperlink>
    </w:p>
    <w:p>
      <w:pPr>
        <w:spacing w:before="0" w:after="120"/>
      </w:pPr>
      <w:r>
        <w:rPr>
          <w:b/>
        </w:rPr>
        <w:t xml:space="preserve">Notes: </w:t>
      </w:r>
      <w:r>
        <w:t>abstract_source=rss_oup</w:t>
      </w:r>
    </w:p>
    <w:p>
      <w:pPr>
        <w:spacing w:before="0" w:after="80" w:lineRule="auto" w:line="276"/>
      </w:pPr>
      <w:r>
        <w:rPr>
          <w:b/>
        </w:rPr>
        <w:t xml:space="preserve">摘要（ZH）: </w:t>
      </w:r>
      <w:r>
        <w:t>随着全球变暖加剧，温度通常会超过光合作用的最佳水平，对植被的生产力造成热应激。我们利用 2003 年至 2024 年卫星获得的冠层温度和总初级生产力 (GPP) 数据来确定全球光合作用的生态系统水平最佳冠层温度 (Tcan opt) 以及任何热适应的程度，这可能会抵消变暖的影响。我们的研究结果表明，在全球范围内，热引起的全球光合作用限制正在恶化，受热限制的面积在过去 22 年里扩大了 17 亿公顷（增加了 57%）。在此期间，每年光合作用高热抑制的天数急剧增加，全球平均为28天，尤其是热带森林（117天）和重点农业区（39天）。我们证明，植被对较高冠层温度的适应在一定程度上缓解了新出现的热应激，但不足以跟上全球变暖的速度，全球各地超过 90% 的植被区域表现出部分适应。我们分析的一个关键特征是使用冠层温度，它更准确地代表植被生理反应的实际温度，而不是之前使用气温的研究。这种差异解释了我们发现植被对变暖的反应比其他分析估计的更快加强的原因。总体而言，我们的冠层</w:t>
      </w:r>
    </w:p>
    <w:p>
      <w:pPr>
        <w:spacing w:before="0" w:after="200" w:lineRule="auto" w:line="276"/>
      </w:pPr>
      <w:r>
        <w:rPr>
          <w:b/>
        </w:rPr>
        <w:t xml:space="preserve">Abstract (EN): </w:t>
      </w:r>
      <w:r>
        <w:t>Temperatures could routinely exceed the optimal levels for photosynthesis as global warming intensifies, imposing thermal stress on the productivity of vegetation. We utilised satellite-derived canopy temperature and gross primary productivity (GPP) data from 2003 to 2024 to identify the ecosystem-level optimal canopy temperature (Tcan opt) for global photosynthesis and the extent of any thermal acclimation, which may offset warming impacts. Our findings indicated that across the globe, heat-induced restrictions on global photosynthesis are worsening, and areas subjected to thermal limitations have expanded by 1.7 billion hectares (57% increase) over the last 22 years. The number of days per year with high thermal suppression of photosynthesis during that period has increased sharply, averaging 28 days globally, and is especially high in tropical forests (117 days) and key agricultural regions (39 days). We demonstrate that vegetation acclimation to higher canopy temperature is partially mitigating emerging heat stress, but it is insufficient to keep up with the rate of global warming, with more than 90% of vegetated areas, and from locations across the globe, exhibiting partial acclimation. A key feature of our analysis is the use of canopy-level temperatures, which more accurately represent the actual temperatures that vegetation physiologically responds to, rather than previous research using air temperature. This difference accounts for our identified more rapidly intensifying vegetation response to warming than that estimated by other analyses. Overall, our canopy-level analysis reveals an escalating threat to global vegetation productivity and highlights the need for climate models to have refined land components, which often rely on air-temperature forcing and simplified acclimation schemes. Required are targeted ecosystem management strategies for adaptation to further global warming.</w:t>
      </w:r>
    </w:p>
    <w:p>
      <w:pPr>
        <w:spacing w:before="120" w:after="120"/>
      </w:pPr>
      <w:r>
        <w:rPr>
          <w:sz w:val="18"/>
        </w:rPr>
        <w:t>——————————————————————————————————————————————————————————————————————</w:t>
      </w:r>
    </w:p>
    <w:p>
      <w:pPr>
        <w:spacing w:before="160" w:after="40" w:line="240" w:lineRule="auto"/>
      </w:pPr>
      <w:r>
        <w:rPr>
          <w:b/>
        </w:rPr>
        <w:t xml:space="preserve">[51] </w:t>
      </w:r>
      <w:hyperlink r:id="rId363">
        <w:r>
          <w:rPr>
            <w:color w:val="1155CC"/>
            <w:u w:val="single"/>
          </w:rPr>
          <w:t>让科学更可靠：研究人们的生活</w:t>
        </w:r>
      </w:hyperlink>
    </w:p>
    <w:p>
      <w:pPr>
        <w:spacing w:before="0" w:after="80"/>
      </w:pPr>
      <w:r>
        <w:rPr>
          <w:i/>
          <w:sz w:val="20"/>
        </w:rPr>
        <w:t>EN: Make science more reliable: study people as they go about their lives</w:t>
      </w:r>
    </w:p>
    <w:p>
      <w:pPr>
        <w:spacing w:before="0" w:after="120"/>
      </w:pPr>
      <w:r>
        <w:rPr>
          <w:b/>
        </w:rPr>
        <w:t xml:space="preserve">Source: </w:t>
      </w:r>
      <w:r>
        <w:t>Nature</w:t>
      </w:r>
      <w:r>
        <w:t xml:space="preserve">    </w:t>
      </w:r>
      <w:r>
        <w:rPr>
          <w:b/>
        </w:rPr>
        <w:t xml:space="preserve">Pub date: </w:t>
      </w:r>
      <w:r>
        <w:t>2026-06-22 00:00:00+00:00</w:t>
      </w:r>
      <w:r>
        <w:t xml:space="preserve">    </w:t>
      </w:r>
      <w:r>
        <w:rPr>
          <w:b/>
        </w:rPr>
        <w:t xml:space="preserve">DOI: </w:t>
      </w:r>
      <w:hyperlink r:id="rId364">
        <w:r>
          <w:rPr>
            <w:color w:val="1155CC"/>
            <w:u w:val="single"/>
          </w:rPr>
          <w:t>10.1038/d41586-026-01957-z</w:t>
        </w:r>
      </w:hyperlink>
    </w:p>
    <w:p>
      <w:pPr>
        <w:spacing w:before="0" w:after="120"/>
      </w:pPr>
      <w:r>
        <w:rPr>
          <w:b/>
        </w:rPr>
        <w:t xml:space="preserve">Notes: </w:t>
      </w:r>
      <w:r>
        <w:t>abstract_source=nature_html</w:t>
      </w:r>
    </w:p>
    <w:p>
      <w:pPr>
        <w:spacing w:before="0" w:after="80" w:lineRule="auto" w:line="276"/>
      </w:pPr>
      <w:r>
        <w:rPr>
          <w:b/>
        </w:rPr>
        <w:t xml:space="preserve">摘要（ZH）: </w:t>
      </w:r>
      <w:r>
        <w:t>研究人员长期以来一直在讨论复制危机。现在是时候解决行为科学中的另一个问题了：普遍性。研究人员长期以来一直在讨论复制危机。现在是时候解决行为科学中的另一个问题了：普遍性。</w:t>
      </w:r>
    </w:p>
    <w:p>
      <w:pPr>
        <w:spacing w:before="0" w:after="200" w:lineRule="auto" w:line="276"/>
      </w:pPr>
      <w:r>
        <w:rPr>
          <w:b/>
        </w:rPr>
        <w:t xml:space="preserve">Abstract (EN): </w:t>
      </w:r>
      <w:r>
        <w:t>Researchers have long discussed the replication crisis. Now it’s time to tackle another problem in the behavioural sciences: generalizability. Researchers have long discussed the replication crisis. Now it’s time to tackle another problem in the behavioural sciences: generalizability.</w:t>
      </w:r>
    </w:p>
    <w:p>
      <w:pPr>
        <w:spacing w:before="120" w:after="120"/>
      </w:pPr>
      <w:r>
        <w:rPr>
          <w:sz w:val="18"/>
        </w:rPr>
        <w:t>——————————————————————————————————————————————————————————————————————</w:t>
      </w:r>
    </w:p>
    <w:p>
      <w:pPr>
        <w:spacing w:before="160" w:after="40" w:line="240" w:lineRule="auto"/>
      </w:pPr>
      <w:r>
        <w:rPr>
          <w:b/>
        </w:rPr>
        <w:t xml:space="preserve">[52] </w:t>
      </w:r>
      <w:hyperlink r:id="rId365">
        <w:r>
          <w:rPr>
            <w:color w:val="1155CC"/>
            <w:u w:val="single"/>
          </w:rPr>
          <w:t>重新思考政策驱动的能源技术的 S 曲线</w:t>
        </w:r>
      </w:hyperlink>
    </w:p>
    <w:p>
      <w:pPr>
        <w:spacing w:before="0" w:after="80"/>
      </w:pPr>
      <w:r>
        <w:rPr>
          <w:i/>
          <w:sz w:val="20"/>
        </w:rPr>
        <w:t>EN: Rethinking S-curves for policy-driven energy technologies</w:t>
      </w:r>
    </w:p>
    <w:p>
      <w:pPr>
        <w:spacing w:before="0" w:after="120"/>
      </w:pPr>
      <w:r>
        <w:rPr>
          <w:b/>
        </w:rPr>
        <w:t xml:space="preserve">Source: </w:t>
      </w:r>
      <w:r>
        <w:t>Joule</w:t>
      </w:r>
      <w:r>
        <w:t xml:space="preserve">    </w:t>
      </w:r>
      <w:r>
        <w:rPr>
          <w:b/>
        </w:rPr>
        <w:t xml:space="preserve">Pub date: </w:t>
      </w:r>
      <w:r>
        <w:t>2026-06-22 00:00:00+00:00</w:t>
      </w:r>
      <w:r>
        <w:t xml:space="preserve">    </w:t>
      </w:r>
      <w:r>
        <w:rPr>
          <w:b/>
        </w:rPr>
        <w:t xml:space="preserve">DOI: </w:t>
      </w:r>
      <w:hyperlink r:id="rId366">
        <w:r>
          <w:rPr>
            <w:color w:val="1155CC"/>
            <w:u w:val="single"/>
          </w:rPr>
          <w:t>10.1016/j.joule.2026.102526</w:t>
        </w:r>
      </w:hyperlink>
    </w:p>
    <w:p>
      <w:pPr>
        <w:spacing w:before="0" w:after="120"/>
      </w:pPr>
      <w:r>
        <w:rPr>
          <w:b/>
        </w:rPr>
        <w:t xml:space="preserve">Notes: </w:t>
      </w:r>
      <w:r>
        <w:t>abstract_source=rss_cell</w:t>
      </w:r>
    </w:p>
    <w:p>
      <w:pPr>
        <w:spacing w:before="0" w:after="80" w:lineRule="auto" w:line="276"/>
      </w:pPr>
      <w:r>
        <w:rPr>
          <w:b/>
        </w:rPr>
        <w:t xml:space="preserve">摘要（ZH）: </w:t>
      </w:r>
      <w:r>
        <w:t>新技术的采用通常遵循先加速后减速的 S 曲线，但大多数国家的风能和太阳能偏离了这种模式。经过不稳定增长的形成阶段后，可再生能源经历了最初的加速，并在市场渗透率较低时达到顶峰。然后，增长在较慢和较快的扩张脉冲之间交替，平均速率低于第一个峰值。因此，领先国家的增长率为未来全球部署的可能速度提供了基准。</w:t>
      </w:r>
    </w:p>
    <w:p>
      <w:pPr>
        <w:spacing w:before="0" w:after="200" w:lineRule="auto" w:line="276"/>
      </w:pPr>
      <w:r>
        <w:rPr>
          <w:b/>
        </w:rPr>
        <w:t xml:space="preserve">Abstract (EN): </w:t>
      </w:r>
      <w:r>
        <w:t>The adoption of new technologies typically follows an S-curve of acceleration followed by a slowdown, but wind and solar in most countries deviate from this pattern. After a formative phase of erratic growth, renewables undergo initial acceleration that peaks at low market penetration. Growth then alternates between pulses of slower and faster expansion, with average rates below the first peak. Growth rates in front-runner countries therefore provide a benchmark for the likely speed of future global deployment.</w:t>
      </w:r>
    </w:p>
    <w:p>
      <w:pPr>
        <w:spacing w:before="120" w:after="120"/>
      </w:pPr>
      <w:r>
        <w:rPr>
          <w:sz w:val="18"/>
        </w:rPr>
        <w:t>——————————————————————————————————————————————————————————————————————</w:t>
      </w:r>
    </w:p>
    <w:p>
      <w:pPr>
        <w:spacing w:before="160" w:after="40" w:line="240" w:lineRule="auto"/>
      </w:pPr>
      <w:r>
        <w:rPr>
          <w:b/>
        </w:rPr>
        <w:t xml:space="preserve">[53] </w:t>
      </w:r>
      <w:hyperlink r:id="rId367">
        <w:r>
          <w:rPr>
            <w:color w:val="1155CC"/>
            <w:u w:val="single"/>
          </w:rPr>
          <w:t>癌细胞采用前所未有的策略来产生一种分子，保护它们免受铁依赖性死亡的影响</w:t>
        </w:r>
      </w:hyperlink>
    </w:p>
    <w:p>
      <w:pPr>
        <w:spacing w:before="0" w:after="80"/>
      </w:pPr>
      <w:r>
        <w:rPr>
          <w:i/>
          <w:sz w:val="20"/>
        </w:rPr>
        <w:t>EN: Cancer cells adopt unprecedented strategies to produce a molecule that protects them from iron-dependent death</w:t>
      </w:r>
    </w:p>
    <w:p>
      <w:pPr>
        <w:spacing w:before="0" w:after="120"/>
      </w:pPr>
      <w:r>
        <w:rPr>
          <w:b/>
        </w:rPr>
        <w:t xml:space="preserve">Source: </w:t>
      </w:r>
      <w:r>
        <w:t>Nature</w:t>
      </w:r>
      <w:r>
        <w:t xml:space="preserve">    </w:t>
      </w:r>
      <w:r>
        <w:rPr>
          <w:b/>
        </w:rPr>
        <w:t xml:space="preserve">Pub date: </w:t>
      </w:r>
      <w:r>
        <w:t>2026-06-22 00:00:00+00:00</w:t>
      </w:r>
      <w:r>
        <w:t xml:space="preserve">    </w:t>
      </w:r>
      <w:r>
        <w:rPr>
          <w:b/>
        </w:rPr>
        <w:t xml:space="preserve">DOI: </w:t>
      </w:r>
      <w:hyperlink r:id="rId368">
        <w:r>
          <w:rPr>
            <w:color w:val="1155CC"/>
            <w:u w:val="single"/>
          </w:rPr>
          <w:t>10.1038/d41586-026-01802-3</w:t>
        </w:r>
      </w:hyperlink>
    </w:p>
    <w:p>
      <w:pPr>
        <w:spacing w:before="0" w:after="120"/>
      </w:pPr>
      <w:r>
        <w:rPr>
          <w:b/>
        </w:rPr>
        <w:t xml:space="preserve">Notes: </w:t>
      </w:r>
      <w:r>
        <w:t>abstract_source=nature_html</w:t>
      </w:r>
    </w:p>
    <w:p>
      <w:pPr>
        <w:spacing w:before="0" w:after="80" w:lineRule="auto" w:line="276"/>
      </w:pPr>
      <w:r>
        <w:rPr>
          <w:b/>
        </w:rPr>
        <w:t xml:space="preserve">摘要（ZH）: </w:t>
      </w:r>
      <w:r>
        <w:t>细胞中的精胺分子与铁结合以防止铁死亡（一种细胞死亡），这一发现为治疗组织损伤和癌症开辟了策略。细胞中的精胺分子与铁结合以防止铁死亡（一种细胞死亡），这一发现为治疗组织损伤和癌症开辟了策略。</w:t>
      </w:r>
    </w:p>
    <w:p>
      <w:pPr>
        <w:spacing w:before="0" w:after="200" w:lineRule="auto" w:line="276"/>
      </w:pPr>
      <w:r>
        <w:rPr>
          <w:b/>
        </w:rPr>
        <w:t xml:space="preserve">Abstract (EN): </w:t>
      </w:r>
      <w:r>
        <w:t>The finding that spermine molecules in cells bind to iron to prevent it unleashing ferroptosis, a type of cell death, opens up strategies for treating tissue damage and cancer. The finding that spermine molecules in cells bind to iron to prevent it unleashing ferroptosis, a type of cell death, opens up strategies for treating tissue damage and cancer.</w:t>
      </w:r>
    </w:p>
    <w:p>
      <w:pPr>
        <w:spacing w:before="120" w:after="120"/>
      </w:pPr>
      <w:r>
        <w:rPr>
          <w:sz w:val="18"/>
        </w:rPr>
        <w:t>——————————————————————————————————————————————————————————————————————</w:t>
      </w:r>
    </w:p>
    <w:p>
      <w:pPr>
        <w:spacing w:before="160" w:after="40" w:line="240" w:lineRule="auto"/>
      </w:pPr>
      <w:r>
        <w:rPr>
          <w:b/>
        </w:rPr>
        <w:t xml:space="preserve">[54] </w:t>
      </w:r>
      <w:hyperlink r:id="rId369">
        <w:r>
          <w:rPr>
            <w:color w:val="1155CC"/>
            <w:u w:val="single"/>
          </w:rPr>
          <w:t>第一个滴答作响的“核时钟”已经到来——它们能做什么？</w:t>
        </w:r>
      </w:hyperlink>
    </w:p>
    <w:p>
      <w:pPr>
        <w:spacing w:before="0" w:after="80"/>
      </w:pPr>
      <w:r>
        <w:rPr>
          <w:i/>
          <w:sz w:val="20"/>
        </w:rPr>
        <w:t>EN: The first ticking ‘nuclear clocks’ are here — what can they do?</w:t>
      </w:r>
    </w:p>
    <w:p>
      <w:pPr>
        <w:spacing w:before="0" w:after="120"/>
      </w:pPr>
      <w:r>
        <w:rPr>
          <w:b/>
        </w:rPr>
        <w:t xml:space="preserve">Source: </w:t>
      </w:r>
      <w:r>
        <w:t>Nature</w:t>
      </w:r>
      <w:r>
        <w:t xml:space="preserve">    </w:t>
      </w:r>
      <w:r>
        <w:rPr>
          <w:b/>
        </w:rPr>
        <w:t xml:space="preserve">Pub date: </w:t>
      </w:r>
      <w:r>
        <w:t>2026-06-22 00:00:00+00:00</w:t>
      </w:r>
      <w:r>
        <w:t xml:space="preserve">    </w:t>
      </w:r>
      <w:r>
        <w:rPr>
          <w:b/>
        </w:rPr>
        <w:t xml:space="preserve">DOI: </w:t>
      </w:r>
      <w:hyperlink r:id="rId370">
        <w:r>
          <w:rPr>
            <w:color w:val="1155CC"/>
            <w:u w:val="single"/>
          </w:rPr>
          <w:t>10.1038/d41586-026-01909-7</w:t>
        </w:r>
      </w:hyperlink>
    </w:p>
    <w:p>
      <w:pPr>
        <w:spacing w:before="0" w:after="120"/>
      </w:pPr>
      <w:r>
        <w:rPr>
          <w:b/>
        </w:rPr>
        <w:t xml:space="preserve">Notes: </w:t>
      </w:r>
      <w:r>
        <w:t>abstract_source=nature_html</w:t>
      </w:r>
    </w:p>
    <w:p>
      <w:pPr>
        <w:spacing w:before="0" w:after="80" w:lineRule="auto" w:line="276"/>
      </w:pPr>
      <w:r>
        <w:rPr>
          <w:b/>
        </w:rPr>
        <w:t xml:space="preserve">摘要（ZH）: </w:t>
      </w:r>
      <w:r>
        <w:t>两个研究小组创造了一种期待已久的新型计时器。两个研究小组创造了一种期待已久的新型计时器。</w:t>
      </w:r>
    </w:p>
    <w:p>
      <w:pPr>
        <w:spacing w:before="0" w:after="200" w:lineRule="auto" w:line="276"/>
      </w:pPr>
      <w:r>
        <w:rPr>
          <w:b/>
        </w:rPr>
        <w:t xml:space="preserve">Abstract (EN): </w:t>
      </w:r>
      <w:r>
        <w:t>Two research teams have created a new, long-awaited type of timekeeper. Two research teams have created a new, long-awaited type of timekeeper.</w:t>
      </w:r>
    </w:p>
    <w:p>
      <w:pPr>
        <w:spacing w:before="120" w:after="120"/>
      </w:pPr>
      <w:r>
        <w:rPr>
          <w:sz w:val="18"/>
        </w:rPr>
        <w:t>——————————————————————————————————————————————————————————————————————</w:t>
      </w:r>
    </w:p>
    <w:p>
      <w:pPr>
        <w:spacing w:before="160" w:after="40" w:line="240" w:lineRule="auto"/>
      </w:pPr>
      <w:r>
        <w:rPr>
          <w:b/>
        </w:rPr>
        <w:t xml:space="preserve">[55] </w:t>
      </w:r>
      <w:hyperlink r:id="rId371">
        <w:r>
          <w:rPr>
            <w:color w:val="1155CC"/>
            <w:u w:val="single"/>
          </w:rPr>
          <w:t>ARMS-to-Arks：通过珊瑚礁生态系统播种对病毒、微生物和功能网络进行营养重新布线</w:t>
        </w:r>
      </w:hyperlink>
    </w:p>
    <w:p>
      <w:pPr>
        <w:spacing w:before="0" w:after="80"/>
      </w:pPr>
      <w:r>
        <w:rPr>
          <w:i/>
          <w:sz w:val="20"/>
        </w:rPr>
        <w:t>EN: ARMS-to-Arks: Trophic rewiring of viral, microbial, and functional networks through reef ecosystem seeding</w:t>
      </w:r>
    </w:p>
    <w:p>
      <w:pPr>
        <w:spacing w:before="0" w:after="120"/>
      </w:pPr>
      <w:r>
        <w:rPr>
          <w:b/>
        </w:rPr>
        <w:t xml:space="preserve">Source: </w:t>
      </w:r>
      <w:r>
        <w:t>One Earth</w:t>
      </w:r>
      <w:r>
        <w:t xml:space="preserve">    </w:t>
      </w:r>
      <w:r>
        <w:rPr>
          <w:b/>
        </w:rPr>
        <w:t xml:space="preserve">Pub date: </w:t>
      </w:r>
      <w:r>
        <w:t>2026-06-22 00:00:00+00:00</w:t>
      </w:r>
      <w:r>
        <w:t xml:space="preserve">    </w:t>
      </w:r>
      <w:r>
        <w:rPr>
          <w:b/>
        </w:rPr>
        <w:t xml:space="preserve">DOI: </w:t>
      </w:r>
      <w:hyperlink r:id="rId372">
        <w:r>
          <w:rPr>
            <w:color w:val="1155CC"/>
            <w:u w:val="single"/>
          </w:rPr>
          <w:t>10.1016/j.oneear.2026.101741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 </w:t>
      </w:r>
      <w:hyperlink r:id="rId373">
        <w:r>
          <w:rPr>
            <w:color w:val="1155CC"/>
            <w:u w:val="single"/>
          </w:rPr>
          <w:t>高温超导四十年</w:t>
        </w:r>
      </w:hyperlink>
    </w:p>
    <w:p>
      <w:pPr>
        <w:spacing w:before="0" w:after="80"/>
      </w:pPr>
      <w:r>
        <w:rPr>
          <w:i/>
          <w:sz w:val="20"/>
        </w:rPr>
        <w:t>EN: Forty years of high-temperature superconductivity</w:t>
      </w:r>
    </w:p>
    <w:p>
      <w:pPr>
        <w:spacing w:before="0" w:after="120"/>
      </w:pPr>
      <w:r>
        <w:rPr>
          <w:b/>
        </w:rPr>
        <w:t xml:space="preserve">Source: </w:t>
      </w:r>
      <w:r>
        <w:t>Nature</w:t>
      </w:r>
      <w:r>
        <w:t xml:space="preserve">    </w:t>
      </w:r>
      <w:r>
        <w:rPr>
          <w:b/>
        </w:rPr>
        <w:t xml:space="preserve">Pub date: </w:t>
      </w:r>
      <w:r>
        <w:t>2026-06-22 00:00:00+00:00</w:t>
      </w:r>
      <w:r>
        <w:t xml:space="preserve">    </w:t>
      </w:r>
      <w:r>
        <w:rPr>
          <w:b/>
        </w:rPr>
        <w:t xml:space="preserve">DOI: </w:t>
      </w:r>
      <w:hyperlink r:id="rId374">
        <w:r>
          <w:rPr>
            <w:color w:val="1155CC"/>
            <w:u w:val="single"/>
          </w:rPr>
          <w:t>10.1038/d41586-026-01801-4</w:t>
        </w:r>
      </w:hyperlink>
    </w:p>
    <w:p>
      <w:pPr>
        <w:spacing w:before="0" w:after="120"/>
      </w:pPr>
      <w:r>
        <w:rPr>
          <w:b/>
        </w:rPr>
        <w:t xml:space="preserve">Notes: </w:t>
      </w:r>
      <w:r>
        <w:t>abstract_source=nature_html</w:t>
      </w:r>
    </w:p>
    <w:p>
      <w:pPr>
        <w:spacing w:before="0" w:after="80" w:lineRule="auto" w:line="276"/>
      </w:pPr>
      <w:r>
        <w:rPr>
          <w:b/>
        </w:rPr>
        <w:t xml:space="preserve">摘要（ZH）: </w:t>
      </w:r>
      <w:r>
        <w:t>35 开尔文超导性的首次演示推动了数十年的材料研究，并提出了有关这种奇怪物质状态的谜团。 35 开尔文超导性的首次演示推动了数十年的材料研究，并提出了有关这种奇怪物质状态的谜团。</w:t>
      </w:r>
    </w:p>
    <w:p>
      <w:pPr>
        <w:spacing w:before="0" w:after="200" w:lineRule="auto" w:line="276"/>
      </w:pPr>
      <w:r>
        <w:rPr>
          <w:b/>
        </w:rPr>
        <w:t xml:space="preserve">Abstract (EN): </w:t>
      </w:r>
      <w:r>
        <w:t>The first demonstration of superconductivity at 35 kelvin drove decades of materials research and introduced a puzzle about this strange state of matter. The first demonstration of superconductivity at 35 kelvin drove decades of materials research and introduced a puzzle about this strange state of matter.</w:t>
      </w:r>
    </w:p>
    <w:p>
      <w:pPr>
        <w:spacing w:before="120" w:after="120"/>
      </w:pPr>
      <w:r>
        <w:rPr>
          <w:sz w:val="18"/>
        </w:rPr>
        <w:t>——————————————————————————————————————————————————————————————————————</w:t>
      </w:r>
    </w:p>
    <w:p>
      <w:pPr>
        <w:spacing w:before="160" w:after="40" w:line="240" w:lineRule="auto"/>
      </w:pPr>
      <w:r>
        <w:rPr>
          <w:b/>
        </w:rPr>
        <w:t xml:space="preserve">[57] </w:t>
      </w:r>
      <w:hyperlink r:id="rId375">
        <w:r>
          <w:rPr>
            <w:color w:val="1155CC"/>
            <w:u w:val="single"/>
          </w:rPr>
          <w:t>3I/ATLAS 冷且遥远起源的同位素证据</w:t>
        </w:r>
      </w:hyperlink>
    </w:p>
    <w:p>
      <w:pPr>
        <w:spacing w:before="0" w:after="80"/>
      </w:pPr>
      <w:r>
        <w:rPr>
          <w:i/>
          <w:sz w:val="20"/>
        </w:rPr>
        <w:t>EN: Isotopic evidence for a cold and distant origin of 3I/ATLAS</w:t>
      </w:r>
    </w:p>
    <w:p>
      <w:pPr>
        <w:spacing w:before="0" w:after="120"/>
      </w:pPr>
      <w:r>
        <w:rPr>
          <w:b/>
        </w:rPr>
        <w:t xml:space="preserve">Source: </w:t>
      </w:r>
      <w:r>
        <w:t>Nature</w:t>
      </w:r>
      <w:r>
        <w:t xml:space="preserve">    </w:t>
      </w:r>
      <w:r>
        <w:rPr>
          <w:b/>
        </w:rPr>
        <w:t xml:space="preserve">Pub date: </w:t>
      </w:r>
      <w:r>
        <w:t>2026-06-22 00:00:00+00:00</w:t>
      </w:r>
      <w:r>
        <w:t xml:space="preserve">    </w:t>
      </w:r>
      <w:r>
        <w:rPr>
          <w:b/>
        </w:rPr>
        <w:t xml:space="preserve">DOI: </w:t>
      </w:r>
      <w:hyperlink r:id="rId376">
        <w:r>
          <w:rPr>
            <w:color w:val="1155CC"/>
            <w:u w:val="single"/>
          </w:rPr>
          <w:t>10.1038/s41586-026-10771-6</w:t>
        </w:r>
      </w:hyperlink>
    </w:p>
    <w:p>
      <w:pPr>
        <w:spacing w:before="0" w:after="120"/>
      </w:pPr>
      <w:r>
        <w:rPr>
          <w:b/>
        </w:rPr>
        <w:t xml:space="preserve">Notes: </w:t>
      </w:r>
      <w:r>
        <w:t>abstract_source=nature_html</w:t>
      </w:r>
    </w:p>
    <w:p>
      <w:pPr>
        <w:spacing w:before="0" w:after="80" w:lineRule="auto" w:line="276"/>
      </w:pPr>
      <w:r>
        <w:rPr>
          <w:b/>
        </w:rPr>
        <w:t xml:space="preserve">摘要（ZH）: </w:t>
      </w:r>
      <w:r>
        <w:t>星际物体提供了在其他恒星周围形成的冰冷星子的唯一可直接观测的样本，因此可以深入了解系外行星形成过程中发生的物理和化学条件的多样性1−3。在这里，我们报告了星际彗星 3I/ATLAS 的同位素测量结果，它揭示了与任何太阳系天体不同的元素组成。 3I/ATLAS 中的水富含氘，其含量为 D/H = (0.98 ± 0.06)%，比已知彗星高出一个数量级以上，而其 12C/13C 比率范围（CO2 为 141-191，CO 为 123-172）超过了太阳系以及附近星际云和原行星中发现的典型值。磁盘。这种极端的同位素特征表明，在金属相对贫乏的环境中，形成温度≲ 30 K。当根据银河系化学演化模型进行解释时，碳同位素组成意味着 3I/ATLAS 可能早在 120 亿年前就已经吸积，在一段激烈的早期恒星形成时期之后。因此，3I/ATLAS 代表了古代行星系统的一个保存完好的片段。</w:t>
      </w:r>
    </w:p>
    <w:p>
      <w:pPr>
        <w:spacing w:before="0" w:after="200" w:lineRule="auto" w:line="276"/>
      </w:pPr>
      <w:r>
        <w:rPr>
          <w:b/>
        </w:rPr>
        <w:t xml:space="preserve">Abstract (EN): </w:t>
      </w:r>
      <w:r>
        <w:t>Interstellar objects provide the only directly observable samples of icy planetesimals formed around other stars, and can therefore provide insight into the diversity of physical and chemical conditions occurring during exoplanet formation1−3. Here we report isotopic measurements of the interstellar comet 3I/ATLAS, which reveal an elemental composition unlike any Solar System body. The water in 3I/ATLAS is enriched in deuterium, at a level of D/H = (0.98 ± 0.06)%, which is more than an order of magnitude higher than in known comets, while its range of 12C/13C ratios (141–191 for CO2 and 123–172 for CO) exceeds typical values found in the Solar System, as well as nearby interstellar clouds and protoplanetary disks. Such extreme isotopic signatures indicate formation at temperatures ≲ 30 K in a relatively metal-poor environment. When interpreted with respect to models for Galactic chemical evolution, the carbon isotopic composition implies that 3I/ATLAS may have accreted as long ago as 12 billion years, following a period of intense, early star formation. 3I/ATLAS thus represents a preserved fragment of an ancient planetary system.</w:t>
      </w:r>
    </w:p>
    <w:p>
      <w:pPr>
        <w:spacing w:before="120" w:after="120"/>
      </w:pPr>
      <w:r>
        <w:rPr>
          <w:sz w:val="18"/>
        </w:rPr>
        <w:t>——————————————————————————————————————————————————————————————————————</w:t>
      </w:r>
    </w:p>
    <w:p>
      <w:pPr>
        <w:spacing w:before="160" w:after="40" w:line="240" w:lineRule="auto"/>
      </w:pPr>
      <w:r>
        <w:rPr>
          <w:b/>
        </w:rPr>
        <w:t xml:space="preserve">[58] </w:t>
      </w:r>
      <w:hyperlink r:id="rId377">
        <w:r>
          <w:rPr>
            <w:color w:val="1155CC"/>
            <w:u w:val="single"/>
          </w:rPr>
          <w:t>一艘宇宙飞船即将坠落——NASA 能拯救它吗？</w:t>
        </w:r>
      </w:hyperlink>
    </w:p>
    <w:p>
      <w:pPr>
        <w:spacing w:before="0" w:after="80"/>
      </w:pPr>
      <w:r>
        <w:rPr>
          <w:i/>
          <w:sz w:val="20"/>
        </w:rPr>
        <w:t>EN: A spacecraft is falling to its doom — can NASA save it?</w:t>
      </w:r>
    </w:p>
    <w:p>
      <w:pPr>
        <w:spacing w:before="0" w:after="120"/>
      </w:pPr>
      <w:r>
        <w:rPr>
          <w:b/>
        </w:rPr>
        <w:t xml:space="preserve">Source: </w:t>
      </w:r>
      <w:r>
        <w:t>Nature</w:t>
      </w:r>
      <w:r>
        <w:t xml:space="preserve">    </w:t>
      </w:r>
      <w:r>
        <w:rPr>
          <w:b/>
        </w:rPr>
        <w:t xml:space="preserve">Pub date: </w:t>
      </w:r>
      <w:r>
        <w:t>2026-06-22 00:00:00+00:00</w:t>
      </w:r>
      <w:r>
        <w:t xml:space="preserve">    </w:t>
      </w:r>
      <w:r>
        <w:rPr>
          <w:b/>
        </w:rPr>
        <w:t xml:space="preserve">DOI: </w:t>
      </w:r>
      <w:hyperlink r:id="rId378">
        <w:r>
          <w:rPr>
            <w:color w:val="1155CC"/>
            <w:u w:val="single"/>
          </w:rPr>
          <w:t>10.1038/d41586-026-01949-z</w:t>
        </w:r>
      </w:hyperlink>
    </w:p>
    <w:p>
      <w:pPr>
        <w:spacing w:before="0" w:after="120"/>
      </w:pPr>
      <w:r>
        <w:rPr>
          <w:b/>
        </w:rPr>
        <w:t xml:space="preserve">Notes: </w:t>
      </w:r>
      <w:r>
        <w:t>abstract_source=nature_html</w:t>
      </w:r>
    </w:p>
    <w:p>
      <w:pPr>
        <w:spacing w:before="0" w:after="80" w:lineRule="auto" w:line="276"/>
      </w:pPr>
      <w:r>
        <w:rPr>
          <w:b/>
        </w:rPr>
        <w:t xml:space="preserve">摘要（ZH）: </w:t>
      </w:r>
      <w:r>
        <w:t>斯威夫特太空天文台的成功救援对于哈勃太空望远镜来说可能是一个好兆头。斯威夫特太空天文台的成功救援对于哈勃太空望远镜来说可能是一个好兆头。</w:t>
      </w:r>
    </w:p>
    <w:p>
      <w:pPr>
        <w:spacing w:before="0" w:after="200" w:lineRule="auto" w:line="276"/>
      </w:pPr>
      <w:r>
        <w:rPr>
          <w:b/>
        </w:rPr>
        <w:t xml:space="preserve">Abstract (EN): </w:t>
      </w:r>
      <w:r>
        <w:t>A successful rescue of the Swift space observatory could be a good omen for the Hubble Space Telescope. A successful rescue of the Swift space observatory could be a good omen for the Hubble Space Telescope.</w:t>
      </w:r>
    </w:p>
    <w:p>
      <w:pPr>
        <w:spacing w:before="120" w:after="120"/>
      </w:pPr>
      <w:r>
        <w:rPr>
          <w:sz w:val="18"/>
        </w:rPr>
        <w:t>——————————————————————————————————————————————————————————————————————</w:t>
      </w:r>
    </w:p>
    <w:p>
      <w:pPr>
        <w:spacing w:before="160" w:after="40" w:line="240" w:lineRule="auto"/>
      </w:pPr>
      <w:r>
        <w:rPr>
          <w:b/>
        </w:rPr>
        <w:t xml:space="preserve">[59] </w:t>
      </w:r>
      <w:hyperlink r:id="rId379">
        <w:r>
          <w:rPr>
            <w:color w:val="1155CC"/>
            <w:u w:val="single"/>
          </w:rPr>
          <w:t>集体自消费社区中数据驱动的能源共享：中期预测集成框架</w:t>
        </w:r>
      </w:hyperlink>
    </w:p>
    <w:p>
      <w:pPr>
        <w:spacing w:before="0" w:after="80"/>
      </w:pPr>
      <w:r>
        <w:rPr>
          <w:i/>
          <w:sz w:val="20"/>
        </w:rPr>
        <w:t>EN: Data-driven energy sharing in collective self-consumption communities: a medium-term predictive ensemble framework</w:t>
      </w:r>
    </w:p>
    <w:p>
      <w:pPr>
        <w:spacing w:before="0" w:after="120"/>
      </w:pPr>
      <w:r>
        <w:rPr>
          <w:b/>
        </w:rPr>
        <w:t xml:space="preserve">Source: </w:t>
      </w:r>
      <w:r>
        <w:t>ScienceDirect Publication: Applied Energy</w:t>
      </w:r>
      <w:r>
        <w:t xml:space="preserve">    </w:t>
      </w:r>
      <w:r>
        <w:rPr>
          <w:b/>
        </w:rPr>
        <w:t xml:space="preserve">Pub date: </w:t>
      </w:r>
      <w:r>
        <w:t>2026-06-22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 </w:t>
      </w:r>
      <w:hyperlink r:id="rId380">
        <w:r>
          <w:rPr>
            <w:color w:val="1155CC"/>
            <w:u w:val="single"/>
          </w:rPr>
          <w:t>用于大块生物地质材料的晶内穿透 DNA-矿物杂化结构</w:t>
        </w:r>
      </w:hyperlink>
    </w:p>
    <w:p>
      <w:pPr>
        <w:spacing w:before="0" w:after="80"/>
      </w:pPr>
      <w:r>
        <w:rPr>
          <w:i/>
          <w:sz w:val="20"/>
        </w:rPr>
        <w:t>EN: Intracrystalline-penetrating DNA-mineral hybrid structure for bulk bio-geological materials</w:t>
      </w:r>
    </w:p>
    <w:p>
      <w:pPr>
        <w:spacing w:before="0" w:after="120"/>
      </w:pPr>
      <w:r>
        <w:rPr>
          <w:b/>
        </w:rPr>
        <w:t xml:space="preserve">Source: </w:t>
      </w:r>
      <w:r>
        <w:t>Matter</w:t>
      </w:r>
      <w:r>
        <w:t xml:space="preserve">    </w:t>
      </w:r>
      <w:r>
        <w:rPr>
          <w:b/>
        </w:rPr>
        <w:t xml:space="preserve">Pub date: </w:t>
      </w:r>
      <w:r>
        <w:t>2026-06-22 00:00:00+00:00</w:t>
      </w:r>
      <w:r>
        <w:t xml:space="preserve">    </w:t>
      </w:r>
      <w:r>
        <w:rPr>
          <w:b/>
        </w:rPr>
        <w:t xml:space="preserve">DOI: </w:t>
      </w:r>
      <w:hyperlink r:id="rId381">
        <w:r>
          <w:rPr>
            <w:color w:val="1155CC"/>
            <w:u w:val="single"/>
          </w:rPr>
          <w:t>10.1016/j.matt.2026.102880</w:t>
        </w:r>
      </w:hyperlink>
    </w:p>
    <w:p>
      <w:pPr>
        <w:spacing w:before="0" w:after="120"/>
      </w:pPr>
      <w:r>
        <w:rPr>
          <w:b/>
        </w:rPr>
        <w:t xml:space="preserve">Notes: </w:t>
      </w:r>
      <w:r>
        <w:t>abstract_source=rss_cell</w:t>
      </w:r>
    </w:p>
    <w:p>
      <w:pPr>
        <w:spacing w:before="0" w:after="80" w:lineRule="auto" w:line="276"/>
      </w:pPr>
      <w:r>
        <w:rPr>
          <w:b/>
        </w:rPr>
        <w:t xml:space="preserve">摘要（ZH）: </w:t>
      </w:r>
      <w:r>
        <w:t>受生物矿物中无机单晶内有机相吸留的启发，“生物地质材料”的概念被提出，并通过分子级纳米工程进一步制造，成功地将单个DNA分子（2 nm宽）渗透到羟基磷灰石（HAP）的（002）晶面。无机晶体沿相邻 DNA 碱基的生长受 DNA 和 HAP 之间相同的周期间距 (0.34 nm) 控制。</w:t>
      </w:r>
    </w:p>
    <w:p>
      <w:pPr>
        <w:spacing w:before="0" w:after="200" w:lineRule="auto" w:line="276"/>
      </w:pPr>
      <w:r>
        <w:rPr>
          <w:b/>
        </w:rPr>
        <w:t xml:space="preserve">Abstract (EN): </w:t>
      </w:r>
      <w:r>
        <w:t>Inspired by the occlusion of organic phases within inorganic single crystals observed in biological minerals, the concept of “bio-geological materials” was proposed and further fabricated via molecular-scale nanoengineering, with successful penetration of a single DNA molecule (2 nm wide) into the (002) crystal plane of hydroxyapatite (HAP). The growth of inorganic crystals along adjacent DNA bases was governed by the identical periodic spacing (0.34 nm) shared between DNA and HAP.</w:t>
      </w:r>
    </w:p>
    <w:p>
      <w:pPr>
        <w:spacing w:before="120" w:after="120"/>
      </w:pPr>
      <w:r>
        <w:rPr>
          <w:sz w:val="18"/>
        </w:rPr>
        <w:t>——————————————————————————————————————————————————————————————————————</w:t>
      </w:r>
    </w:p>
    <w:p>
      <w:pPr>
        <w:spacing w:before="160" w:after="40" w:line="240" w:lineRule="auto"/>
      </w:pPr>
      <w:r>
        <w:rPr>
          <w:b/>
        </w:rPr>
        <w:t xml:space="preserve">[61] </w:t>
      </w:r>
      <w:hyperlink r:id="rId382">
        <w:r>
          <w:rPr>
            <w:color w:val="1155CC"/>
            <w:u w:val="single"/>
          </w:rPr>
          <w:t>用于腔内化疗的机器智能多模式算法机器人</w:t>
        </w:r>
      </w:hyperlink>
    </w:p>
    <w:p>
      <w:pPr>
        <w:spacing w:before="0" w:after="80"/>
      </w:pPr>
      <w:r>
        <w:rPr>
          <w:i/>
          <w:sz w:val="20"/>
        </w:rPr>
        <w:t>EN: Machine-intelligent multimodal algebot for intracavitary chemotherapy</w:t>
      </w:r>
    </w:p>
    <w:p>
      <w:pPr>
        <w:spacing w:before="0" w:after="120"/>
      </w:pPr>
      <w:r>
        <w:rPr>
          <w:b/>
        </w:rPr>
        <w:t xml:space="preserve">Source: </w:t>
      </w:r>
      <w:r>
        <w:t>Nature Nanotechnology</w:t>
      </w:r>
      <w:r>
        <w:t xml:space="preserve">    </w:t>
      </w:r>
      <w:r>
        <w:rPr>
          <w:b/>
        </w:rPr>
        <w:t xml:space="preserve">Pub date: </w:t>
      </w:r>
      <w:r>
        <w:t>2026-06-22 00:00:00+00:00</w:t>
      </w:r>
      <w:r>
        <w:t xml:space="preserve">    </w:t>
      </w:r>
      <w:r>
        <w:rPr>
          <w:b/>
        </w:rPr>
        <w:t xml:space="preserve">DOI: </w:t>
      </w:r>
      <w:hyperlink r:id="rId383">
        <w:r>
          <w:rPr>
            <w:color w:val="1155CC"/>
            <w:u w:val="single"/>
          </w:rPr>
          <w:t>10.1038/s41565-026-02195-0</w:t>
        </w:r>
      </w:hyperlink>
    </w:p>
    <w:p>
      <w:pPr>
        <w:spacing w:before="0" w:after="120"/>
      </w:pPr>
      <w:r>
        <w:rPr>
          <w:b/>
        </w:rPr>
        <w:t xml:space="preserve">Notes: </w:t>
      </w:r>
      <w:r>
        <w:t>abstract_source=nature_html</w:t>
      </w:r>
    </w:p>
    <w:p>
      <w:pPr>
        <w:spacing w:before="0" w:after="80" w:lineRule="auto" w:line="276"/>
      </w:pPr>
      <w:r>
        <w:rPr>
          <w:b/>
        </w:rPr>
        <w:t xml:space="preserve">摘要（ZH）: </w:t>
      </w:r>
      <w:r>
        <w:t>腔内药物滴注是治疗膀胱癌的重要治疗策略。然而，由于病理生理条件下肿瘤靶向性和药物跨组织屏障渗透性不足，目前的方法疗效有限。在这里，我们设计了具有分层纳米孔结构的生物混合磁性藻类微型机器人，并开发了一种“algebot”介导的非接触对流传输策略，以协同整合靶向载体传输、选择性药物释放和超快组织渗透。我们的方法利用机器智能图像反馈进行自主导航，利用磁铁矿赋予的多模态控制进行可重新配置的蜂群，并利用流量调整的对流扩散进行按需治疗。我们通过在小鼠膀胱肿瘤模型中评估的装载阿霉素的磁性圆盘藻来例证这种方法，在为期 1 周的临床前试验中，与传统的膀胱内滴注相比，药物渗透性增加了十倍以上，肿瘤负荷显着降低至 3% 以下，且不会引起全身毒性。我们的药物输送系统提供了一种非侵入性解决方案来克服复杂的生物屏障，提高腔内化疗的疗效和安全性。</w:t>
      </w:r>
    </w:p>
    <w:p>
      <w:pPr>
        <w:spacing w:before="0" w:after="200" w:lineRule="auto" w:line="276"/>
      </w:pPr>
      <w:r>
        <w:rPr>
          <w:b/>
        </w:rPr>
        <w:t xml:space="preserve">Abstract (EN): </w:t>
      </w:r>
      <w:r>
        <w:t>Intracavitary drug instillation is a crucial therapeutic strategy for treating bladder cancer. However, current methods are limited in efficacy due to insufficient tumour targeting and drug penetration across tissue barriers in pathophysiological conditions. Here we devise biohybrid magnetic algae microrobots with hierarchical nanoporous structure and develop an ‘algebot’-mediated, non-contact convective transport strategy to synergistically integrate targeted carrier transport, selective drug release and ultrafast tissue penetration. Our approach leverages machine-intelligent image feedback for autonomous navigation, magnetite-endowed multimodal control for reconfigurable swarming and flow-tuned convective diffusion for on-demand therapeutic delivery. We exemplify this approach with doxorubicin-loaded magnetic Coscinodiscus granii evaluated in a murine model of bladder tumour, demonstrating an over tenfold increase in drug permeation and substantially reduced tumour burden to less than 3% compared with conventional intravesical instillation in a preclinical trial of 1-week therapy without inducing systemic toxicity. Our drug delivery system offers a non-invasive solution to overcome complex biological barriers, advancing the efficacy and safety of intracavitary chemotherapy.</w:t>
      </w:r>
    </w:p>
    <w:p>
      <w:pPr>
        <w:spacing w:before="120" w:after="120"/>
      </w:pPr>
      <w:r>
        <w:rPr>
          <w:sz w:val="18"/>
        </w:rPr>
        <w:t>——————————————————————————————————————————————————————————————————————</w:t>
      </w:r>
    </w:p>
    <w:p>
      <w:pPr>
        <w:spacing w:before="160" w:after="40" w:line="240" w:lineRule="auto"/>
      </w:pPr>
      <w:r>
        <w:rPr>
          <w:b/>
        </w:rPr>
        <w:t xml:space="preserve">[62] </w:t>
      </w:r>
      <w:hyperlink r:id="rId384">
        <w:r>
          <w:rPr>
            <w:color w:val="1155CC"/>
            <w:u w:val="single"/>
          </w:rPr>
          <w:t>用于高效钙钛矿光伏发电的 SAM 包覆 SnO2 电子选择层</w:t>
        </w:r>
      </w:hyperlink>
    </w:p>
    <w:p>
      <w:pPr>
        <w:spacing w:before="0" w:after="80"/>
      </w:pPr>
      <w:r>
        <w:rPr>
          <w:i/>
          <w:sz w:val="20"/>
        </w:rPr>
        <w:t>EN: SAM-cladded SnO2 electron-selective layer for highly efficient perovskite photovoltaics</w:t>
      </w:r>
    </w:p>
    <w:p>
      <w:pPr>
        <w:spacing w:before="0" w:after="120"/>
      </w:pPr>
      <w:r>
        <w:rPr>
          <w:b/>
        </w:rPr>
        <w:t xml:space="preserve">Source: </w:t>
      </w:r>
      <w:r>
        <w:t>Matter</w:t>
      </w:r>
      <w:r>
        <w:t xml:space="preserve">    </w:t>
      </w:r>
      <w:r>
        <w:rPr>
          <w:b/>
        </w:rPr>
        <w:t xml:space="preserve">Pub date: </w:t>
      </w:r>
      <w:r>
        <w:t>2026-06-22 00:00:00+00:00</w:t>
      </w:r>
      <w:r>
        <w:t xml:space="preserve">    </w:t>
      </w:r>
      <w:r>
        <w:rPr>
          <w:b/>
        </w:rPr>
        <w:t xml:space="preserve">DOI: </w:t>
      </w:r>
      <w:hyperlink r:id="rId385">
        <w:r>
          <w:rPr>
            <w:color w:val="1155CC"/>
            <w:u w:val="single"/>
          </w:rPr>
          <w:t>10.1016/j.matt.2026.102877</w:t>
        </w:r>
      </w:hyperlink>
    </w:p>
    <w:p>
      <w:pPr>
        <w:spacing w:before="0" w:after="120"/>
      </w:pPr>
      <w:r>
        <w:rPr>
          <w:b/>
        </w:rPr>
        <w:t xml:space="preserve">Notes: </w:t>
      </w:r>
      <w:r>
        <w:t>abstract_source=rss_cell</w:t>
      </w:r>
    </w:p>
    <w:p>
      <w:pPr>
        <w:spacing w:before="0" w:after="80" w:lineRule="auto" w:line="276"/>
      </w:pPr>
      <w:r>
        <w:rPr>
          <w:b/>
        </w:rPr>
        <w:t xml:space="preserve">摘要（ZH）: </w:t>
      </w:r>
      <w:r>
        <w:t>本研究介绍了一种在 SnO2 的两个界面上使用功能化自组装单层 (SAM) 的策略，形成混合电子选择层。 SAM 钝化 SnO2 和钙钛矿侧的缺陷，改善能级排列，增强电子提取，同时抑制非辐射复合。这种双接口调制提高了光伏性能和长期稳定性。</w:t>
      </w:r>
    </w:p>
    <w:p>
      <w:pPr>
        <w:spacing w:before="0" w:after="200" w:lineRule="auto" w:line="276"/>
      </w:pPr>
      <w:r>
        <w:rPr>
          <w:b/>
        </w:rPr>
        <w:t xml:space="preserve">Abstract (EN): </w:t>
      </w:r>
      <w:r>
        <w:t>This study introduces a strategy using a functionalized self-assembled monolayer (SAM) at both interfaces of SnO2, forming a hybrid electron-selective layer. The SAM passivates defects on SnO2 and perovskite sides, improves energy-level alignment, and enhances electron extraction while suppressing non-radiative recombination. This dual-interface modulation boosts photovoltaic performance and long-term stability.</w:t>
      </w:r>
    </w:p>
    <w:p>
      <w:pPr>
        <w:spacing w:before="120" w:after="120"/>
      </w:pPr>
      <w:r>
        <w:rPr>
          <w:sz w:val="18"/>
        </w:rPr>
        <w:t>——————————————————————————————————————————————————————————————————————</w:t>
      </w:r>
    </w:p>
    <w:p>
      <w:pPr>
        <w:spacing w:before="160" w:after="40" w:line="240" w:lineRule="auto"/>
      </w:pPr>
      <w:r>
        <w:rPr>
          <w:b/>
        </w:rPr>
        <w:t xml:space="preserve">[63] </w:t>
      </w:r>
      <w:hyperlink r:id="rId386">
        <w:r>
          <w:rPr>
            <w:color w:val="1155CC"/>
            <w:u w:val="single"/>
          </w:rPr>
          <w:t>用于空气净化的受呼吸启发的静电开放式微流体</w:t>
        </w:r>
      </w:hyperlink>
    </w:p>
    <w:p>
      <w:pPr>
        <w:spacing w:before="0" w:after="80"/>
      </w:pPr>
      <w:r>
        <w:rPr>
          <w:i/>
          <w:sz w:val="20"/>
        </w:rPr>
        <w:t>EN: Respiratory-inspired electrostatic open-microfluidics for air purification</w:t>
      </w:r>
    </w:p>
    <w:p>
      <w:pPr>
        <w:spacing w:before="0" w:after="120"/>
      </w:pPr>
      <w:r>
        <w:rPr>
          <w:b/>
        </w:rPr>
        <w:t xml:space="preserve">Source: </w:t>
      </w:r>
      <w:r>
        <w:t>Nature Sustainability</w:t>
      </w:r>
      <w:r>
        <w:t xml:space="preserve">    </w:t>
      </w:r>
      <w:r>
        <w:rPr>
          <w:b/>
        </w:rPr>
        <w:t xml:space="preserve">Pub date: </w:t>
      </w:r>
      <w:r>
        <w:t>2026-06-22 00:00:00+00:00</w:t>
      </w:r>
      <w:r>
        <w:t xml:space="preserve">    </w:t>
      </w:r>
      <w:r>
        <w:rPr>
          <w:b/>
        </w:rPr>
        <w:t xml:space="preserve">DOI: </w:t>
      </w:r>
      <w:hyperlink r:id="rId387">
        <w:r>
          <w:rPr>
            <w:color w:val="1155CC"/>
            <w:u w:val="single"/>
          </w:rPr>
          <w:t>10.1038/s41893-026-01872-1</w:t>
        </w:r>
      </w:hyperlink>
    </w:p>
    <w:p>
      <w:pPr>
        <w:spacing w:before="0" w:after="120"/>
      </w:pPr>
      <w:r>
        <w:rPr>
          <w:b/>
        </w:rPr>
        <w:t xml:space="preserve">Notes: </w:t>
      </w:r>
      <w:r>
        <w:t>abstract_source=nature_html</w:t>
      </w:r>
    </w:p>
    <w:p>
      <w:pPr>
        <w:spacing w:before="0" w:after="80" w:lineRule="auto" w:line="276"/>
      </w:pPr>
      <w:r>
        <w:rPr>
          <w:b/>
        </w:rPr>
        <w:t xml:space="preserve">摘要（ZH）: </w:t>
      </w:r>
      <w:r>
        <w:t>人体呼吸系统可以通过弯曲气道表面丰富的粘液和纤毛清除吸入空气中的大部分污染物。受这种气液界面的启发，我们开发了一种用于仿生空气净化的静电开放微流体（EOM）系统。 EOM 系统具有静电场辅助极化和偏转以及动态刷新开放微流体的气液界面。由于表面能差异和定制的润湿性，空气中的颗粒污染物优先被捕获在气液界面上，并通过额外的电场力增强。此外，极化气态污染物可以被自由基和电子激活，并被定制的功能液体去除。此外，人字形的开放通道有助于流动的空气和液体之间充分的相互作用，进一步更新界面并提高去除效率。 EOM系统在家庭空气净化和肺部疾病预防方面展示了应用潜力。此外，EOM系统的可操作性和集成能力使其具有规模化工业废气净化的应用潜力。总的来说，这项工作为高效空气净化提供了一种可行的方法。</w:t>
      </w:r>
    </w:p>
    <w:p>
      <w:pPr>
        <w:spacing w:before="0" w:after="200" w:lineRule="auto" w:line="276"/>
      </w:pPr>
      <w:r>
        <w:rPr>
          <w:b/>
        </w:rPr>
        <w:t xml:space="preserve">Abstract (EN): </w:t>
      </w:r>
      <w:r>
        <w:t>The human respiratory system can remove most pollutants from inhaled air through the abundance of mucus and cilia on curved airway surfaces. Inspired by such a gas–liquid interface, here we develop an electrostatic open-microfluidics (EOM) system for biomimetic air purification. The EOM system features electrostatic field-assisted polarization and deflection and dynamically refreshed gas–liquid interface of open-microfluidics. Due to the surface energy difference and tailored wettability, particulate pollutants in the air are preferentially captured at the gas–liquid interface, enhanced by extra electric field force. Besides, polarized gaseous pollutants can be activated by free radicals and electrons and removed by customized functional liquids. Additionally, herringbone-like open channels contribute to sufficient interaction between flowing air and liquids, further updating the interface and improving the removal efficiency. The application potential of the EOM system is demonstrated for air purification in domestic scenarios and lung disease prevention. Moreover, the operability and integration capabilities endow the EOM system with application potential for scaled-up industrial exhaust gas purification. Overall, this work provides a viable approach for efficient air purification.</w:t>
      </w:r>
    </w:p>
    <w:p>
      <w:pPr>
        <w:spacing w:before="120" w:after="120"/>
      </w:pPr>
      <w:r>
        <w:rPr>
          <w:sz w:val="18"/>
        </w:rPr>
        <w:t>——————————————————————————————————————————————————————————————————————</w:t>
      </w:r>
    </w:p>
    <w:p>
      <w:pPr>
        <w:spacing w:before="160" w:after="40" w:line="240" w:lineRule="auto"/>
      </w:pPr>
      <w:r>
        <w:rPr>
          <w:b/>
        </w:rPr>
        <w:t xml:space="preserve">[64] </w:t>
      </w:r>
      <w:hyperlink r:id="rId388">
        <w:r>
          <w:rPr>
            <w:color w:val="1155CC"/>
            <w:u w:val="single"/>
          </w:rPr>
          <w:t>通过糖酰肼自由基交叉偶联合成 C-糖苷</w:t>
        </w:r>
      </w:hyperlink>
    </w:p>
    <w:p>
      <w:pPr>
        <w:spacing w:before="0" w:after="80"/>
      </w:pPr>
      <w:r>
        <w:rPr>
          <w:i/>
          <w:sz w:val="20"/>
        </w:rPr>
        <w:t>EN: C-glycoside synthesis via radical cross-coupling of glycohydrazides</w:t>
      </w:r>
    </w:p>
    <w:p>
      <w:pPr>
        <w:spacing w:before="0" w:after="120"/>
      </w:pPr>
      <w:r>
        <w:rPr>
          <w:b/>
        </w:rPr>
        <w:t xml:space="preserve">Source: </w:t>
      </w:r>
      <w:r>
        <w:t>Nature</w:t>
      </w:r>
      <w:r>
        <w:t xml:space="preserve">    </w:t>
      </w:r>
      <w:r>
        <w:rPr>
          <w:b/>
        </w:rPr>
        <w:t xml:space="preserve">Pub date: </w:t>
      </w:r>
      <w:r>
        <w:t>2026-06-22 00:00:00+00:00</w:t>
      </w:r>
      <w:r>
        <w:t xml:space="preserve">    </w:t>
      </w:r>
      <w:r>
        <w:rPr>
          <w:b/>
        </w:rPr>
        <w:t xml:space="preserve">DOI: </w:t>
      </w:r>
      <w:hyperlink r:id="rId389">
        <w:r>
          <w:rPr>
            <w:color w:val="1155CC"/>
            <w:u w:val="single"/>
          </w:rPr>
          <w:t>10.1038/s41586-026-10807-x</w:t>
        </w:r>
      </w:hyperlink>
    </w:p>
    <w:p>
      <w:pPr>
        <w:spacing w:before="0" w:after="120"/>
      </w:pPr>
      <w:r>
        <w:rPr>
          <w:b/>
        </w:rPr>
        <w:t xml:space="preserve">Notes: </w:t>
      </w:r>
      <w:r>
        <w:t>abstract_source=nature_html</w:t>
      </w:r>
    </w:p>
    <w:p>
      <w:pPr>
        <w:spacing w:before="0" w:after="80" w:lineRule="auto" w:line="276"/>
      </w:pPr>
      <w:r>
        <w:rPr>
          <w:b/>
        </w:rPr>
        <w:t xml:space="preserve">摘要（ZH）: </w:t>
      </w:r>
      <w:r>
        <w:t>碳水化合物是自然界中最丰富、结构最多样化的生物分子之一，在能量储存、分子识别和细胞信号传导中发挥着核心作用。在这个结构域中，C-糖苷1-3（其中O-糖苷中糖苷键的氧原子被碳取代）由于其对酶水解的抵抗力而成为药物化学中有价值的基序2,4。特别重要的是 C-芳基糖苷，例如 SGLT2 抑制剂达格列净、卡格列净和恩格列净，它们是 2 型糖尿病的一线疗法5-7。然而，C-芳基糖苷的大规模合成传统上依赖于受保护的糖衍生物、冗长的序列或传统的交叉偶联，这些都常常面临选择性差、范围有限和保护基操作广泛的问题6。在此，我们报告了一种使用糖基磺酰肼作为交叉偶联的氧化还原中性自由基前体来制备 C-芳基糖苷的实用方法。这些试剂直接由未受保护的天然糖制备而成，可在温和条件下产生糖基自由基，并能够有效获取多种 C-芳基糖苷，包括所有已批准的 SGLT2 抑制剂、天然产物（如沙门螯合素和新石油素）以及药用相关探针。除了异头功能化之外，该平台还能够在碳水化合物支架上的多个位置形成 C-C 键，并支持立体保留自由基偶联，从而克服固有的立体化学偏差，从而扩展了碳水化合物衍生疗法和化学药物的实际应用</w:t>
      </w:r>
    </w:p>
    <w:p>
      <w:pPr>
        <w:spacing w:before="0" w:after="200" w:lineRule="auto" w:line="276"/>
      </w:pPr>
      <w:r>
        <w:rPr>
          <w:b/>
        </w:rPr>
        <w:t xml:space="preserve">Abstract (EN): </w:t>
      </w:r>
      <w:r>
        <w:t>Carbohydrates are among the most abundant and structurally diverse biomolecules in nature, playing central roles in energy storage, molecular recognition, and cell signaling. Within this domain, C-glycosides1-3, in which the oxygen atom of the glycosidic bond in O-glycosides is replaced by carbon, have emerged as valuable motifs in medicinal chemistry due to their resistance to enzymatic hydrolysis2,4. Of particular importance are C-aryl glycosides, exemplified by the SGLT2 inhibitors dapagliflozin, canagliflozin, and empagliflozin, which are frontline therapies for type 2 diabetes5-7. However, scalable syntheses of C-aryl glycosides have traditionally relied on protected sugar derivatives, lengthy sequences, or conventional cross-couplings that often suffer from poor selectivity, limited scope, and extensive protecting-group manipulation6. Herein, we report a practical approach to C-aryl glycosides using glycosyl sulfonyl hydrazides as redox-neutral radical precursors for cross-coupling. Prepared directly from unprotected native sugars, these reagents generate glycosyl radicals under mild conditions and enable efficient access to diverse C-aryl glycosides, including all approved SGLT2 inhibitors, natural products such as salmochelins and neopetrosins, and medicinally relevant probes. Beyond anomeric functionalization, this platform enables C–C bond formation at multiple positions on carbohydrate scaffolds and supports stereoretentive radical coupling that can override inherent stereochemical biases, expanding practical access to carbohydrate-derived therapeutics and chemical tools.</w:t>
      </w:r>
    </w:p>
    <w:p>
      <w:pPr>
        <w:spacing w:before="120" w:after="120"/>
      </w:pPr>
      <w:r>
        <w:rPr>
          <w:sz w:val="18"/>
        </w:rPr>
        <w:t>——————————————————————————————————————————————————————————————————————</w:t>
      </w:r>
    </w:p>
    <w:p>
      <w:pPr>
        <w:spacing w:before="160" w:after="40" w:line="240" w:lineRule="auto"/>
      </w:pPr>
      <w:r>
        <w:rPr>
          <w:b/>
        </w:rPr>
        <w:t xml:space="preserve">[65] </w:t>
      </w:r>
      <w:hyperlink r:id="rId390">
        <w:r>
          <w:rPr>
            <w:color w:val="1155CC"/>
            <w:u w:val="single"/>
          </w:rPr>
          <w:t>立体保留脱羰C(sp3)-C(sp3)交叉偶联</w:t>
        </w:r>
      </w:hyperlink>
    </w:p>
    <w:p>
      <w:pPr>
        <w:spacing w:before="0" w:after="80"/>
      </w:pPr>
      <w:r>
        <w:rPr>
          <w:i/>
          <w:sz w:val="20"/>
        </w:rPr>
        <w:t>EN: Stereoretentive decarbonylative C(sp3)-C(sp3) cross-coupling</w:t>
      </w:r>
    </w:p>
    <w:p>
      <w:pPr>
        <w:spacing w:before="0" w:after="120"/>
      </w:pPr>
      <w:r>
        <w:rPr>
          <w:b/>
        </w:rPr>
        <w:t xml:space="preserve">Source: </w:t>
      </w:r>
      <w:r>
        <w:t>Nature</w:t>
      </w:r>
      <w:r>
        <w:t xml:space="preserve">    </w:t>
      </w:r>
      <w:r>
        <w:rPr>
          <w:b/>
        </w:rPr>
        <w:t xml:space="preserve">Pub date: </w:t>
      </w:r>
      <w:r>
        <w:t>2026-06-22 00:00:00+00:00</w:t>
      </w:r>
      <w:r>
        <w:t xml:space="preserve">    </w:t>
      </w:r>
      <w:r>
        <w:rPr>
          <w:b/>
        </w:rPr>
        <w:t xml:space="preserve">DOI: </w:t>
      </w:r>
      <w:hyperlink r:id="rId391">
        <w:r>
          <w:rPr>
            <w:color w:val="1155CC"/>
            <w:u w:val="single"/>
          </w:rPr>
          <w:t>10.1038/s41586-026-10800-4</w:t>
        </w:r>
      </w:hyperlink>
    </w:p>
    <w:p>
      <w:pPr>
        <w:spacing w:before="0" w:after="120"/>
      </w:pPr>
      <w:r>
        <w:rPr>
          <w:b/>
        </w:rPr>
        <w:t xml:space="preserve">Notes: </w:t>
      </w:r>
      <w:r>
        <w:t>abstract_source=nature_html</w:t>
      </w:r>
    </w:p>
    <w:p>
      <w:pPr>
        <w:spacing w:before="0" w:after="80" w:lineRule="auto" w:line="276"/>
      </w:pPr>
      <w:r>
        <w:rPr>
          <w:b/>
        </w:rPr>
        <w:t xml:space="preserve">摘要（ZH）: </w:t>
      </w:r>
      <w:r>
        <w:t>虽然 C(sp3)–C(sp3) 成键交叉偶联方法已变得更加常见，但立体控制成键仍然是一个挑战，1 尽管它对药物发现很重要，因为对具有增加 sp3 特征的分子的需求不断增加。2-4 对映特异性交叉偶联方法将补充对映选择性偶联的进展，5-8 但仅限于可用性较低的专用底物 5,9，因为更丰富的手性烷基亲电子试剂的立体特异性氧化加成是10 受经典的立体保留 Curtius 重排的启发，11 在本文中，我们公开了一种催化策略，该策略通过类似的立体保留脱羰步骤进行，从易于获得的手性氨基酸和 α-羟基酸衍生物形成通用的手性烷基镍中间体。手性烷基镍中间体在几分钟内分解和/或外消旋，但足够稳定，能够在相对较低的温度（22-40°C）下与烷基（衍生自烷基碘）进行立体保留交叉亲电子偶联12。这种机制策略提供了一种直接的方法来立体控制C(sp3)-C(sp3)键的形成，包括立体选择性自由基机制无法接近的非对映异构体。本研究中描述的“金属-库尔蒂斯”策略为许多新的立体定向交叉偶联反应的发展奠定了机制基础。</w:t>
      </w:r>
    </w:p>
    <w:p>
      <w:pPr>
        <w:spacing w:before="0" w:after="200" w:lineRule="auto" w:line="276"/>
      </w:pPr>
      <w:r>
        <w:rPr>
          <w:b/>
        </w:rPr>
        <w:t xml:space="preserve">Abstract (EN): </w:t>
      </w:r>
      <w:r>
        <w:t>While C(sp3)–C(sp3) bond-forming cross-coupling methods have become more common, stereocontrolled bond-formation remains a challenge,1 despite its importance for drug discovery, where there is a emerging demand for molecules with increased sp3 character.2-4 Enantiospecific cross-coupling approaches would complement advances in enantioselective coupling,5-8 but have been limited to specialized substrates with lower availability5,9 because stereospecific oxidative addition of more abundant chiral alkyl electrophiles is unknown.10 Inspired by the classic, stereoretentive Curtius rearrangement,11 herein we disclose a catalytic strategy that proceeds by an analogous stereoretentive decarbonylation step to form a versatile chiral alkylnickel intermediate from easily-available chiral amino-acid and α-hydroxy-acid derivatives. The chiral alkylnickel intermediates decompose and/or racemize on the order of minutes, but are sufficiently stable to enable stereoretentive cross-electrophile coupling12 with alkyl radicals (derived from alkyl iodides) at relatively low temperature (22-40 °C). This mechanistic strategy provides a straightforward approach to stereocontrolled C(sp3)–C(sp3) bond formation, including diastereomers that are inaccessible by stereoselective radical mechanisms. The “metallo-Curtius” strategy described in this study lays a mechanistic foundation for the development many new stereospecific cross-coupling reactions.</w:t>
      </w:r>
    </w:p>
    <w:p>
      <w:pPr>
        <w:spacing w:before="120" w:after="120"/>
      </w:pPr>
      <w:r>
        <w:rPr>
          <w:sz w:val="18"/>
        </w:rPr>
        <w:t>——————————————————————————————————————————————————————————————————————</w:t>
      </w:r>
    </w:p>
    <w:p>
      <w:pPr>
        <w:spacing w:before="160" w:after="40" w:line="240" w:lineRule="auto"/>
      </w:pPr>
      <w:r>
        <w:rPr>
          <w:b/>
        </w:rPr>
        <w:t xml:space="preserve">[66] </w:t>
      </w:r>
      <w:hyperlink r:id="rId392">
        <w:r>
          <w:rPr>
            <w:color w:val="1155CC"/>
            <w:u w:val="single"/>
          </w:rPr>
          <w:t>超快、可重构的全光束控制和空间光调制</w:t>
        </w:r>
      </w:hyperlink>
    </w:p>
    <w:p>
      <w:pPr>
        <w:spacing w:before="0" w:after="80"/>
      </w:pPr>
      <w:r>
        <w:rPr>
          <w:i/>
          <w:sz w:val="20"/>
        </w:rPr>
        <w:t>EN: Ultrafast, reconfigurable all-optical beam steering and spatial light modulation</w:t>
      </w:r>
    </w:p>
    <w:p>
      <w:pPr>
        <w:spacing w:before="0" w:after="120"/>
      </w:pPr>
      <w:r>
        <w:rPr>
          <w:b/>
        </w:rPr>
        <w:t xml:space="preserve">Source: </w:t>
      </w:r>
      <w:r>
        <w:t>Nature Nanotechnology</w:t>
      </w:r>
      <w:r>
        <w:t xml:space="preserve">    </w:t>
      </w:r>
      <w:r>
        <w:rPr>
          <w:b/>
        </w:rPr>
        <w:t xml:space="preserve">Pub date: </w:t>
      </w:r>
      <w:r>
        <w:t>2026-06-22 00:00:00+00:00</w:t>
      </w:r>
      <w:r>
        <w:t xml:space="preserve">    </w:t>
      </w:r>
      <w:r>
        <w:rPr>
          <w:b/>
        </w:rPr>
        <w:t xml:space="preserve">DOI: </w:t>
      </w:r>
      <w:hyperlink r:id="rId393">
        <w:r>
          <w:rPr>
            <w:color w:val="1155CC"/>
            <w:u w:val="single"/>
          </w:rPr>
          <w:t>10.1038/s41565-026-02199-w</w:t>
        </w:r>
      </w:hyperlink>
    </w:p>
    <w:p>
      <w:pPr>
        <w:spacing w:before="0" w:after="120"/>
      </w:pPr>
      <w:r>
        <w:rPr>
          <w:b/>
        </w:rPr>
        <w:t xml:space="preserve">Notes: </w:t>
      </w:r>
      <w:r>
        <w:t>abstract_source=nature_html</w:t>
      </w:r>
    </w:p>
    <w:p>
      <w:pPr>
        <w:spacing w:before="0" w:after="80" w:lineRule="auto" w:line="276"/>
      </w:pPr>
      <w:r>
        <w:rPr>
          <w:b/>
        </w:rPr>
        <w:t xml:space="preserve">摘要（ZH）: </w:t>
      </w:r>
      <w:r>
        <w:t>在亚波长和亚周期尺度上实现光的时空控制是开发用于信号处理、脉冲整形和超快成像的新型光子材料的一个重要里程碑。时空光调制目前依赖于电子带间和带内跃迁，这些跃迁会产生显着的折射率变化，但通常会因载流子弛豫而受到缓慢的皮秒响应时间的影响。在这里，我们表明，通过利用高质量因子超表面中的共振光与物质相互作用，可以使用光学克尔效应（一种较弱但亚飞秒的光电偏振效应）来实现超快、可重构的光调制。通过使用空间结构泵浦光束对介电超表面晶胞的折射率进行亚波长全光学调谐，我们通过实验证明了脉冲受限光束控制，在近红外范围内的角度高达±13°时响应时间为74-fs，其中偏转角度可通过泵浦模式进行编程。转向源于克尔效应，背景贡献来自较慢的双光子激发自由载流子吸收。此外，我们还观察了泵浦自调制和自衍射、线性频率转换，并演示了二维中的任意亚皮秒空间光调制。</w:t>
      </w:r>
    </w:p>
    <w:p>
      <w:pPr>
        <w:spacing w:before="0" w:after="200" w:lineRule="auto" w:line="276"/>
      </w:pPr>
      <w:r>
        <w:rPr>
          <w:b/>
        </w:rPr>
        <w:t xml:space="preserve">Abstract (EN): </w:t>
      </w:r>
      <w:r>
        <w:t>Achieving spatiotemporal control of light at subwavelength and subcycle scales is an important milestone in the development of new photonic materials for signal processing, pulse shaping and ultrafast imaging. Spatiotemporal light modulation currently relies on electronic interband and intraband transitions that yield pronounced refractive index changes but typically suffer from slow, picosecond response times due to carrier relaxation. Here we show that by leveraging resonant light–matter interactions in a high-quality factor metasurface it is possible to use the optical Kerr effect, a weaker but subfemtosecond optoelectronic polarization effect, to achieve ultrafast, reconfigurable light modulation. By the subwavelength all-optical tuning of the refractive index of the dielectric metasurface unit cells with a spatially structured pump beam, we experimentally demonstrate pulse-limited beam steering with a 74-fs response time at angles up to ±13° in the near-infrared, where the deflection angles are programmable by the pump pattern. The steering originates from the Kerr effect, with a background contribution arising from a slower two-photon-excited free carrier absorption. Additionally, we observe pump self-modulation and self-diffraction, linear frequency conversion, and demonstrate arbitrary subpicosecond spatial light modulation in two dimensions.</w:t>
      </w:r>
    </w:p>
    <w:p>
      <w:pPr>
        <w:spacing w:before="120" w:after="120"/>
      </w:pPr>
      <w:r>
        <w:rPr>
          <w:sz w:val="18"/>
        </w:rPr>
        <w:t>——————————————————————————————————————————————————————————————————————</w:t>
      </w:r>
    </w:p>
    <w:p>
      <w:pPr>
        <w:spacing w:before="160" w:after="40" w:line="240" w:lineRule="auto"/>
      </w:pPr>
      <w:r>
        <w:rPr>
          <w:b/>
        </w:rPr>
        <w:t xml:space="preserve">[67] </w:t>
      </w:r>
      <w:hyperlink r:id="rId394">
        <w:r>
          <w:rPr>
            <w:color w:val="1155CC"/>
            <w:u w:val="single"/>
          </w:rPr>
          <w:t>受沙漠角蜥蜴 Phrynosoma platyrhinos 启发的土壤水收集</w:t>
        </w:r>
      </w:hyperlink>
    </w:p>
    <w:p>
      <w:pPr>
        <w:spacing w:before="0" w:after="80"/>
      </w:pPr>
      <w:r>
        <w:rPr>
          <w:i/>
          <w:sz w:val="20"/>
        </w:rPr>
        <w:t>EN: Soil water harvest inspired by desert horned lizards, Phrynosoma platyrhinos</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395">
        <w:r>
          <w:rPr>
            <w:color w:val="1155CC"/>
            <w:u w:val="single"/>
          </w:rPr>
          <w:t>10.1073/pnas.2609344123</w:t>
        </w:r>
      </w:hyperlink>
    </w:p>
    <w:p>
      <w:pPr>
        <w:spacing w:before="0" w:after="120"/>
      </w:pPr>
      <w:r>
        <w:rPr>
          <w:b/>
        </w:rPr>
        <w:t xml:space="preserve">Notes: </w:t>
      </w:r>
      <w:r>
        <w:t>abstract_source=crossref</w:t>
      </w:r>
    </w:p>
    <w:p>
      <w:pPr>
        <w:spacing w:before="0" w:after="80" w:lineRule="auto" w:line="276"/>
      </w:pPr>
      <w:r>
        <w:rPr>
          <w:b/>
        </w:rPr>
        <w:t xml:space="preserve">摘要（ZH）: </w:t>
      </w:r>
      <w:r>
        <w:t>沙漠环境带来了严重的水资源短缺挑战，导致本地动物群产生独特的适应。值得注意的是，许多种类的沙漠角蜥蜴都采用皮肤饮用方法，利用外皮微通道通过毛细管作用从雨滴和潮湿的土壤中吸取水分。然而，它们最终将下巴之间收集的水转移到嘴里的确切机制仍然难以捉摸。我们的研究调查了沙漠角蜥蜴饮水的这一关键步骤，</w:t>
      </w:r>
      <w:r>
        <w:t xml:space="preserve"> </w:t>
      </w:r>
      <w:r>
        <w:t>绿犀蜥</w:t>
      </w:r>
      <w:r>
        <w:t xml:space="preserve"> </w:t>
      </w:r>
      <w:r>
        <w:t>，揭示了蜥蜴利用特有的有节奏的下巴运动来实现有效的饮水。受其独特的集水技术的启发，我们设计了一种人工土壤集水系统，模仿这些自然毛细管流动和下巴运动，以实现从土壤中收集水。该系统采用多孔介质来模拟土壤中的水输送，并采用平行板来模拟蜥蜴下巴的动作，成功地展示了通过集成离子交换材料进行有效的水收集和净化。这种多功能系统不仅可以解决干旱地区对水的迫切需求，还可以同时确保收集到的水的纯度，去除重金属等有害污染物。</w:t>
      </w:r>
    </w:p>
    <w:p>
      <w:pPr>
        <w:spacing w:before="0" w:after="200" w:lineRule="auto" w:line="276"/>
      </w:pPr>
      <w:r>
        <w:rPr>
          <w:b/>
        </w:rPr>
        <w:t xml:space="preserve">Abstract (EN): </w:t>
      </w:r>
      <w:r>
        <w:t>Desert environments pose severe water scarcity challenges, leading to unique adaptations among native fauna. Notably, many species of desert horned lizards utilize a dermal drinking method, employing integumental microchannels to draw water from raindrops and moist soils via capillary action. However, the exact mechanism by which they eventually move the water collected between their jaws into their mouths remains elusive. Our research investigates this critical step in the drinking of desert horned lizards,</w:t>
      </w:r>
      <w:r>
        <w:t xml:space="preserve"> </w:t>
      </w:r>
      <w:r>
        <w:t>Phrynosoma platyrhinos</w:t>
      </w:r>
      <w:r>
        <w:t xml:space="preserve"> </w:t>
      </w:r>
      <w:r>
        <w:t>, revealing that the lizards use characteristic rhythmic jaw movements to achieve effective water intake. Inspired by their distinct water harvesting techniques, we have engineered an artificial soil water harvesting system that mimics these natural capillary flows and jaw movements to achieve water collection from soil. This system incorporates porous media to simulate water transport from soil and employs parallel plates to emulate lizard jaw actions, successfully demonstrating effective water collection and purification through integrated ion-exchange materials. This multifunctional system not only addresses the urgent need for water in arid regions but also simultaneously ensures the collected water’s purity, removing harmful contaminants like heavy metals.</w:t>
      </w:r>
    </w:p>
    <w:p>
      <w:pPr>
        <w:spacing w:before="120" w:after="120"/>
      </w:pPr>
      <w:r>
        <w:rPr>
          <w:sz w:val="18"/>
        </w:rPr>
        <w:t>——————————————————————————————————————————————————————————————————————</w:t>
      </w:r>
    </w:p>
    <w:p>
      <w:pPr>
        <w:spacing w:before="160" w:after="40" w:line="240" w:lineRule="auto"/>
      </w:pPr>
      <w:r>
        <w:rPr>
          <w:b/>
        </w:rPr>
        <w:t xml:space="preserve">[68] </w:t>
      </w:r>
      <w:hyperlink r:id="rId396">
        <w:r>
          <w:rPr>
            <w:color w:val="1155CC"/>
            <w:u w:val="single"/>
          </w:rPr>
          <w:t>加州森林目前主要发生严重火灾</w:t>
        </w:r>
      </w:hyperlink>
    </w:p>
    <w:p>
      <w:pPr>
        <w:spacing w:before="0" w:after="80"/>
      </w:pPr>
      <w:r>
        <w:rPr>
          <w:i/>
          <w:sz w:val="20"/>
        </w:rPr>
        <w:t>EN: High-severity fire now dominant in California forests</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397">
        <w:r>
          <w:rPr>
            <w:color w:val="1155CC"/>
            <w:u w:val="single"/>
          </w:rPr>
          <w:t>10.1073/pnas.2532829123</w:t>
        </w:r>
      </w:hyperlink>
    </w:p>
    <w:p>
      <w:pPr>
        <w:spacing w:before="0" w:after="120"/>
      </w:pPr>
      <w:r>
        <w:rPr>
          <w:b/>
        </w:rPr>
        <w:t xml:space="preserve">Notes: </w:t>
      </w:r>
      <w:r>
        <w:t>abstract_source=crossref</w:t>
      </w:r>
    </w:p>
    <w:p>
      <w:pPr>
        <w:spacing w:before="0" w:after="80" w:lineRule="auto" w:line="276"/>
      </w:pPr>
      <w:r>
        <w:rPr>
          <w:b/>
        </w:rPr>
        <w:t xml:space="preserve">摘要（ZH）: </w:t>
      </w:r>
      <w:r>
        <w:t>火灾的严重程度对全球许多森林发挥着至关重要的生态控制作用。在加利福尼亚州，近几十年来每年的森林火灾面积急剧增加，了解燃烧严重程度如何变化对于为环境政策和管理提供信息至关重要。我们开发了 4,391 场森林火灾严重程度的遥感高分辨率地图，以评估 1985 年至 2024 年加州森林烧毁严重程度的趋势和驱动因素。我们观察到，历史上占主导地位的低严重性和生态恢复性火灾越来越多地被高严重性替代火灾所取代，后者从 2012 年开始成为最常见的严重级别。这种制度转变表明，森林地区的燃烧程度越来越高，以至于它们不太可能生存。在高生物量森林中，高严重程度火灾的重新分配最为强烈，这意味着由于排除火灾而导致树木死亡率增加，因此导致大量燃料负载。重要的是，加州的森林提供了大量的生态系统服务，包括气候和水循环的调节、生物多样性支持以及木材和娱乐收入。因此，高强度森林火灾的日益猖獗可能会给加州带来巨大的社会经济成本。</w:t>
      </w:r>
    </w:p>
    <w:p>
      <w:pPr>
        <w:spacing w:before="0" w:after="200" w:lineRule="auto" w:line="276"/>
      </w:pPr>
      <w:r>
        <w:rPr>
          <w:b/>
        </w:rPr>
        <w:t xml:space="preserve">Abstract (EN): </w:t>
      </w:r>
      <w:r>
        <w:t>Fire severity exerts crucial ecological controls in many forests globally. In California, where annual forest-fire area has increased dramatically in recent decades, understanding how burn severity is changing is essential for informing environmental policy and management. We developed remotely sensed high-resolution maps of severity for 4,391 forest fires to assess trends and drivers of burn severity across California’s forests from 1985–2024. We observed that historically dominant low-severity and ecologically restorative fire was increasingly replaced by high-severity stand-replacing fire, which became the most common severity class beginning in 2012. This regime shift indicates that forested areas are increasingly burning at severity levels they are unlikely to survive. Redistribution toward high-severity fire was strongest in high-biomass forests, implicating heavy fuel loads due to fire exclusion as an amplifier of tree mortality. Importantly, California’s forests provide a vast array of ecosystem services, including the regulation of climate and the water cycle, biodiversity support, and timber and recreation revenue. Thus, the growing dominance of high-severity forest fire is likely to impose significant socioeconomic costs on California.</w:t>
      </w:r>
    </w:p>
    <w:p>
      <w:pPr>
        <w:spacing w:before="120" w:after="120"/>
      </w:pPr>
      <w:r>
        <w:rPr>
          <w:sz w:val="18"/>
        </w:rPr>
        <w:t>——————————————————————————————————————————————————————————————————————</w:t>
      </w:r>
    </w:p>
    <w:p>
      <w:pPr>
        <w:spacing w:before="160" w:after="40" w:line="240" w:lineRule="auto"/>
      </w:pPr>
      <w:r>
        <w:rPr>
          <w:b/>
        </w:rPr>
        <w:t xml:space="preserve">[69] </w:t>
      </w:r>
      <w:hyperlink r:id="rId398">
        <w:r>
          <w:rPr>
            <w:color w:val="1155CC"/>
            <w:u w:val="single"/>
          </w:rPr>
          <w:t>缺氧介导的心外膜信号传导协调斑马鱼心室成熟过程中的冠状血管生成和心肌扩张</w:t>
        </w:r>
      </w:hyperlink>
    </w:p>
    <w:p>
      <w:pPr>
        <w:spacing w:before="0" w:after="80"/>
      </w:pPr>
      <w:r>
        <w:rPr>
          <w:i/>
          <w:sz w:val="20"/>
        </w:rPr>
        <w:t>EN: Hypoxia-mediated epicardial signaling coordinates coronary angiogenesis and myocardial expansion during zebrafish ventricle maturation</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399">
        <w:r>
          <w:rPr>
            <w:color w:val="1155CC"/>
            <w:u w:val="single"/>
          </w:rPr>
          <w:t>10.1073/pnas.2536457123</w:t>
        </w:r>
      </w:hyperlink>
    </w:p>
    <w:p>
      <w:pPr>
        <w:spacing w:before="0" w:after="120"/>
      </w:pPr>
      <w:r>
        <w:rPr>
          <w:b/>
        </w:rPr>
        <w:t xml:space="preserve">Notes: </w:t>
      </w:r>
      <w:r>
        <w:t>abstract_source=crossref</w:t>
      </w:r>
    </w:p>
    <w:p>
      <w:pPr>
        <w:spacing w:before="0" w:after="80" w:lineRule="auto" w:line="276"/>
      </w:pPr>
      <w:r>
        <w:rPr>
          <w:b/>
        </w:rPr>
        <w:t xml:space="preserve">摘要（ZH）: </w:t>
      </w:r>
      <w:r>
        <w:t>在心脏发育过程中，心肌响应生理需求而扩张，以实现适当的心脏形态和功能收缩力，同时与发育中的冠状脉管系统整合。然而，人们对这种有序扩张的机制仍知之甚少。在这里，我们发现局部缺氧会导致局部组织增厚，进而加剧缺氧微环境。我们证明心外膜缺氧是一种中央调节机制，在幼年斑马鱼心脏发育过程中协调冠状动脉血管生成和心肌扩张。这种机制激活心外膜基因表达的离散空间模式，包括</w:t>
      </w:r>
      <w:r>
        <w:t xml:space="preserve"> </w:t>
      </w:r>
      <w:r>
        <w:t>维格法阿</w:t>
      </w:r>
      <w:r>
        <w:t xml:space="preserve"> </w:t>
      </w:r>
      <w:r>
        <w:t>,</w:t>
      </w:r>
      <w:r>
        <w:t xml:space="preserve"> </w:t>
      </w:r>
      <w:r>
        <w:t>loxl2a</w:t>
      </w:r>
      <w:r>
        <w:t xml:space="preserve"> </w:t>
      </w:r>
      <w:r>
        <w:t>, 和</w:t>
      </w:r>
      <w:r>
        <w:t xml:space="preserve"> </w:t>
      </w:r>
      <w:r>
        <w:t>12a1b列</w:t>
      </w:r>
      <w:r>
        <w:t xml:space="preserve"> </w:t>
      </w:r>
      <w:r>
        <w:t>。通过实时和固定成像，我们发现心肌细胞和内皮细胞通过冠状动脉发育和心肌扩张所需的第三方心外膜信号表现出协调的扩张模式。使用</w:t>
      </w:r>
      <w:r>
        <w:t xml:space="preserve"> </w:t>
      </w:r>
      <w:r>
        <w:t>CXCR4A</w:t>
      </w:r>
      <w:r>
        <w:t xml:space="preserve"> </w:t>
      </w:r>
      <w:r>
        <w:t>嗯20</w:t>
      </w:r>
      <w:r>
        <w:t xml:space="preserve"> </w:t>
      </w:r>
      <w:r>
        <w:t>在缺乏功能性冠状血管的突变体中，我们发现冠状血管对心外膜缺氧提供负反馈，同时对驱动心肌扩张的相同缺氧信号做出积极反应。如病理学中观察到的，这种负反馈的破坏通过细胞外基质交联失调导致心肌僵硬度增加。</w:t>
      </w:r>
    </w:p>
    <w:p>
      <w:pPr>
        <w:spacing w:before="0" w:after="200" w:lineRule="auto" w:line="276"/>
      </w:pPr>
      <w:r>
        <w:rPr>
          <w:b/>
        </w:rPr>
        <w:t xml:space="preserve">Abstract (EN): </w:t>
      </w:r>
      <w:r>
        <w:t>During cardiac development, the myocardium expands in response to physiological demands to achieve proper cardiac morphology and functional contractility, while simultaneously integrating with the developing coronary vasculature. However, the mechanisms governing this ordered expansion remain poorly understood. Here, we found that regional hypoxia drives local tissue thickening, which in turn exacerbates a hypoxic microenvironment. We demonstrate that epicardial hypoxia serves as a central regulatory mechanism, coordinating both coronary angiogenesis and myocardial expansion during juvenile zebrafish heart development. This mechanism activates discrete spatial patterns of epicardial gene expression, including</w:t>
      </w:r>
      <w:r>
        <w:t xml:space="preserve"> </w:t>
      </w:r>
      <w:r>
        <w:t>vegfaa</w:t>
      </w:r>
      <w:r>
        <w:t xml:space="preserve"> </w:t>
      </w:r>
      <w:r>
        <w:t>,</w:t>
      </w:r>
      <w:r>
        <w:t xml:space="preserve"> </w:t>
      </w:r>
      <w:r>
        <w:t>loxl2a</w:t>
      </w:r>
      <w:r>
        <w:t xml:space="preserve"> </w:t>
      </w:r>
      <w:r>
        <w:t>, and</w:t>
      </w:r>
      <w:r>
        <w:t xml:space="preserve"> </w:t>
      </w:r>
      <w:r>
        <w:t>col12a1b</w:t>
      </w:r>
      <w:r>
        <w:t xml:space="preserve"> </w:t>
      </w:r>
      <w:r>
        <w:t>. Through live and fixed imaging, we find that cardiomyocytes and endothelial cells exhibit coordinated expansion patterns through third-party epicardial signals that are required for both coronary development and myocardial expansion. Using</w:t>
      </w:r>
      <w:r>
        <w:t xml:space="preserve"> </w:t>
      </w:r>
      <w:r>
        <w:t>cxcr4a</w:t>
      </w:r>
      <w:r>
        <w:t xml:space="preserve"> </w:t>
      </w:r>
      <w:r>
        <w:t>um20</w:t>
      </w:r>
      <w:r>
        <w:t xml:space="preserve"> </w:t>
      </w:r>
      <w:r>
        <w:t>mutants lacking functional coronary vessels, we show that coronary vessels provide negative feedback on epicardial hypoxia, while positively responding to the same hypoxic cues that drive myocardial expansion. Disruption of this negative feedback leads to increased myocardial stiffness through dysregulated extracellular matrix crosslinking as observed in pathological conditions such as cardiomyopathies. These findings establish the role of regional epicardial hypoxia within a fundamental regulatory network that drives appropriate regional tissue growth with integrated vascular supply during cardiac morphogenesis.</w:t>
      </w:r>
    </w:p>
    <w:p>
      <w:pPr>
        <w:spacing w:before="120" w:after="120"/>
      </w:pPr>
      <w:r>
        <w:rPr>
          <w:sz w:val="18"/>
        </w:rPr>
        <w:t>——————————————————————————————————————————————————————————————————————</w:t>
      </w:r>
    </w:p>
    <w:p>
      <w:pPr>
        <w:spacing w:before="160" w:after="40" w:line="240" w:lineRule="auto"/>
      </w:pPr>
      <w:r>
        <w:rPr>
          <w:b/>
        </w:rPr>
        <w:t xml:space="preserve">[70] </w:t>
      </w:r>
      <w:hyperlink r:id="rId400">
        <w:r>
          <w:rPr>
            <w:color w:val="1155CC"/>
            <w:u w:val="single"/>
          </w:rPr>
          <w:t>乙型肝炎病毒基因组包装和复制由 RNA 元件 epsilon 中的聚合酶响应性 RNA 开关协调</w:t>
        </w:r>
      </w:hyperlink>
    </w:p>
    <w:p>
      <w:pPr>
        <w:spacing w:before="0" w:after="80"/>
      </w:pPr>
      <w:r>
        <w:rPr>
          <w:i/>
          <w:sz w:val="20"/>
        </w:rPr>
        <w:t>EN: Hepatitis B virus genome packaging and replication are coordinated by a polymerase-responsive RNA switch in the RNA element epsilon</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01">
        <w:r>
          <w:rPr>
            <w:color w:val="1155CC"/>
            <w:u w:val="single"/>
          </w:rPr>
          <w:t>10.1073/pnas.2537974123</w:t>
        </w:r>
      </w:hyperlink>
    </w:p>
    <w:p>
      <w:pPr>
        <w:spacing w:before="0" w:after="120"/>
      </w:pPr>
      <w:r>
        <w:rPr>
          <w:b/>
        </w:rPr>
        <w:t xml:space="preserve">Notes: </w:t>
      </w:r>
      <w:r>
        <w:t>abstract_source=crossref</w:t>
      </w:r>
    </w:p>
    <w:p>
      <w:pPr>
        <w:spacing w:before="0" w:after="80" w:lineRule="auto" w:line="276"/>
      </w:pPr>
      <w:r>
        <w:rPr>
          <w:b/>
        </w:rPr>
        <w:t xml:space="preserve">摘要（ZH）: </w:t>
      </w:r>
      <w:r>
        <w:t>乙型肝炎病毒 (HBV) 是一种主要的人类病原体，通过蛋白质引发的前基因组 RNA (pgRNA) 逆转录来复制其 DNA 基因组。该过程由 pgRNA 携带的 ε (ε) 元件指导，该元件为负链 DNA 合成提供起点，并介导 pgRNA 与病毒聚合酶（P 蛋白）共衣壳化成核衣壳。 ε 采用热力学稳定的发夹结构，该结构在形成功能性 ε-P 复合物时进行重构，但重排的 RNA 结构的性质及其对 pgRNA 衣壳化的影响仍然难以捉摸。在对远亲 nackednaviruses 类 ε 元件进行计算机分析的指导下，我们鉴定了 HBVε 的独特构象，其定义特征是隐秘的茎环（cSL），隐藏在 ε 的上茎内。 P 依赖性 cSL 构象将关键序列重组为紧凑的结构单元，从而启动 DNA 合成和病毒 pgRNA-P 复合物的包装。经改造有利于 cSL 形成的 RNA 表现出增加的 P 蛋白亲和力和强烈增强的体外启动活性，同时保持细胞内的复制能力。突变分析将 cSL 及其紧邻区域（而非剩余的上部茎序列）确定为 ε 功能的主要决定因素。嗜肝DNA病毒cSL形成潜力的遗传变异将体外启动能力与这种替代折叠的能量可及性联系起来。总之，我们的研究结果揭示了 ε 作为 P 蛋白依赖性 RNA 开关，将前基因组衣壳化与逆转录紧密结合。</w:t>
      </w:r>
    </w:p>
    <w:p>
      <w:pPr>
        <w:spacing w:before="0" w:after="200" w:lineRule="auto" w:line="276"/>
      </w:pPr>
      <w:r>
        <w:rPr>
          <w:b/>
        </w:rPr>
        <w:t xml:space="preserve">Abstract (EN): </w:t>
      </w:r>
      <w:r>
        <w:t>Hepatitis B virus (HBV), a major human pathogen, replicates its DNA genome by protein-primed reverse transcription of a pregenomic RNA (pgRNA). This process is directed by the pgRNA-borne epsilon (ε) element, which provides the origin for minus-strand DNA synthesis and mediates coencapsidation of pgRNA with the viral polymerase (P protein) into nucleocapsids. ε adopts a thermodynamically stable hairpin structure that is remodeled upon formation of functional ε-P complexes, but the nature of the rearranged RNA structure and its implication for pgRNA encapsidation has remained elusive. Guided by in silico analyses of ε-like elements from distantly related nackednaviruses, we identify a distinct conformation of HBVε whose defining feature is a cryptic stem-loop (cSL), masked within the upper stem of ε. The P-dependent cSL conformation reorganizes key sequences into a compact structural unit that enables initiation of DNA synthesis and packaging of the viral pgRNA-P complex. RNAs engineered to favor cSL formation exhibit increased P protein affinity and strongly enhanced priming activity in vitro while maintaining replication competence in cells. Mutational analyses identify the cSL and its immediate vicinity, but not the remaining upper stem sequence, as the dominant determinants of ε function. Genetic variation in cSL-forming potential across hepadnaviruses links in vitro priming competence to the energetic accessibility of this alternative fold. Together, our findings reveal ε as a P protein-dependent RNA switch that tightly couples pregenome encapsidation to reverse transcription competence. This regulatory mechanism advances our understanding of HBV replication and could be exploited for antiviral intervention.</w:t>
      </w:r>
    </w:p>
    <w:p>
      <w:pPr>
        <w:spacing w:before="120" w:after="120"/>
      </w:pPr>
      <w:r>
        <w:rPr>
          <w:sz w:val="18"/>
        </w:rPr>
        <w:t>——————————————————————————————————————————————————————————————————————</w:t>
      </w:r>
    </w:p>
    <w:p>
      <w:pPr>
        <w:spacing w:before="160" w:after="40" w:line="240" w:lineRule="auto"/>
      </w:pPr>
      <w:r>
        <w:rPr>
          <w:b/>
        </w:rPr>
        <w:t xml:space="preserve">[71] </w:t>
      </w:r>
      <w:hyperlink r:id="rId402">
        <w:r>
          <w:rPr>
            <w:color w:val="1155CC"/>
            <w:u w:val="single"/>
          </w:rPr>
          <w:t>通过酸性残基的金属光催化编辑实现氨基酸和肽的脱羧多样化</w:t>
        </w:r>
      </w:hyperlink>
    </w:p>
    <w:p>
      <w:pPr>
        <w:spacing w:before="0" w:after="80"/>
      </w:pPr>
      <w:r>
        <w:rPr>
          <w:i/>
          <w:sz w:val="20"/>
        </w:rPr>
        <w:t>EN: Decarboxylative diversification of amino acids and peptides through metallaphotocatalytic editing of acidic residues</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03">
        <w:r>
          <w:rPr>
            <w:color w:val="1155CC"/>
            <w:u w:val="single"/>
          </w:rPr>
          <w:t>10.1073/pnas.2600258123</w:t>
        </w:r>
      </w:hyperlink>
    </w:p>
    <w:p>
      <w:pPr>
        <w:spacing w:before="0" w:after="120"/>
      </w:pPr>
      <w:r>
        <w:rPr>
          <w:b/>
        </w:rPr>
        <w:t xml:space="preserve">Notes: </w:t>
      </w:r>
      <w:r>
        <w:t>abstract_source=crossref</w:t>
      </w:r>
    </w:p>
    <w:p>
      <w:pPr>
        <w:spacing w:before="0" w:after="80" w:lineRule="auto" w:line="276"/>
      </w:pPr>
      <w:r>
        <w:rPr>
          <w:b/>
        </w:rPr>
        <w:t xml:space="preserve">摘要（ZH）: </w:t>
      </w:r>
      <w:r>
        <w:t>侧链上具有特征氨基的赖氨酸是蛋白质结构中最丰富的氨基酸之一，这使得基于赖氨酸的非规范氨基酸 (ncAA) 文库成为扩展氨基酸和肽的功能和结构多样性的宝贵资源，为肽设计和化学修饰带来了新的机遇。在这项研究中，我们报告了一种金属光催化脱羧策略的发展，该策略可以顺利地将天冬氨酸、谷氨酸、高谷氨酸和高级同系物转化为各种</w:t>
      </w:r>
      <w:r>
        <w:t xml:space="preserve"> </w:t>
      </w:r>
      <w:r>
        <w:t>氮</w:t>
      </w:r>
      <w:r>
        <w:t xml:space="preserve"> </w:t>
      </w:r>
      <w:r>
        <w:t>-芳基赖氨酸和类似物，一类高度通用但尚未充分开发的功能化 ncAA。所得的 ncAA 具有多种芳香族和杂芳香族取代基，以及结构可调的脂肪族侧链。此外，该策略还可以应用于芳基胺修饰肽的构建，提供对功能化氨基酸和肽构建块的模块化访问。</w:t>
      </w:r>
    </w:p>
    <w:p>
      <w:pPr>
        <w:spacing w:before="0" w:after="200" w:lineRule="auto" w:line="276"/>
      </w:pPr>
      <w:r>
        <w:rPr>
          <w:b/>
        </w:rPr>
        <w:t xml:space="preserve">Abstract (EN): </w:t>
      </w:r>
      <w:r>
        <w:t>Lysine with a characteristic amino group on its side chain is one of the most abundant amino acids in protein structures, making libraries of lysine-based noncanonical amino acids (ncAAs) a valuable resource for expanding the functional and structural diversity of amino acids and peptides, unlocking new opportunities in peptide design and chemical modification. In this study, we report the development of a metallaphotocatalytic decarboxylation strategy that can smoothly transform aspartic acid, glutamic acid, homoglutamic acid, and higher homologs into various</w:t>
      </w:r>
      <w:r>
        <w:t xml:space="preserve"> </w:t>
      </w:r>
      <w:r>
        <w:t>N</w:t>
      </w:r>
      <w:r>
        <w:t xml:space="preserve"> </w:t>
      </w:r>
      <w:r>
        <w:t>-aryl lysines and analogs, a highly versatile yet underexploited class of functionalized ncAAs. The resulting ncAAs feature a wide array of aromatic and heteroaromatic substituents, as well as structurally tunable aliphatic side chains. Furthermore, this strategy can also be applied to the construction of arylamine-modified peptides, providing modular access to functionalized amino acid and peptide building blocks.</w:t>
      </w:r>
    </w:p>
    <w:p>
      <w:pPr>
        <w:spacing w:before="120" w:after="120"/>
      </w:pPr>
      <w:r>
        <w:rPr>
          <w:sz w:val="18"/>
        </w:rPr>
        <w:t>——————————————————————————————————————————————————————————————————————</w:t>
      </w:r>
    </w:p>
    <w:p>
      <w:pPr>
        <w:spacing w:before="160" w:after="40" w:line="240" w:lineRule="auto"/>
      </w:pPr>
      <w:r>
        <w:rPr>
          <w:b/>
        </w:rPr>
        <w:t xml:space="preserve">[72] </w:t>
      </w:r>
      <w:hyperlink r:id="rId404">
        <w:r>
          <w:rPr>
            <w:color w:val="1155CC"/>
            <w:u w:val="single"/>
          </w:rPr>
          <w:t>激光烧蚀显微镜揭示了地钱的顶端切迹、顶端优势和分生组织再生动态</w:t>
        </w:r>
      </w:hyperlink>
    </w:p>
    <w:p>
      <w:pPr>
        <w:spacing w:before="0" w:after="80"/>
      </w:pPr>
      <w:r>
        <w:rPr>
          <w:i/>
          <w:sz w:val="20"/>
        </w:rPr>
        <w:t>EN: Laser ablation microscopy reveals apical notch, apical dominance, and meristem regeneration dynamics in Marchantia polymorpha</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05">
        <w:r>
          <w:rPr>
            <w:color w:val="1155CC"/>
            <w:u w:val="single"/>
          </w:rPr>
          <w:t>10.1073/pnas.2600460123</w:t>
        </w:r>
      </w:hyperlink>
    </w:p>
    <w:p>
      <w:pPr>
        <w:spacing w:before="0" w:after="120"/>
      </w:pPr>
      <w:r>
        <w:rPr>
          <w:b/>
        </w:rPr>
        <w:t xml:space="preserve">Notes: </w:t>
      </w:r>
      <w:r>
        <w:t>abstract_source=crossref</w:t>
      </w:r>
    </w:p>
    <w:p>
      <w:pPr>
        <w:spacing w:before="0" w:after="80" w:lineRule="auto" w:line="276"/>
      </w:pPr>
      <w:r>
        <w:rPr>
          <w:b/>
        </w:rPr>
        <w:t xml:space="preserve">摘要（ZH）: </w:t>
      </w:r>
      <w:r>
        <w:t>分生组织是植物的生长中心，是理解植物发育、形态发生和营养繁殖的基础。在所有植物群体中，植物激素生长素控制分生组织的维持，抑制新分生组织的出现（顶端优势），并在现有分生组织去除后新分生组织再生时介导细胞重编程。地钱地钱产生的克隆繁殖体（gemmae）具有两个顶端凹口，可发育成功能性分生组织。这提供了一个易于处理的实验系统来研究分生组织发育生物学。我使用激光烧蚀显微镜精确地破坏了发芽芽胞顶端凹口中正在发育的分生组织内部和周围的细胞，发现第一行细胞是不可或缺的。在这一层内，需要连续的干细胞群体才能发挥活性。顶切迹因损伤而重新定向，表明顶切迹干细胞充当沟通群体。来自干细胞群的反馈对于维持缺口活性和产生缺口顶点是必要的。这些实验显示了缺口和再生分生组织之间的通讯。顶端优势信号抑制细胞分裂，需要源和汇，这是生长素介导的通讯的特征。芽胞的中心区域可以传递这些顶端优势信号，但芽胞外围的组织却不能。我提出了地钱和顶端切迹组织的模型，涉及切迹内、间和外的通讯。这提供了一个框架</w:t>
      </w:r>
    </w:p>
    <w:p>
      <w:pPr>
        <w:spacing w:before="0" w:after="200" w:lineRule="auto" w:line="276"/>
      </w:pPr>
      <w:r>
        <w:rPr>
          <w:b/>
        </w:rPr>
        <w:t xml:space="preserve">Abstract (EN): </w:t>
      </w:r>
      <w:r>
        <w:t>Meristems are the growth centers of plants and fundamental in understanding plant development, morphogenesis, and vegetative propagation. Across all plant groups, the phytohormone auxin controls meristem maintenance, represses the emergence of new meristems (apical dominance), and mediates cellular reprogramming when new meristems regenerate following removal of existing meristems. The liverwort Marchantia produces clonal propagules (gemmae) featuring two apical notches that develop into functional meristems. This presents a tractable experimental system to study meristem developmental biology. I used laser ablation microscopy to precisely disrupt cells in and around the developing premeristem in the apical notches of germinating gemma, finding that the first cell row is indispensable. Within this layer, a contiguous quorum of stem cells is required for activity. Apical notches reorientate in response to damage, demonstrating that the apical notch stem cells act as a communicating population. Feedback from the stem cell population is necessary to maintain notch activity and generate the notch apex. These experiments show communication between notches and regenerating meristems. The apical dominance signal represses cell division and requires both sources and sinks, features of auxin-mediated communication. Central regions of the gemma could transmit these apical dominance signals, but the tissues of the gemma periphery could not. I present a model of Marchantia gemma and apical notch organization, involving intra-, inter-, and extranotch communication. This provides a framework for further study of meristem formation, communication, and maintenance in Marchantia and improving knowledge of plant meristems more generally.</w:t>
      </w:r>
    </w:p>
    <w:p>
      <w:pPr>
        <w:spacing w:before="120" w:after="120"/>
      </w:pPr>
      <w:r>
        <w:rPr>
          <w:sz w:val="18"/>
        </w:rPr>
        <w:t>——————————————————————————————————————————————————————————————————————</w:t>
      </w:r>
    </w:p>
    <w:p>
      <w:pPr>
        <w:spacing w:before="160" w:after="40" w:line="240" w:lineRule="auto"/>
      </w:pPr>
      <w:r>
        <w:rPr>
          <w:b/>
        </w:rPr>
        <w:t xml:space="preserve">[73] </w:t>
      </w:r>
      <w:hyperlink r:id="rId406">
        <w:r>
          <w:rPr>
            <w:color w:val="1155CC"/>
            <w:u w:val="single"/>
          </w:rPr>
          <w:t>氘化水和天王星卫星的形成</w:t>
        </w:r>
      </w:hyperlink>
    </w:p>
    <w:p>
      <w:pPr>
        <w:spacing w:before="0" w:after="80"/>
      </w:pPr>
      <w:r>
        <w:rPr>
          <w:i/>
          <w:sz w:val="20"/>
        </w:rPr>
        <w:t>EN: Deuterated water and the formation of the satellites of Uranus</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07">
        <w:r>
          <w:rPr>
            <w:color w:val="1155CC"/>
            <w:u w:val="single"/>
          </w:rPr>
          <w:t>10.1073/pnas.2519276123</w:t>
        </w:r>
      </w:hyperlink>
    </w:p>
    <w:p>
      <w:pPr>
        <w:spacing w:before="0" w:after="120"/>
      </w:pPr>
      <w:r>
        <w:rPr>
          <w:b/>
        </w:rPr>
        <w:t xml:space="preserve">Notes: </w:t>
      </w:r>
      <w:r>
        <w:t>abstract_source=crossref</w:t>
      </w:r>
    </w:p>
    <w:p>
      <w:pPr>
        <w:spacing w:before="0" w:after="80" w:lineRule="auto" w:line="276"/>
      </w:pPr>
      <w:r>
        <w:rPr>
          <w:b/>
        </w:rPr>
        <w:t xml:space="preserve">摘要（ZH）: </w:t>
      </w:r>
      <w:r>
        <w:t>天王星的卫星在低偏心率、赤道面倾斜 98 度的轨道上运行</w:t>
      </w:r>
      <w:r>
        <w:t xml:space="preserve"> </w:t>
      </w:r>
      <w:r>
        <w:t>°</w:t>
      </w:r>
      <w:r>
        <w:t xml:space="preserve"> </w:t>
      </w:r>
      <w:r>
        <w:t>相对于太阳系的几何形状反映了天王星极端的轴向倾斜。尽管巨大的撞击可能会使天王星倾斜，但卫星如何共享这个方向仍然不确定。提出的形成路径包括原始吸积和随后的重新定向、倾斜撞击产生的碎片的形成，以及来自外太阳系的经过的天体潮汐破坏产生的巨大环的再吸积。目前的观察并没有区分这些情况。使用詹姆斯·韦伯太空望远镜，我们测量了天王星五颗常规卫星水冰中的氘氢 (D/H) 比率。我们发现平均 D/H 比率为</w:t>
      </w:r>
      <w:r>
        <w:t xml:space="preserve"> </w:t>
      </w:r>
      <w:r>
        <w:t>2.1</w:t>
      </w:r>
      <w:r>
        <w:t xml:space="preserve"> </w:t>
      </w:r>
      <w:r>
        <w:t>±</w:t>
      </w:r>
      <w:r>
        <w:t xml:space="preserve"> </w:t>
      </w:r>
      <w:r>
        <w:t>0.2</w:t>
      </w:r>
      <w:r>
        <w:t xml:space="preserve"> </w:t>
      </w:r>
      <w:r>
        <w:t>×</w:t>
      </w:r>
      <w:r>
        <w:t xml:space="preserve"> </w:t>
      </w:r>
      <w:r>
        <w:rPr>
          <w:vertAlign w:val="subscript"/>
        </w:rPr>
        <w:t>10</w:t>
      </w:r>
      <w:r>
        <w:t xml:space="preserve"> </w:t>
      </w:r>
      <w:r>
        <w:t>-</w:t>
      </w:r>
      <w:r>
        <w:rPr>
          <w:vertAlign w:val="subscript"/>
        </w:rPr>
        <w:t>4</w:t>
      </w:r>
      <w:r>
        <w:t xml:space="preserve"> </w:t>
      </w:r>
      <w:r>
        <w:t>，比天王星高出近五倍，与彗星上测量的值相当。这种浓缩与任何将大量天王星物质纳入卫星的形成情景不一致，因此排除了需要大量混合的模型</w:t>
      </w:r>
    </w:p>
    <w:p>
      <w:pPr>
        <w:spacing w:before="0" w:after="200" w:lineRule="auto" w:line="276"/>
      </w:pPr>
      <w:r>
        <w:rPr>
          <w:b/>
        </w:rPr>
        <w:t xml:space="preserve">Abstract (EN): </w:t>
      </w:r>
      <w:r>
        <w:t>The satellites of Uranus orbit in a low-eccentricity, equatorial plane that is tilted by 98</w:t>
      </w:r>
      <w:r>
        <w:t xml:space="preserve"> </w:t>
      </w:r>
      <w:r>
        <w:t>°</w:t>
      </w:r>
      <w:r>
        <w:t xml:space="preserve"> </w:t>
      </w:r>
      <w:r>
        <w:t>relative to the solar system—a geometry that mirrors Uranus’s extreme axial tilt. Although a giant impact could have tipped Uranus, how the satellites came to share this orientation remains uncertain. Proposed formation pathways include primordial accretion followed by reorientation, formation from debris generated by the tilting impact, and reaccretion from a massive ring produced by the tidal disruption of passing bodies from the outer solar system. Current observations do not discriminate among these scenarios. Using the James Webb Space Telescope, we measured the deuterium-to-hydrogen (D/H) ratio in the water ice of the five regular satellites of Uranus. We find an average D/H ratio of</w:t>
      </w:r>
      <w:r>
        <w:t xml:space="preserve"> </w:t>
      </w:r>
      <w:r>
        <w:t>2.1</w:t>
      </w:r>
      <w:r>
        <w:t xml:space="preserve"> </w:t>
      </w:r>
      <w:r>
        <w:t>±</w:t>
      </w:r>
      <w:r>
        <w:t xml:space="preserve"> </w:t>
      </w:r>
      <w:r>
        <w:t>0.2</w:t>
      </w:r>
      <w:r>
        <w:t xml:space="preserve"> </w:t>
      </w:r>
      <w:r>
        <w:t>×</w:t>
      </w:r>
      <w:r>
        <w:t xml:space="preserve"> </w:t>
      </w:r>
      <w:r>
        <w:rPr>
          <w:vertAlign w:val="subscript"/>
        </w:rPr>
        <w:t>10</w:t>
      </w:r>
      <w:r>
        <w:t xml:space="preserve"> </w:t>
      </w:r>
      <w:r>
        <w:t>−</w:t>
      </w:r>
      <w:r>
        <w:rPr>
          <w:vertAlign w:val="subscript"/>
        </w:rPr>
        <w:t>4</w:t>
      </w:r>
      <w:r>
        <w:t xml:space="preserve"> </w:t>
      </w:r>
      <w:r>
        <w:t>, nearly five times higher than that of Uranus and comparable to values measured in comets. This enrichment is inconsistent with any formation scenario in which substantial Uranian material was incorporated into the satellites, thereby excluding models that require significant mixing in an impact-derived vapor disk. The observed D/H ratios are instead compatible with models in which the satellites accreted from material that remained largely separate from Uranus, such as debris from a disrupted preexisting satellite system or from a tidally captured outer solar system body. The innermost regular satellite, Miranda, exhibits a marginally elevated D/H ratio (2.8</w:t>
      </w:r>
      <w:r>
        <w:t xml:space="preserve"> </w:t>
      </w:r>
      <w:r>
        <w:t>σ</w:t>
      </w:r>
      <w:r>
        <w:t xml:space="preserve"> </w:t>
      </w:r>
      <w:r>
        <w:t>above the average of the outer satellites), potentially indicating a distinct formation history or source of water and offering an important clue for distinguishing among competing models.</w:t>
      </w:r>
    </w:p>
    <w:p>
      <w:pPr>
        <w:spacing w:before="120" w:after="120"/>
      </w:pPr>
      <w:r>
        <w:rPr>
          <w:sz w:val="18"/>
        </w:rPr>
        <w:t>——————————————————————————————————————————————————————————————————————</w:t>
      </w:r>
    </w:p>
    <w:p>
      <w:pPr>
        <w:spacing w:before="160" w:after="40" w:line="240" w:lineRule="auto"/>
      </w:pPr>
      <w:r>
        <w:rPr>
          <w:b/>
        </w:rPr>
        <w:t xml:space="preserve">[74] </w:t>
      </w:r>
      <w:hyperlink r:id="rId408">
        <w:r>
          <w:rPr>
            <w:color w:val="1155CC"/>
            <w:u w:val="single"/>
          </w:rPr>
          <w:t>PAR-3/aPKC 复合物的多价组装建立了秀丽隐杆线虫受精卵的细胞极性</w:t>
        </w:r>
      </w:hyperlink>
    </w:p>
    <w:p>
      <w:pPr>
        <w:spacing w:before="0" w:after="80"/>
      </w:pPr>
      <w:r>
        <w:rPr>
          <w:i/>
          <w:sz w:val="20"/>
        </w:rPr>
        <w:t>EN: Multivalent assembly of PAR-3/aPKC complexes establishes cell polarity in Caenorhabditis elegans zygotes</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09">
        <w:r>
          <w:rPr>
            <w:color w:val="1155CC"/>
            <w:u w:val="single"/>
          </w:rPr>
          <w:t>10.1073/pnas.2509713123</w:t>
        </w:r>
      </w:hyperlink>
    </w:p>
    <w:p>
      <w:pPr>
        <w:spacing w:before="0" w:after="120"/>
      </w:pPr>
      <w:r>
        <w:rPr>
          <w:b/>
        </w:rPr>
        <w:t xml:space="preserve">Notes: </w:t>
      </w:r>
      <w:r>
        <w:t>abstract_source=crossref</w:t>
      </w:r>
    </w:p>
    <w:p>
      <w:pPr>
        <w:spacing w:before="0" w:after="80" w:lineRule="auto" w:line="276"/>
      </w:pPr>
      <w:r>
        <w:rPr>
          <w:b/>
        </w:rPr>
        <w:t xml:space="preserve">摘要（ZH）: </w:t>
      </w:r>
      <w:r>
        <w:t>细胞极性对于动物组织的形成和功能至关重要。非典型蛋白激酶 C (aPKC)、其辅因子 PAR-6 和支架蛋白 PAR-3 调节许多不同动物细胞类型的细胞极性。 PAR-3 寡聚化对于建立细胞极性很重要，但寡聚化与 PAR-3/aPKC/PAR-6 复合物组装的关系仍不清楚。在这里，我们使用体内和离体单分子技术来证明 PAR-3 寡聚化及其与 aPKC/PAR-6 结合之间的协同作用</w:t>
      </w:r>
      <w:r>
        <w:t xml:space="preserve"> </w:t>
      </w:r>
      <w:r>
        <w:t>秀丽隐杆线虫</w:t>
      </w:r>
      <w:r>
        <w:t xml:space="preserve"> </w:t>
      </w:r>
      <w:r>
        <w:t>合子。利用遗传扰动，我们证明 aPKC 和 PAR-6 对 PAR-3 具有独立的结合位点。我们认为多价驱动协同性，因为单个 aPKC/PAR-6 异二聚体可以同时与寡聚体中的多个 PAR-3 分子相互作用。尽管单结合位点突变不能完全消除 PAR-3/aPKC/PAR-6 结合，但它们确实消除了前后极性，表明 PAR-3/aPKC 协同作用有助于极性建立过程中 PAR-3 的功能。最后，PAR-3/aPKC 协同性在极性维持中下调，这种下调取决于有丝分裂激酶 PLK-1。总之，我们的结果表明细胞如何在发育上调节关键极性复合物的多价组装，以实现细胞命运决定因素的及时分离。</w:t>
      </w:r>
    </w:p>
    <w:p>
      <w:pPr>
        <w:spacing w:before="0" w:after="200" w:lineRule="auto" w:line="276"/>
      </w:pPr>
      <w:r>
        <w:rPr>
          <w:b/>
        </w:rPr>
        <w:t xml:space="preserve">Abstract (EN): </w:t>
      </w:r>
      <w:r>
        <w:t>Cell polarity is essential for the formation and function of animal tissues. Atypical protein kinase C (aPKC), its cofactor PAR-6, and scaffold protein PAR-3 regulate cell polarity in many different animal cell types. PAR-3 oligomerization is important to establish cell polarity, but how oligomerization relates to the assembly of the PAR-3/aPKC/PAR-6 complex is still unclear. Here, we use in vivo and ex vivo single-molecule techniques to demonstrate cooperativity between PAR-3 oligomerization and its binding to aPKC/PAR-6 in the</w:t>
      </w:r>
      <w:r>
        <w:t xml:space="preserve"> </w:t>
      </w:r>
      <w:r>
        <w:t>Caenorhabditis elegans</w:t>
      </w:r>
      <w:r>
        <w:t xml:space="preserve"> </w:t>
      </w:r>
      <w:r>
        <w:t>zygote. Using genetic perturbations, we present evidence that aPKC and PAR-6 have independent binding sites for PAR-3. We propose that multivalency drives cooperativity because a single aPKC/PAR-6 heterodimer can interact simultaneously with multiple PAR-3 molecules in an oligomer. Although single binding site mutations do not fully eliminate PAR-3/aPKC/PAR-6 binding, they do abolish anterior–posterior polarity, suggesting that PAR-3/aPKC cooperativity contributes to PAR-3 function during polarity establishment. Finally, PAR-3/aPKC cooperativity is downregulated in polarity maintenance, and this downregulation depends on the mitotic kinase PLK-1. Together, our results show how cells can developmentally regulate multivalent assembly of a key polarity complex to achieve timely segregation of cell fate determinants.</w:t>
      </w:r>
    </w:p>
    <w:p>
      <w:pPr>
        <w:spacing w:before="120" w:after="120"/>
      </w:pPr>
      <w:r>
        <w:rPr>
          <w:sz w:val="18"/>
        </w:rPr>
        <w:t>——————————————————————————————————————————————————————————————————————</w:t>
      </w:r>
    </w:p>
    <w:p>
      <w:pPr>
        <w:spacing w:before="160" w:after="40" w:line="240" w:lineRule="auto"/>
      </w:pPr>
      <w:r>
        <w:rPr>
          <w:b/>
        </w:rPr>
        <w:t xml:space="preserve">[75] </w:t>
      </w:r>
      <w:hyperlink r:id="rId410">
        <w:r>
          <w:rPr>
            <w:color w:val="1155CC"/>
            <w:u w:val="single"/>
          </w:rPr>
          <w:t>植物物种入侵和群落组成过程</w:t>
        </w:r>
      </w:hyperlink>
    </w:p>
    <w:p>
      <w:pPr>
        <w:spacing w:before="0" w:after="80"/>
      </w:pPr>
      <w:r>
        <w:rPr>
          <w:i/>
          <w:sz w:val="20"/>
        </w:rPr>
        <w:t>EN: Plant species invasions and community composition processes</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11">
        <w:r>
          <w:rPr>
            <w:color w:val="1155CC"/>
            <w:u w:val="single"/>
          </w:rPr>
          <w:t>10.1073/pnas.2614644123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 </w:t>
      </w:r>
      <w:hyperlink r:id="rId412">
        <w:r>
          <w:rPr>
            <w:color w:val="1155CC"/>
            <w:u w:val="single"/>
          </w:rPr>
          <w:t>修正 Sinclair 等人的预测错误会破坏海马表征并更新情景记忆</w:t>
        </w:r>
      </w:hyperlink>
    </w:p>
    <w:p>
      <w:pPr>
        <w:spacing w:before="0" w:after="80"/>
      </w:pPr>
      <w:r>
        <w:rPr>
          <w:i/>
          <w:sz w:val="20"/>
        </w:rPr>
        <w:t>EN: Correction for Sinclair et al., Prediction errors disrupt hippocampal representations and update episodic memories</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13">
        <w:r>
          <w:rPr>
            <w:color w:val="1155CC"/>
            <w:u w:val="single"/>
          </w:rPr>
          <w:t>10.1073/pnas.2618281123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 </w:t>
      </w:r>
      <w:hyperlink r:id="rId414">
        <w:r>
          <w:rPr>
            <w:color w:val="1155CC"/>
            <w:u w:val="single"/>
          </w:rPr>
          <w:t>Gu 等人的修正，线性片上谐振器中的双稳态随机动量传递</w:t>
        </w:r>
      </w:hyperlink>
    </w:p>
    <w:p>
      <w:pPr>
        <w:spacing w:before="0" w:after="80"/>
      </w:pPr>
      <w:r>
        <w:rPr>
          <w:i/>
          <w:sz w:val="20"/>
        </w:rPr>
        <w:t>EN: Correction for Gu et al., Bistable random momentum transfer in a linear on-chip resonator</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15">
        <w:r>
          <w:rPr>
            <w:color w:val="1155CC"/>
            <w:u w:val="single"/>
          </w:rPr>
          <w:t>10.1073/pnas.2618849123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 </w:t>
      </w:r>
      <w:hyperlink r:id="rId416">
        <w:r>
          <w:rPr>
            <w:color w:val="1155CC"/>
            <w:u w:val="single"/>
          </w:rPr>
          <w:t>Xie 等人的修正，DAB2IP 协调 PI3K-Akt 和 ASK1 通路以促进细胞存活和凋亡</w:t>
        </w:r>
      </w:hyperlink>
    </w:p>
    <w:p>
      <w:pPr>
        <w:spacing w:before="0" w:after="80"/>
      </w:pPr>
      <w:r>
        <w:rPr>
          <w:i/>
          <w:sz w:val="20"/>
        </w:rPr>
        <w:t>EN: Correction for Xie et al., DAB2IP coordinates both PI3K-Akt and ASK1 pathways for cell survival and apoptosis</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17">
        <w:r>
          <w:rPr>
            <w:color w:val="1155CC"/>
            <w:u w:val="single"/>
          </w:rPr>
          <w:t>10.1073/pnas.2619578123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 </w:t>
      </w:r>
      <w:hyperlink r:id="rId418">
        <w:r>
          <w:rPr>
            <w:color w:val="1155CC"/>
            <w:u w:val="single"/>
          </w:rPr>
          <w:t>对 Nunez 等人的更正，早期生命阶段的热弹性由气候相关的监管变化决定</w:t>
        </w:r>
      </w:hyperlink>
    </w:p>
    <w:p>
      <w:pPr>
        <w:spacing w:before="0" w:after="80"/>
      </w:pPr>
      <w:r>
        <w:rPr>
          <w:i/>
          <w:sz w:val="20"/>
        </w:rPr>
        <w:t>EN: Correction for Nunez et al., Early life-stage thermal resilience is determined by climate-linked regulatory variation</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19">
        <w:r>
          <w:rPr>
            <w:color w:val="1155CC"/>
            <w:u w:val="single"/>
          </w:rPr>
          <w:t>10.1073/pnas.2619935123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 </w:t>
      </w:r>
      <w:hyperlink r:id="rId420">
        <w:r>
          <w:rPr>
            <w:color w:val="1155CC"/>
            <w:u w:val="single"/>
          </w:rPr>
          <w:t>Magaña 等人的修正，并非所有肠道细胞昼夜节律振荡器都可以通过食物夹带</w:t>
        </w:r>
      </w:hyperlink>
    </w:p>
    <w:p>
      <w:pPr>
        <w:spacing w:before="0" w:after="80"/>
      </w:pPr>
      <w:r>
        <w:rPr>
          <w:i/>
          <w:sz w:val="20"/>
        </w:rPr>
        <w:t>EN: Correction for Magaña et al., Not all gut cellular circadian oscillators are food entrainable</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21">
        <w:r>
          <w:rPr>
            <w:color w:val="1155CC"/>
            <w:u w:val="single"/>
          </w:rPr>
          <w:t>10.1073/pnas.2620064123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 </w:t>
      </w:r>
      <w:hyperlink r:id="rId422">
        <w:r>
          <w:rPr>
            <w:color w:val="1155CC"/>
            <w:u w:val="single"/>
          </w:rPr>
          <w:t>瞬时孔解释了细胞穿透肽和同源蛋白易位</w:t>
        </w:r>
      </w:hyperlink>
    </w:p>
    <w:p>
      <w:pPr>
        <w:spacing w:before="0" w:after="80"/>
      </w:pPr>
      <w:r>
        <w:rPr>
          <w:i/>
          <w:sz w:val="20"/>
        </w:rPr>
        <w:t>EN: Transient pores account for cell-penetrating peptide and homeoprotein translocation</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23">
        <w:r>
          <w:rPr>
            <w:color w:val="1155CC"/>
            <w:u w:val="single"/>
          </w:rPr>
          <w:t>10.1073/pnas.2602649123</w:t>
        </w:r>
      </w:hyperlink>
    </w:p>
    <w:p>
      <w:pPr>
        <w:spacing w:before="0" w:after="120"/>
      </w:pPr>
      <w:r>
        <w:rPr>
          <w:b/>
        </w:rPr>
        <w:t xml:space="preserve">Notes: </w:t>
      </w:r>
      <w:r>
        <w:t>abstract_source=crossref</w:t>
      </w:r>
    </w:p>
    <w:p>
      <w:pPr>
        <w:spacing w:before="0" w:after="80" w:lineRule="auto" w:line="276"/>
      </w:pPr>
      <w:r>
        <w:rPr>
          <w:b/>
        </w:rPr>
        <w:t xml:space="preserve">摘要（ZH）: </w:t>
      </w:r>
      <w:r>
        <w:t>同源蛋白 (HP) 和细胞穿透肽 (CPP) 通过内吞作用和直接跨膜（易位）进入细胞。然而，与内吞作用不同，易位仍然是全球未知的。在这里，我们开发了一种电生理学方法来评估 CPP 的内化（Tat，R</w:t>
      </w:r>
      <w:r>
        <w:rPr>
          <w:vertAlign w:val="subscript"/>
        </w:rPr>
        <w:t>9</w:t>
      </w:r>
      <w:r>
        <w:t>、渗透素和R</w:t>
      </w:r>
      <w:r>
        <w:rPr>
          <w:vertAlign w:val="subscript"/>
        </w:rPr>
        <w:t>6</w:t>
      </w:r>
      <w:r>
        <w:t>瓦</w:t>
      </w:r>
      <w:r>
        <w:rPr>
          <w:vertAlign w:val="subscript"/>
        </w:rPr>
        <w:t>3</w:t>
      </w:r>
      <w:r>
        <w:t>）和 HPs Otx2 和 En2 通过哺乳动物细胞中的单细胞单一瞬态电流。在静息膜电位下，CPP 或 HP 会导致亚毫秒级瞬时孔，比任何内吞作用事件都要快，这揭示了肽快速穿过膜，即通过易位。我们证明，特定膜糖胺聚糖的表达对于易位诱导的瞬时孔是必需的。相关的瞬态电流因超极化而超线性增强，而受去极化的影响很小。此外，CPP 缀合的生物活性货物同样易位到细胞质中。最后，我们在大脑皮质锥体细胞中展示了类似的 HP 诱发的瞬时孔，显示了易位的生理相关性，对于细胞递送目的具有重要的生物技术和治疗后果。</w:t>
      </w:r>
    </w:p>
    <w:p>
      <w:pPr>
        <w:spacing w:before="0" w:after="200" w:lineRule="auto" w:line="276"/>
      </w:pPr>
      <w:r>
        <w:rPr>
          <w:b/>
        </w:rPr>
        <w:t xml:space="preserve">Abstract (EN): </w:t>
      </w:r>
      <w:r>
        <w:t>Homeoproteins (HPs) and cell-penetrating peptides (CPPs) enter cells by endocytosis and direct membrane crossing (translocation). However, unlike endocytosis, translocation remains globally unknown. Here, we developed an electrophysiological approach to assess the internalization of CPPs (Tat, R</w:t>
      </w:r>
      <w:r>
        <w:rPr>
          <w:vertAlign w:val="subscript"/>
        </w:rPr>
        <w:t>9</w:t>
      </w:r>
      <w:r>
        <w:t>, penetratin and R</w:t>
      </w:r>
      <w:r>
        <w:rPr>
          <w:vertAlign w:val="subscript"/>
        </w:rPr>
        <w:t>6</w:t>
      </w:r>
      <w:r>
        <w:t>W</w:t>
      </w:r>
      <w:r>
        <w:rPr>
          <w:vertAlign w:val="subscript"/>
        </w:rPr>
        <w:t>3</w:t>
      </w:r>
      <w:r>
        <w:t>) and the HPs Otx2 and En2 though single-cell unitary transient currents in mammalian cells. At resting membrane potential, CPPs or HPs lead to submillisecond transient pores, faster than any endocytosis event, which reveal the rapid passage of the peptide across the membrane i.e., by translocation. We evidenced that expression of specific membrane glycosaminoglycans is mandatory for translocation-induced transient pores. Associated transient currents are supralinearly enhanced by hyperpolarization and poorly affected by depolarization. Moreover, a CPP-conjugated bioactive cargo similarly translocates into cytosol. Finally, we show similar HPs-evoked transient pores in brain cortical pyramidal cells, showing the physiological relevance of translocation, with crucial biotechnological and therapeutical consequences for cell delivery purposes.</w:t>
      </w:r>
    </w:p>
    <w:p>
      <w:pPr>
        <w:spacing w:before="120" w:after="120"/>
      </w:pPr>
      <w:r>
        <w:rPr>
          <w:sz w:val="18"/>
        </w:rPr>
        <w:t>——————————————————————————————————————————————————————————————————————</w:t>
      </w:r>
    </w:p>
    <w:p>
      <w:pPr>
        <w:spacing w:before="160" w:after="40" w:line="240" w:lineRule="auto"/>
      </w:pPr>
      <w:r>
        <w:rPr>
          <w:b/>
        </w:rPr>
        <w:t xml:space="preserve">[82] </w:t>
      </w:r>
      <w:hyperlink r:id="rId424">
        <w:r>
          <w:rPr>
            <w:color w:val="1155CC"/>
            <w:u w:val="single"/>
          </w:rPr>
          <w:t>SLC11A2 抑制肠道上皮中沙门氏菌的二价金属</w:t>
        </w:r>
      </w:hyperlink>
    </w:p>
    <w:p>
      <w:pPr>
        <w:spacing w:before="0" w:after="80"/>
      </w:pPr>
      <w:r>
        <w:rPr>
          <w:i/>
          <w:sz w:val="20"/>
        </w:rPr>
        <w:t>EN: SLC11A2 withholds divalent metals from Salmonella in the gut epithelium</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25">
        <w:r>
          <w:rPr>
            <w:color w:val="1155CC"/>
            <w:u w:val="single"/>
          </w:rPr>
          <w:t>10.1073/pnas.2532675123</w:t>
        </w:r>
      </w:hyperlink>
    </w:p>
    <w:p>
      <w:pPr>
        <w:spacing w:before="0" w:after="120"/>
      </w:pPr>
      <w:r>
        <w:rPr>
          <w:b/>
        </w:rPr>
        <w:t xml:space="preserve">Notes: </w:t>
      </w:r>
      <w:r>
        <w:t>abstract_source=crossref</w:t>
      </w:r>
    </w:p>
    <w:p>
      <w:pPr>
        <w:spacing w:before="0" w:after="80" w:lineRule="auto" w:line="276"/>
      </w:pPr>
      <w:r>
        <w:rPr>
          <w:b/>
        </w:rPr>
        <w:t xml:space="preserve">摘要（ZH）: </w:t>
      </w:r>
      <w:r>
        <w:t>病原体与宿主界面上的过渡金属之间存在持续的拉锯战。脊椎动物宿主在一个称为营养免疫的过程中调节病原体对金属的可用性，但病原体已经进化出许多针对这种宿主防御策略的对策。因此，微量金属的生物利用度决定了疾病的结果。在哺乳动物中，肠道内壁上皮细胞是金属吸收的主要部位。肠上皮细胞（IEC）也是入侵肠道病原体的目标，但上皮内在因子对营养免疫的贡献尚不清楚。使用</w:t>
      </w:r>
      <w:r>
        <w:t xml:space="preserve"> </w:t>
      </w:r>
      <w:r>
        <w:t>肠沙门氏菌</w:t>
      </w:r>
      <w:r>
        <w:t xml:space="preserve"> </w:t>
      </w:r>
      <w:r>
        <w:t>鼠伤寒血清型（STm）含有针对过渡金属的基因编码荧光传感器，我们绘制了肠道沙门氏菌病期间金属竞争的时空性质。与充满金属的管腔相反，STm 的一个亚群经历了 Fe 的暂时的、细胞特异性的限制</w:t>
      </w:r>
      <w:r>
        <w:t xml:space="preserve"> </w:t>
      </w:r>
      <w:r>
        <w:t>2+</w:t>
      </w:r>
      <w:r>
        <w:t xml:space="preserve"> </w:t>
      </w:r>
      <w:r>
        <w:t>和锌</w:t>
      </w:r>
      <w:r>
        <w:t xml:space="preserve"> </w:t>
      </w:r>
      <w:r>
        <w:t>2+</w:t>
      </w:r>
      <w:r>
        <w:t xml:space="preserve"> </w:t>
      </w:r>
      <w:r>
        <w:t>(≤0.1 µM)，可能还有 Mn</w:t>
      </w:r>
      <w:r>
        <w:t xml:space="preserve"> </w:t>
      </w:r>
      <w:r>
        <w:t>2+</w:t>
      </w:r>
      <w:r>
        <w:t xml:space="preserve"> </w:t>
      </w:r>
      <w:r>
        <w:t>，在感染早期阶段的 IEC 和固有层细胞中。我们进一步研究了 IEC 中广泛特异性二价金属转运蛋白 SLC11A2 对 STm 营养免疫的贡献。 SLC11A2被招募至成熟</w:t>
      </w:r>
      <w:r>
        <w:t xml:space="preserve"> </w:t>
      </w:r>
      <w:r>
        <w:t>沙门氏菌</w:t>
      </w:r>
      <w:r>
        <w:t xml:space="preserve"> </w:t>
      </w:r>
      <w:r>
        <w:t>-含有空泡和敲除</w:t>
      </w:r>
    </w:p>
    <w:p>
      <w:pPr>
        <w:spacing w:before="0" w:after="200" w:lineRule="auto" w:line="276"/>
      </w:pPr>
      <w:r>
        <w:rPr>
          <w:b/>
        </w:rPr>
        <w:t xml:space="preserve">Abstract (EN): </w:t>
      </w:r>
      <w:r>
        <w:t>There is a constant tug-of-war for transition metals at the pathogen–host interface. Vertebrate hosts modulate the availability of metals to pathogens in a process known as nutritional immunity, but pathogens have evolved numerous countermeasures to this host defense strategy. The bioavailability of trace metals therefore shapes the outcome of disease. In mammals, epithelial cells lining the intestine are a major site of metal absorption. Intestinal epithelial cells (IECs) are also a target for invading enteric pathogens but the contribution of epithelium-intrinsic factors toward nutritional immunity is unclear. Using</w:t>
      </w:r>
      <w:r>
        <w:t xml:space="preserve"> </w:t>
      </w:r>
      <w:r>
        <w:t>Salmonella enterica</w:t>
      </w:r>
      <w:r>
        <w:t xml:space="preserve"> </w:t>
      </w:r>
      <w:r>
        <w:t>serovar Typhimurium (STm) harboring genetically encoded fluorescent sensors for transition metals, we mapped the spatiotemporal nature of metal competition during enteric salmonellosis. In contrast to the metal replete lumen, a subpopulation of STm experience a temporal, cell-specific restriction of Fe</w:t>
      </w:r>
      <w:r>
        <w:t xml:space="preserve"> </w:t>
      </w:r>
      <w:r>
        <w:t>2+</w:t>
      </w:r>
      <w:r>
        <w:t xml:space="preserve"> </w:t>
      </w:r>
      <w:r>
        <w:t>and Zn</w:t>
      </w:r>
      <w:r>
        <w:t xml:space="preserve"> </w:t>
      </w:r>
      <w:r>
        <w:t>2+</w:t>
      </w:r>
      <w:r>
        <w:t xml:space="preserve"> </w:t>
      </w:r>
      <w:r>
        <w:t>(≤0.1 µM), and possibly Mn</w:t>
      </w:r>
      <w:r>
        <w:t xml:space="preserve"> </w:t>
      </w:r>
      <w:r>
        <w:t>2+</w:t>
      </w:r>
      <w:r>
        <w:t xml:space="preserve"> </w:t>
      </w:r>
      <w:r>
        <w:t>, in both IECs and cells of the lamina propria during the early stages of infection. We further studied the contribution of the broad specificity divalent metal transporter, SLC11A2, in IECs to nutritional immunity against STm. SLC11A2 was recruited to maturing</w:t>
      </w:r>
      <w:r>
        <w:t xml:space="preserve"> </w:t>
      </w:r>
      <w:r>
        <w:t>Salmonella</w:t>
      </w:r>
      <w:r>
        <w:t xml:space="preserve"> </w:t>
      </w:r>
      <w:r>
        <w:t>-containing vacuoles and knockout of</w:t>
      </w:r>
      <w:r>
        <w:t xml:space="preserve"> </w:t>
      </w:r>
      <w:r>
        <w:t>SLC11A2</w:t>
      </w:r>
      <w:r>
        <w:t xml:space="preserve"> </w:t>
      </w:r>
      <w:r>
        <w:t>led to increased bacterial proliferation in IECs. Metal-responsive fluorescent reporters showed that vacuolar STm were less starved for Fe</w:t>
      </w:r>
      <w:r>
        <w:t xml:space="preserve"> </w:t>
      </w:r>
      <w:r>
        <w:t>2+</w:t>
      </w:r>
      <w:r>
        <w:t xml:space="preserve"> </w:t>
      </w:r>
      <w:r>
        <w:t>, and possibly Mn</w:t>
      </w:r>
      <w:r>
        <w:t xml:space="preserve"> </w:t>
      </w:r>
      <w:r>
        <w:t>2+</w:t>
      </w:r>
      <w:r>
        <w:t xml:space="preserve"> </w:t>
      </w:r>
      <w:r>
        <w:t>, but not Zn</w:t>
      </w:r>
      <w:r>
        <w:t xml:space="preserve"> </w:t>
      </w:r>
      <w:r>
        <w:t>2+</w:t>
      </w:r>
      <w:r>
        <w:t xml:space="preserve"> </w:t>
      </w:r>
      <w:r>
        <w:t>or Mg</w:t>
      </w:r>
      <w:r>
        <w:t xml:space="preserve"> </w:t>
      </w:r>
      <w:r>
        <w:t>2+</w:t>
      </w:r>
      <w:r>
        <w:t xml:space="preserve"> </w:t>
      </w:r>
      <w:r>
        <w:t>in the absence of</w:t>
      </w:r>
      <w:r>
        <w:t xml:space="preserve"> </w:t>
      </w:r>
      <w:r>
        <w:t>SLC11A2</w:t>
      </w:r>
      <w:r>
        <w:t xml:space="preserve"> </w:t>
      </w:r>
      <w:r>
        <w:t>. STm counters SLC11A2-mediated growth restriction in IECs via the Mn</w:t>
      </w:r>
      <w:r>
        <w:t xml:space="preserve"> </w:t>
      </w:r>
      <w:r>
        <w:t>2+</w:t>
      </w:r>
      <w:r>
        <w:t xml:space="preserve"> </w:t>
      </w:r>
      <w:r>
        <w:t>/Fe</w:t>
      </w:r>
      <w:r>
        <w:t xml:space="preserve"> </w:t>
      </w:r>
      <w:r>
        <w:t>2+</w:t>
      </w:r>
      <w:r>
        <w:t xml:space="preserve"> </w:t>
      </w:r>
      <w:r>
        <w:t>transporter, MntH, and iron-binding siderophores. We conclude that SLC11A2-mediated sequestration of a subset of metals is an IEC innate defense mechanism against STm.</w:t>
      </w:r>
    </w:p>
    <w:p>
      <w:pPr>
        <w:spacing w:before="120" w:after="120"/>
      </w:pPr>
      <w:r>
        <w:rPr>
          <w:sz w:val="18"/>
        </w:rPr>
        <w:t>——————————————————————————————————————————————————————————————————————</w:t>
      </w:r>
    </w:p>
    <w:p>
      <w:pPr>
        <w:spacing w:before="160" w:after="40" w:line="240" w:lineRule="auto"/>
      </w:pPr>
      <w:r>
        <w:rPr>
          <w:b/>
        </w:rPr>
        <w:t xml:space="preserve">[83] </w:t>
      </w:r>
      <w:hyperlink r:id="rId426">
        <w:r>
          <w:rPr>
            <w:color w:val="1155CC"/>
            <w:u w:val="single"/>
          </w:rPr>
          <w:t>受体激酶复合物改善拟南芥形成层活性</w:t>
        </w:r>
      </w:hyperlink>
    </w:p>
    <w:p>
      <w:pPr>
        <w:spacing w:before="0" w:after="80"/>
      </w:pPr>
      <w:r>
        <w:rPr>
          <w:i/>
          <w:sz w:val="20"/>
        </w:rPr>
        <w:t>EN: A receptor kinase complex refines cambium activity in Arabidopsis</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27">
        <w:r>
          <w:rPr>
            <w:color w:val="1155CC"/>
            <w:u w:val="single"/>
          </w:rPr>
          <w:t>10.1073/pnas.2532481123</w:t>
        </w:r>
      </w:hyperlink>
    </w:p>
    <w:p>
      <w:pPr>
        <w:spacing w:before="0" w:after="120"/>
      </w:pPr>
      <w:r>
        <w:rPr>
          <w:b/>
        </w:rPr>
        <w:t xml:space="preserve">Notes: </w:t>
      </w:r>
      <w:r>
        <w:t>abstract_source=crossref</w:t>
      </w:r>
    </w:p>
    <w:p>
      <w:pPr>
        <w:spacing w:before="0" w:after="80" w:lineRule="auto" w:line="276"/>
      </w:pPr>
      <w:r>
        <w:rPr>
          <w:b/>
        </w:rPr>
        <w:t xml:space="preserve">摘要（ZH）: </w:t>
      </w:r>
      <w:r>
        <w:t>在植物发育中，受体激酶通常在不同的细胞类型中活跃，每种细胞类型需要截然不同的信号输出。 ERECTA (ER) 受体激酶及其同源物 Electa-Like1 (ERL1) 和 ERL2 例证了这种多效性。在</w:t>
      </w:r>
      <w:r>
        <w:t xml:space="preserve"> </w:t>
      </w:r>
      <w:r>
        <w:t>拟南芥</w:t>
      </w:r>
      <w:r>
        <w:t xml:space="preserve"> </w:t>
      </w:r>
      <w:r>
        <w:t>，它们影响气孔图案、芽分生组织功能和维管形成层活动等功能。如此多样化的功能提出了一个问题：内质网信号传导如何指定不同的细胞行为。一种关键机制是通过与辅助受体、配体或其他调节信号传导的蛋白质的细胞类型特异性相互作用而发生的。然而，人们对维管形成层中的内质网相互作用者知之甚少，维管形成层是一种产生韧皮部和木质部的双面干细胞生态位。之间的组合突变</w:t>
      </w:r>
      <w:r>
        <w:t xml:space="preserve"> </w:t>
      </w:r>
      <w:r>
        <w:t>急诊室</w:t>
      </w:r>
      <w:r>
        <w:t xml:space="preserve"> </w:t>
      </w:r>
      <w:r>
        <w:t>,</w:t>
      </w:r>
      <w:r>
        <w:t xml:space="preserve"> </w:t>
      </w:r>
      <w:r>
        <w:t>ERL1,</w:t>
      </w:r>
      <w:r>
        <w:t xml:space="preserve"> </w:t>
      </w:r>
      <w:r>
        <w:t>和</w:t>
      </w:r>
      <w:r>
        <w:t xml:space="preserve"> </w:t>
      </w:r>
      <w:r>
        <w:t>ERL2</w:t>
      </w:r>
      <w:r>
        <w:t xml:space="preserve"> </w:t>
      </w:r>
      <w:r>
        <w:t>和第二个家族的受体激酶，韧皮部插入木质部（</w:t>
      </w:r>
      <w:r>
        <w:t xml:space="preserve"> </w:t>
      </w:r>
      <w:r>
        <w:t>PXY）</w:t>
      </w:r>
      <w:r>
        <w:t xml:space="preserve"> </w:t>
      </w:r>
      <w:r>
        <w:t>,</w:t>
      </w:r>
      <w:r>
        <w:t xml:space="preserve"> </w:t>
      </w:r>
      <w:r>
        <w:t>PXY-LIKE1</w:t>
      </w:r>
      <w:r>
        <w:t xml:space="preserve"> </w:t>
      </w:r>
      <w:r>
        <w:t>（</w:t>
      </w:r>
      <w:r>
        <w:t xml:space="preserve"> </w:t>
      </w:r>
      <w:r>
        <w:t>PXL1)</w:t>
      </w:r>
      <w:r>
        <w:t xml:space="preserve"> </w:t>
      </w:r>
      <w:r>
        <w:t>, 和</w:t>
      </w:r>
      <w:r>
        <w:t xml:space="preserve"> </w:t>
      </w:r>
      <w:r>
        <w:t>PXL2</w:t>
      </w:r>
      <w:r>
        <w:t xml:space="preserve"> </w:t>
      </w:r>
      <w:r>
        <w:t>，显示出严重的形成层缺陷，但支撑这些表型的机制尚不清楚。在这里，我们证明 PXY 和 PXL 蛋白与 ER 家族成员形成蛋白复合物。在遗传分析中，PXY 信号传导持续活跃的植物品系具有显着的表型变化，需要 ER 或 ERL2 的存在。我们的结果表明 PXY 信号传导</w:t>
      </w:r>
    </w:p>
    <w:p>
      <w:pPr>
        <w:spacing w:before="0" w:after="200" w:lineRule="auto" w:line="276"/>
      </w:pPr>
      <w:r>
        <w:rPr>
          <w:b/>
        </w:rPr>
        <w:t xml:space="preserve">Abstract (EN): </w:t>
      </w:r>
      <w:r>
        <w:t>In plant development, receptor kinases are often active in disparate cell types, with each requiring vastly different signaling outputs. The ERECTA (ER) receptor kinase and its homologs Erecta-Like1 (ERL1) and ERL2 exemplify this pleiotropy. In</w:t>
      </w:r>
      <w:r>
        <w:t xml:space="preserve"> </w:t>
      </w:r>
      <w:r>
        <w:t>Arabidopsis</w:t>
      </w:r>
      <w:r>
        <w:t xml:space="preserve"> </w:t>
      </w:r>
      <w:r>
        <w:t>, they influence stomatal patterning, shoot meristem function, and vascular cambium activity, among other functions. Such diverse functionality raises the question of how ER signaling can specify distinct cell behaviors. One key mechanism occurs via cell-type specific interactions with coreceptors, ligands, or other proteins that modulate signaling. However, little is known about ER interactors in the vascular cambium, a bifacial stem cell niche that generates phloem and xylem. Combinatorial mutations between</w:t>
      </w:r>
      <w:r>
        <w:t xml:space="preserve"> </w:t>
      </w:r>
      <w:r>
        <w:t>ER</w:t>
      </w:r>
      <w:r>
        <w:t xml:space="preserve"> </w:t>
      </w:r>
      <w:r>
        <w:t>,</w:t>
      </w:r>
      <w:r>
        <w:t xml:space="preserve"> </w:t>
      </w:r>
      <w:r>
        <w:t>ERL1,</w:t>
      </w:r>
      <w:r>
        <w:t xml:space="preserve"> </w:t>
      </w:r>
      <w:r>
        <w:t>and</w:t>
      </w:r>
      <w:r>
        <w:t xml:space="preserve"> </w:t>
      </w:r>
      <w:r>
        <w:t>ERL2</w:t>
      </w:r>
      <w:r>
        <w:t xml:space="preserve"> </w:t>
      </w:r>
      <w:r>
        <w:t>and receptor kinases of a second family, Phloem Intercalated with Xylem (</w:t>
      </w:r>
      <w:r>
        <w:t xml:space="preserve"> </w:t>
      </w:r>
      <w:r>
        <w:t>PXY)</w:t>
      </w:r>
      <w:r>
        <w:t xml:space="preserve"> </w:t>
      </w:r>
      <w:r>
        <w:t>,</w:t>
      </w:r>
      <w:r>
        <w:t xml:space="preserve"> </w:t>
      </w:r>
      <w:r>
        <w:t>PXY-LIKE1</w:t>
      </w:r>
      <w:r>
        <w:t xml:space="preserve"> </w:t>
      </w:r>
      <w:r>
        <w:t>(</w:t>
      </w:r>
      <w:r>
        <w:t xml:space="preserve"> </w:t>
      </w:r>
      <w:r>
        <w:t>PXL1)</w:t>
      </w:r>
      <w:r>
        <w:t xml:space="preserve"> </w:t>
      </w:r>
      <w:r>
        <w:t>, and</w:t>
      </w:r>
      <w:r>
        <w:t xml:space="preserve"> </w:t>
      </w:r>
      <w:r>
        <w:t>PXL2</w:t>
      </w:r>
      <w:r>
        <w:t xml:space="preserve"> </w:t>
      </w:r>
      <w:r>
        <w:t>, show severe cambial defects, but the mechanism underpinning these phenotypes is not known. Here, we show that PXY and PXL proteins form protein complexes with ER family members. In genetic analyses, plant lines in which PXY signaling was constitutively active had dramatic phenotypic changes that required the presence of ER or ERL2. Our results demonstrate that PXY signaling mediated cambium regulation in part depends on ER signaling and explains ER function in the cambium. Because the cambium produces xylem, which constitutes the wood in vascular plants, our findings position PXY–ER complexes at the center of the accumulation of this versatile biomaterial and essential carbon sink.</w:t>
      </w:r>
    </w:p>
    <w:p>
      <w:pPr>
        <w:spacing w:before="120" w:after="120"/>
      </w:pPr>
      <w:r>
        <w:rPr>
          <w:sz w:val="18"/>
        </w:rPr>
        <w:t>——————————————————————————————————————————————————————————————————————</w:t>
      </w:r>
    </w:p>
    <w:p>
      <w:pPr>
        <w:spacing w:before="160" w:after="40" w:line="240" w:lineRule="auto"/>
      </w:pPr>
      <w:r>
        <w:rPr>
          <w:b/>
        </w:rPr>
        <w:t xml:space="preserve">[84] </w:t>
      </w:r>
      <w:hyperlink r:id="rId428">
        <w:r>
          <w:rPr>
            <w:color w:val="1155CC"/>
            <w:u w:val="single"/>
          </w:rPr>
          <w:t>非基因工程纳米酶邻近标记揭示了亚细胞原位相互作用组和纳米颗粒的运输途径</w:t>
        </w:r>
      </w:hyperlink>
    </w:p>
    <w:p>
      <w:pPr>
        <w:spacing w:before="0" w:after="80"/>
      </w:pPr>
      <w:r>
        <w:rPr>
          <w:i/>
          <w:sz w:val="20"/>
        </w:rPr>
        <w:t>EN: Nongenetic engineering nanozyme proximity labeling reveals subcellular in situ interactomes and trafficking pathways of nanoparticles</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29">
        <w:r>
          <w:rPr>
            <w:color w:val="1155CC"/>
            <w:u w:val="single"/>
          </w:rPr>
          <w:t>10.1073/pnas.2521555123</w:t>
        </w:r>
      </w:hyperlink>
    </w:p>
    <w:p>
      <w:pPr>
        <w:spacing w:before="0" w:after="120"/>
      </w:pPr>
      <w:r>
        <w:rPr>
          <w:b/>
        </w:rPr>
        <w:t xml:space="preserve">Notes: </w:t>
      </w:r>
      <w:r>
        <w:t>abstract_source=crossref</w:t>
      </w:r>
    </w:p>
    <w:p>
      <w:pPr>
        <w:spacing w:before="0" w:after="80" w:lineRule="auto" w:line="276"/>
      </w:pPr>
      <w:r>
        <w:rPr>
          <w:b/>
        </w:rPr>
        <w:t xml:space="preserve">摘要（ZH）: </w:t>
      </w:r>
      <w:r>
        <w:t>阐明纳米载体和细胞机器之间的动态相互作用对于推进靶向纳米医学至关重要。然而，光学显微镜成像技术只能提供纳米医学定位的概括视图。蛋白质组学方法需要细胞裂解，这会在分离过程中破坏天然蛋白质冠，从而模糊实时细胞内运输机制。尽管邻近标记能够对细胞内蛋白质-蛋白质相互作用进行原位研究，但它依赖于基因工程酶融合，从而限制了跨不同系统的适用性。在这项研究中，我们报告了纳米酶邻近标记（NPL），这是一种利用 Fe 固有过氧化物酶活性的无基因工程策略</w:t>
      </w:r>
      <w:r>
        <w:rPr>
          <w:vertAlign w:val="subscript"/>
        </w:rPr>
        <w:t>3</w:t>
      </w:r>
      <w:r>
        <w:t>氧</w:t>
      </w:r>
      <w:r>
        <w:rPr>
          <w:vertAlign w:val="subscript"/>
        </w:rPr>
        <w:t>4</w:t>
      </w:r>
      <w:r>
        <w:t>纳米粒子（NP）对活细胞内的近端蛋白质进行生物素化。 NPL 在细胞内运输过程中实现 NP 相互作用蛋白的快速生物素化。使用链霉亲和素 Pulldown 和 LC-MS/MS，我们绘制了高保真原位相互作用组图，并提出了线粒体靶向 Fe 的不同运输途径</w:t>
      </w:r>
      <w:r>
        <w:rPr>
          <w:vertAlign w:val="subscript"/>
        </w:rPr>
        <w:t>3</w:t>
      </w:r>
      <w:r>
        <w:t>氧</w:t>
      </w:r>
      <w:r>
        <w:rPr>
          <w:vertAlign w:val="subscript"/>
        </w:rPr>
        <w:t>4</w:t>
      </w:r>
      <w:r>
        <w:t>@TPP NP 和非靶向 Fe</w:t>
      </w:r>
      <w:r>
        <w:rPr>
          <w:vertAlign w:val="subscript"/>
        </w:rPr>
        <w:t>3</w:t>
      </w:r>
      <w:r>
        <w:t>氧</w:t>
      </w:r>
      <w:r>
        <w:rPr>
          <w:vertAlign w:val="subscript"/>
        </w:rPr>
        <w:t>4</w:t>
      </w:r>
      <w:r>
        <w:t>NP。我们的 NPL 探究了天然 NP-蛋白冠-细胞器界面，提供了一个通用平台来破译亚细胞靶向机制并加速纳米医学优化。</w:t>
      </w:r>
    </w:p>
    <w:p>
      <w:pPr>
        <w:spacing w:before="0" w:after="200" w:lineRule="auto" w:line="276"/>
      </w:pPr>
      <w:r>
        <w:rPr>
          <w:b/>
        </w:rPr>
        <w:t xml:space="preserve">Abstract (EN): </w:t>
      </w:r>
      <w:r>
        <w:t>Elucidating the dynamic interactions between nanocarriers and cellular machinery is critical for advancing targeted nanomedicine. However, the optical microscopy imaging techniques can only provide a generalized view of nanomedicine localization. Proteomics approaches require cell lysis which disrupt native protein coronas during isolation, obscuring real-time intracellular trafficking mechanisms. Although proximity labeling enables in situ investigation of intracellular protein–protein interactions, it relies on genetically engineered enzyme fusion, thus limiting applicability across diverse systems. In this study, we report nanozyme proximity labeling (NPL), a genetic engineering-free strategy that harnesses the intrinsic peroxidase activity of Fe</w:t>
      </w:r>
      <w:r>
        <w:rPr>
          <w:vertAlign w:val="subscript"/>
        </w:rPr>
        <w:t>3</w:t>
      </w:r>
      <w:r>
        <w:t>O</w:t>
      </w:r>
      <w:r>
        <w:rPr>
          <w:vertAlign w:val="subscript"/>
        </w:rPr>
        <w:t>4</w:t>
      </w:r>
      <w:r>
        <w:t>nanoparticles (NPs) to biotinylate proximal proteins within live cells. NPL achieves rapid biotinylation of NP-interacting proteins during intracellular transit. Using streptavidin pulldown and LC–MS/MS, we mapped high-fidelity in situ interactomes and suggested distinct trafficking pathways for mitochondrial-targeted Fe</w:t>
      </w:r>
      <w:r>
        <w:rPr>
          <w:vertAlign w:val="subscript"/>
        </w:rPr>
        <w:t>3</w:t>
      </w:r>
      <w:r>
        <w:t>O</w:t>
      </w:r>
      <w:r>
        <w:rPr>
          <w:vertAlign w:val="subscript"/>
        </w:rPr>
        <w:t>4</w:t>
      </w:r>
      <w:r>
        <w:t>@TPP NPs and nontargeted Fe</w:t>
      </w:r>
      <w:r>
        <w:rPr>
          <w:vertAlign w:val="subscript"/>
        </w:rPr>
        <w:t>3</w:t>
      </w:r>
      <w:r>
        <w:t>O</w:t>
      </w:r>
      <w:r>
        <w:rPr>
          <w:vertAlign w:val="subscript"/>
        </w:rPr>
        <w:t>4</w:t>
      </w:r>
      <w:r>
        <w:t>NPs. Our NPL interrogates the native NP–protein corona–organelle interfaces, offering a generalizable platform to decipher subcellular targeting mechanisms and accelerate nanomedicine optimization.</w:t>
      </w:r>
    </w:p>
    <w:p>
      <w:pPr>
        <w:spacing w:before="120" w:after="120"/>
      </w:pPr>
      <w:r>
        <w:rPr>
          <w:sz w:val="18"/>
        </w:rPr>
        <w:t>——————————————————————————————————————————————————————————————————————</w:t>
      </w:r>
    </w:p>
    <w:p>
      <w:pPr>
        <w:spacing w:before="160" w:after="40" w:line="240" w:lineRule="auto"/>
      </w:pPr>
      <w:r>
        <w:rPr>
          <w:b/>
        </w:rPr>
        <w:t xml:space="preserve">[85] </w:t>
      </w:r>
      <w:hyperlink r:id="rId430">
        <w:r>
          <w:rPr>
            <w:color w:val="1155CC"/>
            <w:u w:val="single"/>
          </w:rPr>
          <w:t>从分子马达到染色体结构</w:t>
        </w:r>
      </w:hyperlink>
    </w:p>
    <w:p>
      <w:pPr>
        <w:spacing w:before="0" w:after="80"/>
      </w:pPr>
      <w:r>
        <w:rPr>
          <w:i/>
          <w:sz w:val="20"/>
        </w:rPr>
        <w:t>EN: From molecular motors to chromosome architecture</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31">
        <w:r>
          <w:rPr>
            <w:color w:val="1155CC"/>
            <w:u w:val="single"/>
          </w:rPr>
          <w:t>10.1073/pnas.2616706123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[86] </w:t>
      </w:r>
      <w:hyperlink r:id="rId432">
        <w:r>
          <w:rPr>
            <w:color w:val="1155CC"/>
            <w:u w:val="single"/>
          </w:rPr>
          <w:t>古人类体型进化的竞争模型</w:t>
        </w:r>
      </w:hyperlink>
    </w:p>
    <w:p>
      <w:pPr>
        <w:spacing w:before="0" w:after="80"/>
      </w:pPr>
      <w:r>
        <w:rPr>
          <w:i/>
          <w:sz w:val="20"/>
        </w:rPr>
        <w:t>EN: Competing models of hominin body size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33">
        <w:r>
          <w:rPr>
            <w:color w:val="1155CC"/>
            <w:u w:val="single"/>
          </w:rPr>
          <w:t>10.1073/pnas.2521732123</w:t>
        </w:r>
      </w:hyperlink>
    </w:p>
    <w:p>
      <w:pPr>
        <w:spacing w:before="0" w:after="120"/>
      </w:pPr>
      <w:r>
        <w:rPr>
          <w:b/>
        </w:rPr>
        <w:t xml:space="preserve">Notes: </w:t>
      </w:r>
      <w:r>
        <w:t>abstract_source=crossref</w:t>
      </w:r>
    </w:p>
    <w:p>
      <w:pPr>
        <w:spacing w:before="0" w:after="80" w:lineRule="auto" w:line="276"/>
      </w:pPr>
      <w:r>
        <w:rPr>
          <w:b/>
        </w:rPr>
        <w:t xml:space="preserve">摘要（ZH）: </w:t>
      </w:r>
      <w:r>
        <w:t>古人类体型的进化轨迹仍然存在争议，之前的研究表明，体型是逐渐增加或谱系特异性的变化。在这里，我们将贝叶斯系统发育广义线性混合模型应用于 21 个分类群的 386 个样本的数据集，并找到了非非非人类体重显着增加的有力证据。</w:t>
      </w:r>
      <w:r>
        <w:t xml:space="preserve"> </w:t>
      </w:r>
      <w:r>
        <w:t>能人</w:t>
      </w:r>
      <w:r>
        <w:t xml:space="preserve"> </w:t>
      </w:r>
      <w:r>
        <w:t>或后来发生的</w:t>
      </w:r>
      <w:r>
        <w:t xml:space="preserve"> </w:t>
      </w:r>
      <w:r>
        <w:t>人属</w:t>
      </w:r>
      <w:r>
        <w:t xml:space="preserve"> </w:t>
      </w:r>
      <w:r>
        <w:t>，随着时间的推移，适度支持总体增长。与一些现有的假设相反，我们发现对所有样本的大小明显增加的支持较少。</w:t>
      </w:r>
      <w:r>
        <w:t xml:space="preserve"> </w:t>
      </w:r>
      <w:r>
        <w:t>人属</w:t>
      </w:r>
      <w:r>
        <w:t xml:space="preserve"> </w:t>
      </w:r>
      <w:r>
        <w:t>。通过考虑系统发育的非独立性、种内变异和不确定性的多种来源，我们的分析在单一框架中检验了相互竞争的观点，支持对古人类体型进化的更复杂的解释，并澄清了人类体型进化的关键转变。</w:t>
      </w:r>
      <w:r>
        <w:t xml:space="preserve"> </w:t>
      </w:r>
      <w:r>
        <w:t>人属</w:t>
      </w:r>
      <w:r>
        <w:t xml:space="preserve"> </w:t>
      </w:r>
      <w:r>
        <w:t>。</w:t>
      </w:r>
    </w:p>
    <w:p>
      <w:pPr>
        <w:spacing w:before="0" w:after="200" w:lineRule="auto" w:line="276"/>
      </w:pPr>
      <w:r>
        <w:rPr>
          <w:b/>
        </w:rPr>
        <w:t xml:space="preserve">Abstract (EN): </w:t>
      </w:r>
      <w:r>
        <w:t>The evolutionary trajectory of hominin body size remains contested, with prior studies suggesting a gradual increase or lineage-specific shifts. Here, we apply Bayesian phylogenetic generalized linear mixed models to a dataset of 386 specimens across 21 taxa and find strong evidence for a marked body mass increase in non-</w:t>
      </w:r>
      <w:r>
        <w:t>habilis</w:t>
      </w:r>
      <w:r>
        <w:t xml:space="preserve"> </w:t>
      </w:r>
      <w:r>
        <w:t>or later-occurring</w:t>
      </w:r>
      <w:r>
        <w:t xml:space="preserve"> </w:t>
      </w:r>
      <w:r>
        <w:t>Homo</w:t>
      </w:r>
      <w:r>
        <w:t xml:space="preserve"> </w:t>
      </w:r>
      <w:r>
        <w:t>, with moderate support for a general increase over time. Contrary to some existing hypotheses, we find less support for a distinct size increase across all</w:t>
      </w:r>
      <w:r>
        <w:t xml:space="preserve"> </w:t>
      </w:r>
      <w:r>
        <w:t>Homo</w:t>
      </w:r>
      <w:r>
        <w:t xml:space="preserve"> </w:t>
      </w:r>
      <w:r>
        <w:t>. By accounting for phylogenetic nonindependence, intraspecific variation, and multiple sources of uncertainty, our analysis examines competing views in a single framework, supporting a more complex explanation for hominin body size evolution and clarifying key transitions in</w:t>
      </w:r>
      <w:r>
        <w:t xml:space="preserve"> </w:t>
      </w:r>
      <w:r>
        <w:t>Homo</w:t>
      </w:r>
      <w:r>
        <w:t xml:space="preserve"> </w:t>
      </w:r>
      <w:r>
        <w:t>.</w:t>
      </w:r>
    </w:p>
    <w:p>
      <w:pPr>
        <w:spacing w:before="120" w:after="120"/>
      </w:pPr>
      <w:r>
        <w:rPr>
          <w:sz w:val="18"/>
        </w:rPr>
        <w:t>——————————————————————————————————————————————————————————————————————</w:t>
      </w:r>
    </w:p>
    <w:p>
      <w:pPr>
        <w:spacing w:before="160" w:after="40" w:line="240" w:lineRule="auto"/>
      </w:pPr>
      <w:r>
        <w:rPr>
          <w:b/>
        </w:rPr>
        <w:t xml:space="preserve">[87] </w:t>
      </w:r>
      <w:hyperlink r:id="rId434">
        <w:r>
          <w:rPr>
            <w:color w:val="1155CC"/>
            <w:u w:val="single"/>
          </w:rPr>
          <w:t>用人类海马体模拟自身免疫性脑炎</w:t>
        </w:r>
      </w:hyperlink>
    </w:p>
    <w:p>
      <w:pPr>
        <w:spacing w:before="0" w:after="80"/>
      </w:pPr>
      <w:r>
        <w:rPr>
          <w:i/>
          <w:sz w:val="20"/>
        </w:rPr>
        <w:t>EN: Modeling autoimmune encephalitis with the human hippocampus</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35">
        <w:r>
          <w:rPr>
            <w:color w:val="1155CC"/>
            <w:u w:val="single"/>
          </w:rPr>
          <w:t>10.1073/pnas.2615542123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[88] </w:t>
      </w:r>
      <w:hyperlink r:id="rId436">
        <w:r>
          <w:rPr>
            <w:color w:val="1155CC"/>
            <w:u w:val="single"/>
          </w:rPr>
          <w:t>质膜上 ROS 信号的纳米级调控可调节植物对渗透胁迫的反应</w:t>
        </w:r>
      </w:hyperlink>
    </w:p>
    <w:p>
      <w:pPr>
        <w:spacing w:before="0" w:after="80"/>
      </w:pPr>
      <w:r>
        <w:rPr>
          <w:i/>
          <w:sz w:val="20"/>
        </w:rPr>
        <w:t>EN: Nanoscale regulation of ROS signaling at the plasma membrane tunes the plant response to osmotic stress</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37">
        <w:r>
          <w:rPr>
            <w:color w:val="1155CC"/>
            <w:u w:val="single"/>
          </w:rPr>
          <w:t>10.1073/pnas.2529740123</w:t>
        </w:r>
      </w:hyperlink>
    </w:p>
    <w:p>
      <w:pPr>
        <w:spacing w:before="0" w:after="120"/>
      </w:pPr>
      <w:r>
        <w:rPr>
          <w:b/>
        </w:rPr>
        <w:t xml:space="preserve">Notes: </w:t>
      </w:r>
      <w:r>
        <w:t>abstract_source=crossref</w:t>
      </w:r>
    </w:p>
    <w:p>
      <w:pPr>
        <w:spacing w:before="0" w:after="80" w:lineRule="auto" w:line="276"/>
      </w:pPr>
      <w:r>
        <w:rPr>
          <w:b/>
        </w:rPr>
        <w:t xml:space="preserve">摘要（ZH）: </w:t>
      </w:r>
      <w:r>
        <w:t>膜内蛋白质和脂质的时空组织对于确保正确的细胞信号传导至关重要。虽然蛋白质和脂质在膜纳米域中的分离已经得到很好的证实，但仍不清楚纳米域是否可以产生小可扩散分子的梯度。在植物中，活性氧 (ROS)，尤其是过氧化氢 (H</w:t>
      </w:r>
      <w:r>
        <w:rPr>
          <w:vertAlign w:val="subscript"/>
        </w:rPr>
        <w:t>2</w:t>
      </w:r>
      <w:r>
        <w:t>氧</w:t>
      </w:r>
      <w:r>
        <w:rPr>
          <w:vertAlign w:val="subscript"/>
        </w:rPr>
        <w:t>2</w:t>
      </w:r>
      <w:r>
        <w:t>），作为响应渗透压等环境刺激的关键信号分子。然而，细胞外H如何</w:t>
      </w:r>
      <w:r>
        <w:rPr>
          <w:vertAlign w:val="subscript"/>
        </w:rPr>
        <w:t>2</w:t>
      </w:r>
      <w:r>
        <w:t>氧</w:t>
      </w:r>
      <w:r>
        <w:rPr>
          <w:vertAlign w:val="subscript"/>
        </w:rPr>
        <w:t>2</w:t>
      </w:r>
      <w:r>
        <w:t>对细胞内信号传导的影响仍不清楚。在这里，我们表明渗透刺激诱导局部 H 的形成</w:t>
      </w:r>
      <w:r>
        <w:rPr>
          <w:vertAlign w:val="subscript"/>
        </w:rPr>
        <w:t>2</w:t>
      </w:r>
      <w:r>
        <w:t>氧</w:t>
      </w:r>
      <w:r>
        <w:rPr>
          <w:vertAlign w:val="subscript"/>
        </w:rPr>
        <w:t>2</w:t>
      </w:r>
      <w:r>
        <w:t>-质膜（PM）的细胞质面具有丰富的纳米环境</w:t>
      </w:r>
      <w:r>
        <w:t xml:space="preserve"> </w:t>
      </w:r>
      <w:r>
        <w:t>拟南芥</w:t>
      </w:r>
      <w:r>
        <w:t xml:space="preserve"> </w:t>
      </w:r>
      <w:r>
        <w:t>根细胞。使用 PM 系留的 H</w:t>
      </w:r>
      <w:r>
        <w:rPr>
          <w:vertAlign w:val="subscript"/>
        </w:rPr>
        <w:t>2</w:t>
      </w:r>
      <w:r>
        <w:t>氧</w:t>
      </w:r>
      <w:r>
        <w:rPr>
          <w:vertAlign w:val="subscript"/>
        </w:rPr>
        <w:t>2</w:t>
      </w:r>
      <w:r>
        <w:t>生物传感器中，我们发现这些氧化纳米结构域源自呼吸爆发氧化酶同源物 (RBOH) 和 RHO OF PLANTS 6 (ROP6) 的聚集，与水通道蛋白介导的 H 相协调</w:t>
      </w:r>
      <w:r>
        <w:rPr>
          <w:vertAlign w:val="subscript"/>
        </w:rPr>
        <w:t>2</w:t>
      </w:r>
      <w:r>
        <w:t>氧</w:t>
      </w:r>
      <w:r>
        <w:rPr>
          <w:vertAlign w:val="subscript"/>
        </w:rPr>
        <w:t>2</w:t>
      </w:r>
      <w:r>
        <w:t>通过血浆膜内蛋白2;7 (PIP2;7) 运输。 PM 处的这些局部氧化还原热点创建了一个前馈回路，其中 H</w:t>
      </w:r>
      <w:r>
        <w:rPr>
          <w:vertAlign w:val="subscript"/>
        </w:rPr>
        <w:t>2</w:t>
      </w:r>
    </w:p>
    <w:p>
      <w:pPr>
        <w:spacing w:before="0" w:after="200" w:lineRule="auto" w:line="276"/>
      </w:pPr>
      <w:r>
        <w:rPr>
          <w:b/>
        </w:rPr>
        <w:t xml:space="preserve">Abstract (EN): </w:t>
      </w:r>
      <w:r>
        <w:t>The spatiotemporal organization of proteins and lipids within membranes is crucial for ensuring proper cellular signaling. While the segregation of proteins and lipids into membrane nanodomains is well established, it remains unclear whether nanodomains can generate gradients of small diffusible molecules. In plants, reactive oxygen species (ROS), especially hydrogen peroxide (H</w:t>
      </w:r>
      <w:r>
        <w:rPr>
          <w:vertAlign w:val="subscript"/>
        </w:rPr>
        <w:t>2</w:t>
      </w:r>
      <w:r>
        <w:t>O</w:t>
      </w:r>
      <w:r>
        <w:rPr>
          <w:vertAlign w:val="subscript"/>
        </w:rPr>
        <w:t>2</w:t>
      </w:r>
      <w:r>
        <w:t>), act as key signaling molecules in response to environmental stimuli such as osmotic stress. However, how extracellular H</w:t>
      </w:r>
      <w:r>
        <w:rPr>
          <w:vertAlign w:val="subscript"/>
        </w:rPr>
        <w:t>2</w:t>
      </w:r>
      <w:r>
        <w:t>O</w:t>
      </w:r>
      <w:r>
        <w:rPr>
          <w:vertAlign w:val="subscript"/>
        </w:rPr>
        <w:t>2</w:t>
      </w:r>
      <w:r>
        <w:t>affects intracellular signaling has remained unknown. Here, we show that osmotic stimulation induces the formation of localized, H</w:t>
      </w:r>
      <w:r>
        <w:rPr>
          <w:vertAlign w:val="subscript"/>
        </w:rPr>
        <w:t>2</w:t>
      </w:r>
      <w:r>
        <w:t>O</w:t>
      </w:r>
      <w:r>
        <w:rPr>
          <w:vertAlign w:val="subscript"/>
        </w:rPr>
        <w:t>2</w:t>
      </w:r>
      <w:r>
        <w:t>-rich nanoenvironments at the cytoplasmic face of the plasma membrane (PM) in</w:t>
      </w:r>
      <w:r>
        <w:t xml:space="preserve"> </w:t>
      </w:r>
      <w:r>
        <w:t>Arabidopsis</w:t>
      </w:r>
      <w:r>
        <w:t xml:space="preserve"> </w:t>
      </w:r>
      <w:r>
        <w:t>root cells. Using a PM-tethered H</w:t>
      </w:r>
      <w:r>
        <w:rPr>
          <w:vertAlign w:val="subscript"/>
        </w:rPr>
        <w:t>2</w:t>
      </w:r>
      <w:r>
        <w:t>O</w:t>
      </w:r>
      <w:r>
        <w:rPr>
          <w:vertAlign w:val="subscript"/>
        </w:rPr>
        <w:t>2</w:t>
      </w:r>
      <w:r>
        <w:t>biosensor, we found that these oxidized nanodomains arise from the clustering of RESPIRATORY BURST OXIDASE HOMOLOGs (RBOHs) and RHO OF PLANTS 6 (ROP6), in coordination with aquaporin-mediated H</w:t>
      </w:r>
      <w:r>
        <w:rPr>
          <w:vertAlign w:val="subscript"/>
        </w:rPr>
        <w:t>2</w:t>
      </w:r>
      <w:r>
        <w:t>O</w:t>
      </w:r>
      <w:r>
        <w:rPr>
          <w:vertAlign w:val="subscript"/>
        </w:rPr>
        <w:t>2</w:t>
      </w:r>
      <w:r>
        <w:t>transport via the PLASMA MEMBRANE INTRINSIC PROTEIN2;7 (PIP2;7). These local redox hotspots at the PM create a feedforward loop in which H</w:t>
      </w:r>
      <w:r>
        <w:rPr>
          <w:vertAlign w:val="subscript"/>
        </w:rPr>
        <w:t>2</w:t>
      </w:r>
      <w:r>
        <w:t>O</w:t>
      </w:r>
      <w:r>
        <w:rPr>
          <w:vertAlign w:val="subscript"/>
        </w:rPr>
        <w:t>2</w:t>
      </w:r>
      <w:r>
        <w:t>enhances ROP6 nanoclustering, thereby amplifying ROS signaling. Disruption of H</w:t>
      </w:r>
      <w:r>
        <w:rPr>
          <w:vertAlign w:val="subscript"/>
        </w:rPr>
        <w:t>2</w:t>
      </w:r>
      <w:r>
        <w:t>O</w:t>
      </w:r>
      <w:r>
        <w:rPr>
          <w:vertAlign w:val="subscript"/>
        </w:rPr>
        <w:t>2</w:t>
      </w:r>
      <w:r>
        <w:t>production or transport dampens both ROP6 clustering and anisotropic cell expansion, indicating a crucial role for spatially confined redox signaling in regulating plant growth under osmotic stress. Our findings propose a model in which ROP6/RBOHD-F/PIP2;7 nanodomains function as discrete redox signaling units, redefining ROS signaling at the PM as a structured, signal-specific, and compartmentalized process.</w:t>
      </w:r>
    </w:p>
    <w:p>
      <w:pPr>
        <w:spacing w:before="120" w:after="120"/>
      </w:pPr>
      <w:r>
        <w:rPr>
          <w:sz w:val="18"/>
        </w:rPr>
        <w:t>——————————————————————————————————————————————————————————————————————</w:t>
      </w:r>
    </w:p>
    <w:p>
      <w:pPr>
        <w:spacing w:before="160" w:after="40" w:line="240" w:lineRule="auto"/>
      </w:pPr>
      <w:r>
        <w:rPr>
          <w:b/>
        </w:rPr>
        <w:t xml:space="preserve">[89] </w:t>
      </w:r>
      <w:hyperlink r:id="rId438">
        <w:r>
          <w:rPr>
            <w:color w:val="1155CC"/>
            <w:u w:val="single"/>
          </w:rPr>
          <w:t>光共生在珊瑚进化中的偶然优势</w:t>
        </w:r>
      </w:hyperlink>
    </w:p>
    <w:p>
      <w:pPr>
        <w:spacing w:before="0" w:after="80"/>
      </w:pPr>
      <w:r>
        <w:rPr>
          <w:i/>
          <w:sz w:val="20"/>
        </w:rPr>
        <w:t>EN: The contingent advantage of photosymbiosis in coral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39">
        <w:r>
          <w:rPr>
            <w:color w:val="1155CC"/>
            <w:u w:val="single"/>
          </w:rPr>
          <w:t>10.1073/pnas.2532242123</w:t>
        </w:r>
      </w:hyperlink>
    </w:p>
    <w:p>
      <w:pPr>
        <w:spacing w:before="0" w:after="120"/>
      </w:pPr>
      <w:r>
        <w:rPr>
          <w:b/>
        </w:rPr>
        <w:t xml:space="preserve">Notes: </w:t>
      </w:r>
      <w:r>
        <w:t>abstract_source=crossref</w:t>
      </w:r>
    </w:p>
    <w:p>
      <w:pPr>
        <w:spacing w:before="0" w:after="80" w:lineRule="auto" w:line="276"/>
      </w:pPr>
      <w:r>
        <w:rPr>
          <w:b/>
        </w:rPr>
        <w:t xml:space="preserve">摘要（ZH）: </w:t>
      </w:r>
      <w:r>
        <w:t>现代造礁珊瑚的生态成功植根于光共生，但其宏观进化益处仍不清楚。使用贝叶斯方法分析地质时间尺度上推断的虫黄藻 (Z) 和偶氮黄藻 (AZ) 珊瑚的显生宙记录，我们确定了古生代-中生代过渡时期多样化动态及其驱动因素的根本转变。尽管 Z 珊瑚在现代热带珊瑚礁生态系统中占主导地位，但其古生代珊瑚的发展速度被 AZ 珊瑚超越，并且在泥盆纪晚期大规模灭绝后恢复失败。我们发现 Z 珊瑚多样化主要由起源驱动，而 AZ 多样化则受灭绝控制。多变量出生-死亡模型表明，古生代珊瑚的多样化受到变暖和缺氧等非生物压力因素的控制，Z 和 AZ 珊瑚对此表现出类似的脆弱性。三叠纪石珊瑚的兴起标志着明显的宏观进化机制的转变，此后光共生刺激了珊瑚的多样化。古生代温度与Z珊瑚灭绝之间呈正相关，而中新生代则呈负相关。这种关系的长期逆转可能是海洋中碳酸钙过饱和度的降低</w:t>
      </w:r>
      <w:r>
        <w:rPr>
          <w:vertAlign w:val="subscript"/>
        </w:rPr>
        <w:t>3</w:t>
      </w:r>
      <w:r>
        <w:t>由于三叠纪钙质浮游生物的出现。我们的深度视角表明，光共生的优势不是固有的，而是取决于更广泛的生态和环境背景。</w:t>
      </w:r>
    </w:p>
    <w:p>
      <w:pPr>
        <w:spacing w:before="0" w:after="200" w:lineRule="auto" w:line="276"/>
      </w:pPr>
      <w:r>
        <w:rPr>
          <w:b/>
        </w:rPr>
        <w:t xml:space="preserve">Abstract (EN): </w:t>
      </w:r>
      <w:r>
        <w:t>The ecological success of modern reef-building corals is rooted in photosymbiosis, yet its macroevolutionary benefit remains unclear. Analyzing the Phanerozoic record of inferred zooxanthellate (Z) and azooxanthellate (AZ) corals over geologic time scales using Bayesian methods, we identify a fundamental shift in diversification dynamics and their drivers across the Paleozoic–Mesozoic transition. Although Z corals dominate modern tropical reef ecosystems, their Paleozoic counterparts were outpaced by AZ forms and showed failed recoveries after the Late Devonian mass extinction. We found Z coral diversification was primarily driven by origination, whereas AZ diversification was controlled by extinction. Multivariate birth–death models reveal that Paleozoic coral diversification was governed by abiotic stressors like warming and anoxia, to which Z and AZ corals showed similar vulnerability. The rise of scleractinian corals in the Triassic marked a distinct macroevolutionary regime shift after which photosymbiosis spurred coral diversification. Positive correlations between temperature and Z coral extinction dominated the Paleozoic, while negative correlations prevailed in the Meso-Cenozoic. The long-term reversal of this relationship could be the reduced supersaturation of the oceans with respect to CaCO</w:t>
      </w:r>
      <w:r>
        <w:rPr>
          <w:vertAlign w:val="subscript"/>
        </w:rPr>
        <w:t>3</w:t>
      </w:r>
      <w:r>
        <w:t>due to the emergence of calcareous plankton in the Triassic. Our deep-time perspective demonstrates that the advantage of photosymbiosis is not intrinsic but contingent on the broader ecological and environmental context.</w:t>
      </w:r>
    </w:p>
    <w:p>
      <w:pPr>
        <w:spacing w:before="120" w:after="120"/>
      </w:pPr>
      <w:r>
        <w:rPr>
          <w:sz w:val="18"/>
        </w:rPr>
        <w:t>——————————————————————————————————————————————————————————————————————</w:t>
      </w:r>
    </w:p>
    <w:p>
      <w:pPr>
        <w:spacing w:before="160" w:after="40" w:line="240" w:lineRule="auto"/>
      </w:pPr>
      <w:r>
        <w:rPr>
          <w:b/>
        </w:rPr>
        <w:t xml:space="preserve">[90] </w:t>
      </w:r>
      <w:hyperlink r:id="rId440">
        <w:r>
          <w:rPr>
            <w:color w:val="1155CC"/>
            <w:u w:val="single"/>
          </w:rPr>
          <w:t>代谢加权脑连接组揭示突触整合和神经退行性疾病的脆弱性</w:t>
        </w:r>
      </w:hyperlink>
    </w:p>
    <w:p>
      <w:pPr>
        <w:spacing w:before="0" w:after="80"/>
      </w:pPr>
      <w:r>
        <w:rPr>
          <w:i/>
          <w:sz w:val="20"/>
        </w:rPr>
        <w:t>EN: Metabolism-weighted brain connectome reveals synaptic integration and vulnerability to neurodegeneration</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41">
        <w:r>
          <w:rPr>
            <w:color w:val="1155CC"/>
            <w:u w:val="single"/>
          </w:rPr>
          <w:t>10.1073/pnas.2531706123</w:t>
        </w:r>
      </w:hyperlink>
    </w:p>
    <w:p>
      <w:pPr>
        <w:spacing w:before="0" w:after="120"/>
      </w:pPr>
      <w:r>
        <w:rPr>
          <w:b/>
        </w:rPr>
        <w:t xml:space="preserve">Notes: </w:t>
      </w:r>
      <w:r>
        <w:t>abstract_source=crossref</w:t>
      </w:r>
    </w:p>
    <w:p>
      <w:pPr>
        <w:spacing w:before="0" w:after="80" w:lineRule="auto" w:line="276"/>
      </w:pPr>
      <w:r>
        <w:rPr>
          <w:b/>
        </w:rPr>
        <w:t xml:space="preserve">摘要（ZH）: </w:t>
      </w:r>
      <w:r>
        <w:t>大脑的整合能力源自其结构布线和高能量要求的电化学信号传导。然而，当前的连接组分析将网络节点视为功能同质的，忽略了神经通信受到代谢成本的限制。在这里，我们引入了代谢加权连接组，这是一个完全加权的脑图，其中每个节点的连接和代谢活动描述了网络的整合能力。使用同时 fMRI 和 [</w:t>
      </w:r>
      <w:r>
        <w:rPr>
          <w:vertAlign w:val="subscript"/>
        </w:rPr>
        <w:t>18</w:t>
      </w:r>
      <w:r>
        <w:t>F]氟脱氧葡萄糖正电子发射断层扫描采集，我们定义了代谢加权中心性（MwC），这是每个区域信号优势的生物基础指数，将功能连接与局部能量代谢相结合。 MwC 比传统的基于边缘的指标更准确地表示皮质活动流，并揭示代谢活跃的中枢与高阶认知网络保持一致。转录组和突触成像数据表明，这些中枢表现出增加的突触能量周转，将活动驱动的中心性与信号传导的分子结构联系起来。值得注意的是，相同的高 MwC 区域对神经退行性病理学表现出更大的敏感性，这表明终生代谢需求会影响整合功能和疾病易感性。通过将神经元代谢与网络组织联系起来，我们的框架将细胞能量学和系统级计算联系起来，为解释大脑脆弱性和执行任务开辟了广阔的途径。</w:t>
      </w:r>
    </w:p>
    <w:p>
      <w:pPr>
        <w:spacing w:before="0" w:after="200" w:lineRule="auto" w:line="276"/>
      </w:pPr>
      <w:r>
        <w:rPr>
          <w:b/>
        </w:rPr>
        <w:t xml:space="preserve">Abstract (EN): </w:t>
      </w:r>
      <w:r>
        <w:t>The brain’s capacity for integration arises from both its structural wiring and energetically demanding electrochemical signaling. Yet current connectome analyses treat network nodes as functionally homogeneous, ignoring that neural communication is constrained by metabolic cost. Here, we introduce a metabolism-weighted connectome, a fully weighted brain graph in which both connections and the metabolic activity of each node describe the network’s capacity for integration. Using three datasets of simultaneous fMRI and [</w:t>
      </w:r>
      <w:r>
        <w:rPr>
          <w:vertAlign w:val="subscript"/>
        </w:rPr>
        <w:t>18</w:t>
      </w:r>
      <w:r>
        <w:t>F]Fluorodeoxyglucose positron emission tomography acquisitions, we define metabolism-weighted centrality (MwC), a biologically grounded index of each region’s signaling dominance that integrates functional connectivity with local energy metabolism. MwC provides a more accurate representation of cortical activity flow than classical edge-based metrics and reveals that metabolically active hubs align with higher-order cognitive networks. Transcriptomic and synaptic imaging data demonstrate that these hubs exhibit increased synaptic energy turnover, linking activity-driven centrality to the molecular architecture of signaling. Notably, the same high-MwC regions show greater susceptibility to neurodegenerative pathology, suggesting that lifelong metabolic demand influences both integrative function and disease vulnerability. By linking neuronal metabolism to network organization, our framework bridges cellular energetics and system-level computation, opening broad avenues for interpreting brain vulnerability and performance.</w:t>
      </w:r>
    </w:p>
    <w:p>
      <w:pPr>
        <w:spacing w:before="120" w:after="120"/>
      </w:pPr>
      <w:r>
        <w:rPr>
          <w:sz w:val="18"/>
        </w:rPr>
        <w:t>——————————————————————————————————————————————————————————————————————</w:t>
      </w:r>
    </w:p>
    <w:p>
      <w:pPr>
        <w:spacing w:before="160" w:after="40" w:line="240" w:lineRule="auto"/>
      </w:pPr>
      <w:r>
        <w:rPr>
          <w:b/>
        </w:rPr>
        <w:t xml:space="preserve">[91] </w:t>
      </w:r>
      <w:hyperlink r:id="rId442">
        <w:r>
          <w:rPr>
            <w:color w:val="1155CC"/>
            <w:u w:val="single"/>
          </w:rPr>
          <w:t>言语监测的个体差异：延迟听觉反馈的功能和结构相关性</w:t>
        </w:r>
      </w:hyperlink>
    </w:p>
    <w:p>
      <w:pPr>
        <w:spacing w:before="0" w:after="80"/>
      </w:pPr>
      <w:r>
        <w:rPr>
          <w:i/>
          <w:sz w:val="20"/>
        </w:rPr>
        <w:t>EN: Individual differences in speech monitoring: Functional and structural correlates of delayed auditory feedback</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43">
        <w:r>
          <w:rPr>
            <w:color w:val="1155CC"/>
            <w:u w:val="single"/>
          </w:rPr>
          <w:t>10.1073/pnas.2530123123</w:t>
        </w:r>
      </w:hyperlink>
    </w:p>
    <w:p>
      <w:pPr>
        <w:spacing w:before="0" w:after="120"/>
      </w:pPr>
      <w:r>
        <w:rPr>
          <w:b/>
        </w:rPr>
        <w:t xml:space="preserve">Notes: </w:t>
      </w:r>
      <w:r>
        <w:t>abstract_source=crossref</w:t>
      </w:r>
    </w:p>
    <w:p>
      <w:pPr>
        <w:spacing w:before="0" w:after="80" w:lineRule="auto" w:line="276"/>
      </w:pPr>
      <w:r>
        <w:rPr>
          <w:b/>
        </w:rPr>
        <w:t xml:space="preserve">摘要（ZH）: </w:t>
      </w:r>
      <w:r>
        <w:t>感觉反馈对于运动动作的微调至关重要，言语产生也不例外。它依赖于持续的自我监控来确保产生的声音与预期目标相匹配。延迟听觉反馈 (DAF) 会破坏这种对齐并损害流畅性，从而为研究感觉运动控制提供了强大的工具。我们将功能性和扩散加权 MRI 结合起来，让 31 名参与者在延迟（DAF）和即时（无 DAF）听觉反馈下执行文字生成任务。虽然所有参与者在 DAF 下都放慢了说话速度，但这种影响的程度因人而异，并且可以使用敏感性指数进行量化。在群体水平上，DAF &gt; no-DAF 引起右侧网络的激活增加，该网络包括颞上回、边缘上回、额下回、辅助运动区和左侧小脑。结合个体差异表明，较高的易感性与左半球言语运动同源物的更大激活和弓状束右侧长段（连接听觉和运动言语区域的白质通路）的更大体积相关。这种模式表明，易感性反映了神经资源招募的增加以及对听觉运动耦合的更强依赖。相比之下，弹性与双侧角回的更大参与度和连接听觉和体感言语区域的右后 AF 中更高的纤维密度相关。这一发现表明复原力是由邮政支持的</w:t>
      </w:r>
    </w:p>
    <w:p>
      <w:pPr>
        <w:spacing w:before="0" w:after="200" w:lineRule="auto" w:line="276"/>
      </w:pPr>
      <w:r>
        <w:rPr>
          <w:b/>
        </w:rPr>
        <w:t xml:space="preserve">Abstract (EN): </w:t>
      </w:r>
      <w:r>
        <w:t>Sensory feedback is essential for the fine-tuning of motor actions, and speech production is no exception. It depends on continuous self-monitoring to ensure that produced sounds match intended targets. Delaying auditory feedback (DAF) disrupts this alignment and impairs fluency, providing a powerful tool to investigate sensorimotor control. We combined functional and diffusion-weighted MRI in 31 participants performing a word-production task under delayed (DAF) and immediate (no-DAF) auditory feedback. While all participants slowed their speech under DAF, the extent of this effect varied across individuals and was quantified using a susceptibility index. At the group level, DAF &amp;gt; no-DAF elicited increased activation in a right-lateralized network encompassing the superior temporal gyrus, supramarginal gyrus, inferior frontal gyrus, supplementary motor area, and left cerebellum. Incorporating individual differences revealed that higher susceptibility was associated with greater activation in left-hemisphere speech motor homologues and larger volume of the right long segment of the arcuate fasciculus, a whitematter pathway connecting auditory and motor speech regions. This pattern suggests that susceptibility reflects increased recruitment of neural resources and a stronger reliance on auditory-motor coupling. In contrast, resilience was associated with greater engagement of the bilateral angular gyrus and higher fiber density in the right posterior AF, which connects auditory and somatosensory speech regions. This finding indicates that resilience is supported by a posterior temporo-parietal circuit that efficiently integrates multimodal sensory feedback. Together, these findings link functional dynamics with underlying structural connectivity to reveal how a right-lateralized network supports speech control, while accounting for individual differences in susceptibility to fluency disruption.</w:t>
      </w:r>
    </w:p>
    <w:p>
      <w:pPr>
        <w:spacing w:before="120" w:after="120"/>
      </w:pPr>
      <w:r>
        <w:rPr>
          <w:sz w:val="18"/>
        </w:rPr>
        <w:t>——————————————————————————————————————————————————————————————————————</w:t>
      </w:r>
    </w:p>
    <w:p>
      <w:pPr>
        <w:spacing w:before="160" w:after="40" w:line="240" w:lineRule="auto"/>
      </w:pPr>
      <w:r>
        <w:rPr>
          <w:b/>
        </w:rPr>
        <w:t xml:space="preserve">[92] </w:t>
      </w:r>
      <w:hyperlink r:id="rId444">
        <w:r>
          <w:rPr>
            <w:color w:val="1155CC"/>
            <w:u w:val="single"/>
          </w:rPr>
          <w:t>生理学是林地蝾螈辐射多样性的隐藏维度</w:t>
        </w:r>
      </w:hyperlink>
    </w:p>
    <w:p>
      <w:pPr>
        <w:spacing w:before="0" w:after="80"/>
      </w:pPr>
      <w:r>
        <w:rPr>
          <w:i/>
          <w:sz w:val="20"/>
        </w:rPr>
        <w:t>EN: Physiology is a hidden dimension of diversity in the radiation of woodland salamanders</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45">
        <w:r>
          <w:rPr>
            <w:color w:val="1155CC"/>
            <w:u w:val="single"/>
          </w:rPr>
          <w:t>10.1073/pnas.2523895123</w:t>
        </w:r>
      </w:hyperlink>
    </w:p>
    <w:p>
      <w:pPr>
        <w:spacing w:before="0" w:after="120"/>
      </w:pPr>
      <w:r>
        <w:rPr>
          <w:b/>
        </w:rPr>
        <w:t xml:space="preserve">Notes: </w:t>
      </w:r>
      <w:r>
        <w:t>abstract_source=crossref</w:t>
      </w:r>
    </w:p>
    <w:p>
      <w:pPr>
        <w:spacing w:before="0" w:after="80" w:lineRule="auto" w:line="276"/>
      </w:pPr>
      <w:r>
        <w:rPr>
          <w:b/>
        </w:rPr>
        <w:t xml:space="preserve">摘要（ZH）: </w:t>
      </w:r>
      <w:r>
        <w:t>形态进化可能是爆炸性的，产生视觉上壮观的适应性辐射，如加勒比变色蜥、马达加斯加斑蜥和非洲裂湖慈鲷。然而，形态停滞，即保守身体计划的长期保留，在进化辐射中经常被观察到。林地蝾螈（</w:t>
      </w:r>
      <w:r>
        <w:t xml:space="preserve"> </w:t>
      </w:r>
      <w:r>
        <w:t>无齿兽</w:t>
      </w:r>
      <w:r>
        <w:t xml:space="preserve"> </w:t>
      </w:r>
      <w:r>
        <w:t>）是这种“非适应性”辐射的典型例子，其特征是丰富的物种形成和形态停滞（即有限的形态分歧），通常归因于其气候和微生境生态位的系统发育保守主义。然而，表型和生态位的多维性质意味着即使形态看起来静态，不太明显的性状也可能发生适应性进化。我们研究了林地蝾螈是否在不太显眼的表型轴（特别是生理学）上表现出适应性分歧，并将性状进化的模式和速率与形态性状的模式和速率进行了比较。我们发现，大多数生理性状与气候变化有关，并且比形态性状表现出更高的进化速度、更大的性状差异以及更频繁的适应性最佳变化。特别是，皮肤对水分流失的抵抗力、代谢率和耐冷能力表现出适应性辐射的进化特征。值得注意的是，形态并不完全静态：一些性状显示出气候关联，一些性状表现出局部变化，并且进化速度超过了进化速度较慢的生理性状，例如耐热性。生物系统，如</w:t>
      </w:r>
    </w:p>
    <w:p>
      <w:pPr>
        <w:spacing w:before="0" w:after="200" w:lineRule="auto" w:line="276"/>
      </w:pPr>
      <w:r>
        <w:rPr>
          <w:b/>
        </w:rPr>
        <w:t xml:space="preserve">Abstract (EN): </w:t>
      </w:r>
      <w:r>
        <w:t>Morphological evolution can be explosive, producing visually spectacular adaptive radiations like Caribbean anoles, Malagasy vangas, and African Rift Lake cichlids. Yet morphological stasis, the long-term retention of a conserved body plan, is often observed across evolutionary radiations. Woodland salamanders (</w:t>
      </w:r>
      <w:r>
        <w:t xml:space="preserve"> </w:t>
      </w:r>
      <w:r>
        <w:t>Plethodon</w:t>
      </w:r>
      <w:r>
        <w:t xml:space="preserve"> </w:t>
      </w:r>
      <w:r>
        <w:t>) are a classic example of such “nonadaptive” radiation, characterized by prolific speciation alongside morphological stasis (i.e., limited morphological divergence), often attributed to phylogenetic conservatism in their climatic and microhabitat niches. However, the multidimensional nature of phenotypes and the niche means that adaptive evolution in less apparent traits can occur even when morphology appears static. We investigated whether woodland salamanders exhibit adaptive divergence in a less conspicuous phenotypic axis—specifically, physiology—and compared patterns and rates of trait evolution to those of morphological traits. We found that most physiological traits are associated with climatic variation and exhibit elevated rates of evolution, high trait disparity, and more frequent shifts in adaptive optima than morphological traits. In particular, skin resistance to water loss, metabolic rate, and cold tolerance exhibit evolutionary signatures of adaptive radiation. Notably, morphology is not entirely static: Some traits show climatic associations, several exhibit localized shifts, and evolutionary rates exceed those of slower evolving physiological traits, such as heat tolerance. Biological systems, as evidenced by woodland salamanders, are not exclusively “conserved” or “labile” in their evolution, and this system illustrates how the same features that limit morphological divergence may also facilitate physiological evolution. Woodland salamanders exemplify how adaptive radiation can proceed despite outward similarity.</w:t>
      </w:r>
    </w:p>
    <w:p>
      <w:pPr>
        <w:spacing w:before="120" w:after="120"/>
      </w:pPr>
      <w:r>
        <w:rPr>
          <w:sz w:val="18"/>
        </w:rPr>
        <w:t>——————————————————————————————————————————————————————————————————————</w:t>
      </w:r>
    </w:p>
    <w:p>
      <w:pPr>
        <w:spacing w:before="160" w:after="40" w:line="240" w:lineRule="auto"/>
      </w:pPr>
      <w:r>
        <w:rPr>
          <w:b/>
        </w:rPr>
        <w:t xml:space="preserve">[93] </w:t>
      </w:r>
      <w:hyperlink r:id="rId446">
        <w:r>
          <w:rPr>
            <w:color w:val="1155CC"/>
            <w:u w:val="single"/>
          </w:rPr>
          <w:t>海马协变的结构特征与记忆引导注意取决于海马硬化的一侧</w:t>
        </w:r>
      </w:hyperlink>
    </w:p>
    <w:p>
      <w:pPr>
        <w:spacing w:before="0" w:after="80"/>
      </w:pPr>
      <w:r>
        <w:rPr>
          <w:i/>
          <w:sz w:val="20"/>
        </w:rPr>
        <w:t>EN: Structural features of the hippocampus covary with memory-guided attention depending on the side of hippocampal sclerosis</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47">
        <w:r>
          <w:rPr>
            <w:color w:val="1155CC"/>
            <w:u w:val="single"/>
          </w:rPr>
          <w:t>10.1073/pnas.2503466123</w:t>
        </w:r>
      </w:hyperlink>
    </w:p>
    <w:p>
      <w:pPr>
        <w:spacing w:before="0" w:after="120"/>
      </w:pPr>
      <w:r>
        <w:rPr>
          <w:b/>
        </w:rPr>
        <w:t xml:space="preserve">Notes: </w:t>
      </w:r>
      <w:r>
        <w:t>abstract_source=crossref</w:t>
      </w:r>
    </w:p>
    <w:p>
      <w:pPr>
        <w:spacing w:before="0" w:after="80" w:lineRule="auto" w:line="276"/>
      </w:pPr>
      <w:r>
        <w:rPr>
          <w:b/>
        </w:rPr>
        <w:t xml:space="preserve">摘要（ZH）: </w:t>
      </w:r>
      <w:r>
        <w:t>长期记忆 (LTM) 中存储的过去经验为做出预测提供了宝贵的资源，从而塑造感知并指导目标导向的行为。高容量 LTM 系统的内容指导上下文选择性注意，以增强记忆预测目标的感觉和高阶处理，这一过程称为 LTM 引导注意。虽然这种基本的认知功能被认为取决于海马体，但证据仍然很少。在这项研究中，我们使用神经心理学方法在孤立的海马病理背景下测试 LTM 引导的注意力，并探索结构-行为协方差模式。我们在一项探索 LTM 引导注意力的任务中测试了健康个体 (n = 20) 和患有局灶性癫痫、孤立性单侧左海马硬化 (n = 20) 或右海马硬化 (HS) 的个体。行为数据表明，患有左或右 HS 的个体保留了 LTM 引导的注意力。我们还使用多元结构神经影像方法评估了结构-行为协方差。层次聚类分析表明，在健康个体中，LTM 引导的注意力表现与左侧海马体的图谱衍生子域测量值存在协变。左侧海马体的体积也与右侧 HS 个体的注意力增益呈协变关系。有趣的是，对于患有左侧 HS 的个体，LTM 引导的注意力与左侧海马体的体积和部分右侧海马体的体积呈协变。总之，这些发现表明，LTM 引导的注意力可以在单侧中得到保留。</w:t>
      </w:r>
    </w:p>
    <w:p>
      <w:pPr>
        <w:spacing w:before="0" w:after="200" w:lineRule="auto" w:line="276"/>
      </w:pPr>
      <w:r>
        <w:rPr>
          <w:b/>
        </w:rPr>
        <w:t xml:space="preserve">Abstract (EN): </w:t>
      </w:r>
      <w:r>
        <w:t>Past experiences stored in long-term memory (LTM) provide a valuable resource for making predictions that shape perception and guide goal-directed behavior. Contents from the high-capacity LTM system guide contextual selective attention to enhance sensory and higher-order processing of memory-predicted targets, in a process known as LTM-guided attention. While this essential cognitive function is believed to depend on the hippocampus, evidence is still scarce. In this study, we used a neuropsychological approach to test LTM-guided attention in the context of isolated hippocampal pathology and to explore structure-behavior covariance patterns. We tested healthy individuals (n = 20) and individuals suffering from focal epilepsy, with isolated, unilateral left (n = 20) or right (n = 17) hippocampal sclerosis (HS), in a task probing LTM-guided attention. Behavioral data indicated that individuals with left or right HS retained LTM-guided attention. We also assessed structure–behavior covariance using a multivariate structural neuroimaging approach. Hierarchical clustering analysis revealed that, in healthy individuals, LTM-guided attention performance covaried with atlas-derived subfield measures of the left hippocampal body. The volume of the left hippocampal body also covaried with attentional benefit in individuals with right HS. Interestingly, for individuals with left HS, LTM-guided attention covaried with the volume of the left hippocampus and with part of the right hippocampal volume. Together, these findings suggest that LTM-guided attention can be preserved in unilateral HS, with differences in hippocampal volume–behavior covariance depending on the side of hippocampal pathology.</w:t>
      </w:r>
    </w:p>
    <w:p>
      <w:pPr>
        <w:spacing w:before="120" w:after="120"/>
      </w:pPr>
      <w:r>
        <w:rPr>
          <w:sz w:val="18"/>
        </w:rPr>
        <w:t>——————————————————————————————————————————————————————————————————————</w:t>
      </w:r>
    </w:p>
    <w:p>
      <w:pPr>
        <w:spacing w:before="160" w:after="40" w:line="240" w:lineRule="auto"/>
      </w:pPr>
      <w:r>
        <w:rPr>
          <w:b/>
        </w:rPr>
        <w:t xml:space="preserve">[94] </w:t>
      </w:r>
      <w:hyperlink r:id="rId448">
        <w:r>
          <w:rPr>
            <w:color w:val="1155CC"/>
            <w:u w:val="single"/>
          </w:rPr>
          <w:t>大鼠体细胞基因组编辑实现 ER+ 乳腺癌建模</w:t>
        </w:r>
      </w:hyperlink>
    </w:p>
    <w:p>
      <w:pPr>
        <w:spacing w:before="0" w:after="80"/>
      </w:pPr>
      <w:r>
        <w:rPr>
          <w:i/>
          <w:sz w:val="20"/>
        </w:rPr>
        <w:t>EN: Rat somatic genome editing enables ER+ breast cancer modeling</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49">
        <w:r>
          <w:rPr>
            <w:color w:val="1155CC"/>
            <w:u w:val="single"/>
          </w:rPr>
          <w:t>10.1073/pnas.2529653123</w:t>
        </w:r>
      </w:hyperlink>
    </w:p>
    <w:p>
      <w:pPr>
        <w:spacing w:before="0" w:after="120"/>
      </w:pPr>
      <w:r>
        <w:rPr>
          <w:b/>
        </w:rPr>
        <w:t xml:space="preserve">Notes: </w:t>
      </w:r>
      <w:r>
        <w:t>abstract_source=crossref</w:t>
      </w:r>
    </w:p>
    <w:p>
      <w:pPr>
        <w:spacing w:before="0" w:after="80" w:lineRule="auto" w:line="276"/>
      </w:pPr>
      <w:r>
        <w:rPr>
          <w:b/>
        </w:rPr>
        <w:t xml:space="preserve">摘要（ZH）: </w:t>
      </w:r>
      <w:r>
        <w:t>基因工程小鼠模型具有先进的癌症研究成果，但它们无法模拟某些人类疾病。大鼠为人类癌症建模提供了一种强大的替代方案，而小鼠在这方面的表现尚不充分，但其使用却受到基因组编辑技术障碍的限制。在这里，我们报告了大鼠的体细胞基因组编辑，并将这种方法应用于雌激素受体 (ER) 阳性乳腺癌模型，这种乳腺癌约占人类病例的 70%，但在小鼠中的代表性仍然很低。由此产生的大鼠肿瘤再现了人类 ER+ 乳腺癌的特征，包括导管组织学、激素反应性和免疫微环境特征。相比之下，小鼠中相同的基因改变未能产生 ER+ 肿瘤，这凸显了肿瘤发生中的关键物种差异。总之，这项工作建立了一个多功能平台，用于快速生成临床相关的大鼠肿瘤模型，为研究以前无法通过实验模型获得的癌症亚型的肿瘤生物学、治疗反应和免疫相互作用开辟了途径。</w:t>
      </w:r>
    </w:p>
    <w:p>
      <w:pPr>
        <w:spacing w:before="0" w:after="200" w:lineRule="auto" w:line="276"/>
      </w:pPr>
      <w:r>
        <w:rPr>
          <w:b/>
        </w:rPr>
        <w:t xml:space="preserve">Abstract (EN): </w:t>
      </w:r>
      <w:r>
        <w:t>Genetically engineered mouse models have advanced cancer research, but they fail to mimic some human diseases. Rats offer a powerful alternative for modeling human cancers that are inadequately represented in mice, yet their use has been constrained by technical barriers to genome editing. Here, we report somatic genome editing in rats and apply this approach to model estrogen receptor (ER)-positive breast cancer, which accounts for approximately 70% of human cases but remains poorly represented in mice. The resulting rat tumors reproduce hallmarks of human ER+ breast cancer, including ductal histology, hormone responsiveness, and immune microenvironment features. By contrast, identical genetic alterations in mice failed to yield ER+ tumors, underscoring critical species differences in tumorigenesis. Together, this work establishes a versatile platform for the rapid generation of clinically relevant rat tumor models, opening avenues to study tumor biology, therapeutic response, and immune interactions in cancer subtypes previously inaccessible to experimental modeling.</w:t>
      </w:r>
    </w:p>
    <w:p>
      <w:pPr>
        <w:spacing w:before="120" w:after="120"/>
      </w:pPr>
      <w:r>
        <w:rPr>
          <w:sz w:val="18"/>
        </w:rPr>
        <w:t>——————————————————————————————————————————————————————————————————————</w:t>
      </w:r>
    </w:p>
    <w:p>
      <w:pPr>
        <w:spacing w:before="160" w:after="40" w:line="240" w:lineRule="auto"/>
      </w:pPr>
      <w:r>
        <w:rPr>
          <w:b/>
        </w:rPr>
        <w:t xml:space="preserve">[95] </w:t>
      </w:r>
      <w:hyperlink r:id="rId450">
        <w:r>
          <w:rPr>
            <w:color w:val="1155CC"/>
            <w:u w:val="single"/>
          </w:rPr>
          <w:t>差异化导致社交媒体积极性受到侵蚀</w:t>
        </w:r>
      </w:hyperlink>
    </w:p>
    <w:p>
      <w:pPr>
        <w:spacing w:before="0" w:after="80"/>
      </w:pPr>
      <w:r>
        <w:rPr>
          <w:i/>
          <w:sz w:val="20"/>
        </w:rPr>
        <w:t>EN: Differentiation drives the erosion of positivity on social media</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51">
        <w:r>
          <w:rPr>
            <w:color w:val="1155CC"/>
            <w:u w:val="single"/>
          </w:rPr>
          <w:t>10.1073/pnas.2527316123</w:t>
        </w:r>
      </w:hyperlink>
    </w:p>
    <w:p>
      <w:pPr>
        <w:spacing w:before="0" w:after="120"/>
      </w:pPr>
      <w:r>
        <w:rPr>
          <w:b/>
        </w:rPr>
        <w:t xml:space="preserve">Notes: </w:t>
      </w:r>
      <w:r>
        <w:t>abstract_source=crossref</w:t>
      </w:r>
    </w:p>
    <w:p>
      <w:pPr>
        <w:spacing w:before="0" w:after="80" w:lineRule="auto" w:line="276"/>
      </w:pPr>
      <w:r>
        <w:rPr>
          <w:b/>
        </w:rPr>
        <w:t xml:space="preserve">摘要（ZH）: </w:t>
      </w:r>
      <w:r>
        <w:t>大多数人认为社交媒体言论是消极的和分裂的。在这里，我们展示了即使用户没有消极的动机，这种消极情绪也会如何演变。我们认为，社交媒体用户寻求将自己与其他用户区分开来，并且通过消极性比积极性更容易使自己与众不同，因为消极信息比积极信息更具异质性和反规范性。随着对话的展开，这使得用户越来越有可能发表负面评论，并且做出独特的贡献变得更具挑战性。分析来自 2,150 个 Reddit 社区的 20.5 亿条评论表明，随着时间的推移，评论变得更加负面，无论是在帖子中还是在社区历史记录中。这种消极趋势是由评论的语义独特性介导的，这表明它源于用户的差异化。当最初的对话是积极的时，这种趋势最为强烈，从而使负面评论变得非常反规范。我们在模拟社交媒体对话的实验中复制了这些模式（</w:t>
      </w:r>
      <w:r>
        <w:t xml:space="preserve"> </w:t>
      </w:r>
      <w:r>
        <w:t>n</w:t>
      </w:r>
      <w:r>
        <w:t xml:space="preserve"> </w:t>
      </w:r>
      <w:r>
        <w:t>= 3,685）。随着时间的推移，参与者会变得更加消极，但只有当他们被激励变得独特时，尤其是当对话开始积极时。这些发现表明，社交媒体平台的结构与人类动机相互作用，随着时间的推移，网络话语逐渐转向消极情绪。</w:t>
      </w:r>
    </w:p>
    <w:p>
      <w:pPr>
        <w:spacing w:before="0" w:after="200" w:lineRule="auto" w:line="276"/>
      </w:pPr>
      <w:r>
        <w:rPr>
          <w:b/>
        </w:rPr>
        <w:t xml:space="preserve">Abstract (EN): </w:t>
      </w:r>
      <w:r>
        <w:t>Most people believe that social media discourse is negative and divisive. Here we show how this negativity can evolve even when users are not motivated to be negative. We propose that social media users seek to differentiate themselves from other users, and it is easier to differentiate oneself through negativity than positivity because negative information is more heterogeneous and counternormative than positive information. This makes users increasingly likely to post negative comments as a conversation unfolds and it becomes more challenging to make unique contributions. Analyzing 2.05 billion comments from 2,150 Reddit communities shows that comments become more negative over time, both within threads and community histories. This trend toward negativity is mediated by the semantic uniqueness of comments, suggesting that it arises from users differentiating themselves. This trend is strongest when initial dialogue is positive, making negative comments highly counternormative. We replicate these patterns in an experiment simulating social media dialogue (</w:t>
      </w:r>
      <w:r>
        <w:t xml:space="preserve"> </w:t>
      </w:r>
      <w:r>
        <w:t>n</w:t>
      </w:r>
      <w:r>
        <w:t xml:space="preserve"> </w:t>
      </w:r>
      <w:r>
        <w:t>= 3,685). Participants become more negative over time, but only when incentivized to be unique, and especially when dialogue begins positively. These findings suggest that the structure of social media platforms interacts with human motivation to foster a drift toward negativity over time in online discourse.</w:t>
      </w:r>
    </w:p>
    <w:p>
      <w:pPr>
        <w:spacing w:before="120" w:after="120"/>
      </w:pPr>
      <w:r>
        <w:rPr>
          <w:sz w:val="18"/>
        </w:rPr>
        <w:t>——————————————————————————————————————————————————————————————————————</w:t>
      </w:r>
    </w:p>
    <w:p>
      <w:pPr>
        <w:spacing w:before="160" w:after="40" w:line="240" w:lineRule="auto"/>
      </w:pPr>
      <w:r>
        <w:rPr>
          <w:b/>
        </w:rPr>
        <w:t xml:space="preserve">[96] </w:t>
      </w:r>
      <w:hyperlink r:id="rId452">
        <w:r>
          <w:rPr>
            <w:color w:val="1155CC"/>
            <w:u w:val="single"/>
          </w:rPr>
          <w:t>陆架入侵低氧水域控制新生代有机碳埋藏率</w:t>
        </w:r>
      </w:hyperlink>
    </w:p>
    <w:p>
      <w:pPr>
        <w:spacing w:before="0" w:after="80"/>
      </w:pPr>
      <w:r>
        <w:rPr>
          <w:i/>
          <w:sz w:val="20"/>
        </w:rPr>
        <w:t>EN: Shelf-invading low-oxygen waters control Cenozoic organic carbon burial rates</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53">
        <w:r>
          <w:rPr>
            <w:color w:val="1155CC"/>
            <w:u w:val="single"/>
          </w:rPr>
          <w:t>10.1073/pnas.2526409123</w:t>
        </w:r>
      </w:hyperlink>
    </w:p>
    <w:p>
      <w:pPr>
        <w:spacing w:before="0" w:after="120"/>
      </w:pPr>
      <w:r>
        <w:rPr>
          <w:b/>
        </w:rPr>
        <w:t xml:space="preserve">Notes: </w:t>
      </w:r>
      <w:r>
        <w:t>abstract_source=crossref</w:t>
      </w:r>
    </w:p>
    <w:p>
      <w:pPr>
        <w:spacing w:before="0" w:after="80" w:lineRule="auto" w:line="276"/>
      </w:pPr>
      <w:r>
        <w:rPr>
          <w:b/>
        </w:rPr>
        <w:t xml:space="preserve">摘要（ZH）: </w:t>
      </w:r>
      <w:r>
        <w:t>地球持久宜居性的恒温机制仍未得到解决。高分辨率新生代 C 同位素记录、P 积累和粗分数 I/Ca 允许重新计算和评估对全球以有机碳形式埋藏的碳总量比例的控制（</w:t>
      </w:r>
      <w:r>
        <w:t xml:space="preserve"> </w:t>
      </w:r>
      <w:r>
        <w:t>f</w:t>
      </w:r>
      <w:r>
        <w:t xml:space="preserve"> </w:t>
      </w:r>
      <w:r>
        <w:t>组织</w:t>
      </w:r>
      <w:r>
        <w:t xml:space="preserve"> </w:t>
      </w:r>
      <w:r>
        <w:t>），大气CO的调节剂</w:t>
      </w:r>
      <w:r>
        <w:rPr>
          <w:vertAlign w:val="subscript"/>
        </w:rPr>
        <w:t>2</w:t>
      </w:r>
      <w:r>
        <w:t>和O</w:t>
      </w:r>
      <w:r>
        <w:rPr>
          <w:vertAlign w:val="subscript"/>
        </w:rPr>
        <w:t>2</w:t>
      </w:r>
      <w:r>
        <w:t>。</w:t>
      </w:r>
      <w:r>
        <w:t xml:space="preserve"> </w:t>
      </w:r>
      <w:r>
        <w:t>f</w:t>
      </w:r>
      <w:r>
        <w:t xml:space="preserve"> </w:t>
      </w:r>
      <w:r>
        <w:t>组织</w:t>
      </w:r>
      <w:r>
        <w:t xml:space="preserve"> </w:t>
      </w:r>
      <w:r>
        <w:t>在始新世温室期间，与含氧水柱和低水柱磷酸盐同时发生，被抑制。随着海平面下降，有效有机碳和磷酸盐沉积埋藏的面积减少，导致水柱磷酸盐越来越多，初级生产力更高，以及紧急水柱脱氧。正如地形模型所提出的，海平面对陆架区域高沉积面积范围的影响可以控制新生产的磷酸盐可用性、呼吸需求和海洋氧合[C. J. Bjerrum、J. Bendtsen、J. J. F. Legarth、</w:t>
      </w:r>
      <w:r>
        <w:t xml:space="preserve"> </w:t>
      </w:r>
      <w:r>
        <w:t>地球化学。地球物理学。地球系统公司。</w:t>
      </w:r>
      <w:r>
        <w:rPr>
          <w:vertAlign w:val="subscript"/>
        </w:rPr>
        <w:t>7</w:t>
      </w:r>
      <w:r>
        <w:t>，1-24（2006）]。在新近纪的中间海平面高点期间，增强有机碳埋藏的脉冲盛行了数百万年，以响应当氧气最低区域时磷酸盐的氧化还原循环。</w:t>
      </w:r>
      <w:r>
        <w:rPr>
          <w:vertAlign w:val="subscript"/>
        </w:rPr>
        <w:t>2</w:t>
      </w:r>
      <w:r>
        <w:t>存在 &lt; 90 µmol/kg。我们建议存在一种自限性中间体</w:t>
      </w:r>
    </w:p>
    <w:p>
      <w:pPr>
        <w:spacing w:before="0" w:after="200" w:lineRule="auto" w:line="276"/>
      </w:pPr>
      <w:r>
        <w:rPr>
          <w:b/>
        </w:rPr>
        <w:t xml:space="preserve">Abstract (EN): </w:t>
      </w:r>
      <w:r>
        <w:t>The thermostatic mechanisms of Earth’s persistent habitability remain unresolved. High-resolution Cenozoic C isotope records, P accumulation, and coarse-fraction I/Ca allow recalculation and assessment of controls on the global proportion of total carbon buried as organic carbon (</w:t>
      </w:r>
      <w:r>
        <w:t xml:space="preserve"> </w:t>
      </w:r>
      <w:r>
        <w:t>f</w:t>
      </w:r>
      <w:r>
        <w:t xml:space="preserve"> </w:t>
      </w:r>
      <w:r>
        <w:t>org</w:t>
      </w:r>
      <w:r>
        <w:t xml:space="preserve"> </w:t>
      </w:r>
      <w:r>
        <w:t>), a regulator of atmospheric CO</w:t>
      </w:r>
      <w:r>
        <w:rPr>
          <w:vertAlign w:val="subscript"/>
        </w:rPr>
        <w:t>2</w:t>
      </w:r>
      <w:r>
        <w:t>and O</w:t>
      </w:r>
      <w:r>
        <w:rPr>
          <w:vertAlign w:val="subscript"/>
        </w:rPr>
        <w:t>2</w:t>
      </w:r>
      <w:r>
        <w:t>.</w:t>
      </w:r>
      <w:r>
        <w:t xml:space="preserve"> </w:t>
      </w:r>
      <w:r>
        <w:t>f</w:t>
      </w:r>
      <w:r>
        <w:t xml:space="preserve"> </w:t>
      </w:r>
      <w:r>
        <w:t>org</w:t>
      </w:r>
      <w:r>
        <w:t xml:space="preserve"> </w:t>
      </w:r>
      <w:r>
        <w:t>was suppressed during the Eocene hothouse, coincident with an oxygenated water column and low water-column phosphate. With decreased sea level, the area for efficient organic carbon and phosphate sedimentary burial diminished, leading increasingly to greater water-column phosphate, higher primary productivity, and emergent water column deoxygenation. The sea-level influence on the areal extent of high sedimentation in shelf regions acts as a control on phosphate availability for new production, respiratory demand, and ocean oxygenation, as proposed by hypsographic models [C. J. Bjerrum, J. Bendtsen, J. J. F. Legarth,</w:t>
      </w:r>
      <w:r>
        <w:t xml:space="preserve"> </w:t>
      </w:r>
      <w:r>
        <w:t>Geochem. Geophys. Geosys.</w:t>
      </w:r>
      <w:r>
        <w:rPr>
          <w:vertAlign w:val="subscript"/>
        </w:rPr>
        <w:t>7</w:t>
      </w:r>
      <w:r>
        <w:t>, 1–24 (2006)]. During intermediate sea-level highs of the Neogene, pulses of enhanced organic carbon burial prevailed for multimillion years, in response to the redox recycling of phosphate when oxygen minimum zones with O</w:t>
      </w:r>
      <w:r>
        <w:rPr>
          <w:vertAlign w:val="subscript"/>
        </w:rPr>
        <w:t>2</w:t>
      </w:r>
      <w:r>
        <w:t>&amp;lt; 90 µmol/kg were present. We propose the existence of a self-limiting intermediate sea-level sweet spot with peak C</w:t>
      </w:r>
      <w:r>
        <w:t xml:space="preserve"> </w:t>
      </w:r>
      <w:r>
        <w:t>org</w:t>
      </w:r>
      <w:r>
        <w:t xml:space="preserve"> </w:t>
      </w:r>
      <w:r>
        <w:t>burial due to redox recycling of phosphate, whereby oxygen minimum zones (OMZ) with O</w:t>
      </w:r>
      <w:r>
        <w:rPr>
          <w:vertAlign w:val="subscript"/>
        </w:rPr>
        <w:t>2</w:t>
      </w:r>
      <w:r>
        <w:t>&amp;lt; 90 µmol/kg impinge on the most C</w:t>
      </w:r>
      <w:r>
        <w:t xml:space="preserve"> </w:t>
      </w:r>
      <w:r>
        <w:t>org</w:t>
      </w:r>
      <w:r>
        <w:t xml:space="preserve"> </w:t>
      </w:r>
      <w:r>
        <w:t>rich continental shelf sediments. Such a sweet spot has narrowed over Earth history due to deepening OMZs, stabilizing both atmospheric O</w:t>
      </w:r>
      <w:r>
        <w:rPr>
          <w:vertAlign w:val="subscript"/>
        </w:rPr>
        <w:t>2</w:t>
      </w:r>
      <w:r>
        <w:t>and CO</w:t>
      </w:r>
      <w:r>
        <w:rPr>
          <w:vertAlign w:val="subscript"/>
        </w:rPr>
        <w:t>2</w:t>
      </w:r>
      <w:r>
        <w:t>. Continental marine inundation controls on phosphate availability, and the sedimentary carbon flux, provide a positive-feedback and rectifier to perturbations during inception of the icehouse world.</w:t>
      </w:r>
    </w:p>
    <w:p>
      <w:pPr>
        <w:spacing w:before="120" w:after="120"/>
      </w:pPr>
      <w:r>
        <w:rPr>
          <w:sz w:val="18"/>
        </w:rPr>
        <w:t>——————————————————————————————————————————————————————————————————————</w:t>
      </w:r>
    </w:p>
    <w:p>
      <w:pPr>
        <w:spacing w:before="160" w:after="40" w:line="240" w:lineRule="auto"/>
      </w:pPr>
      <w:r>
        <w:rPr>
          <w:b/>
        </w:rPr>
        <w:t xml:space="preserve">[97] </w:t>
      </w:r>
      <w:hyperlink r:id="rId454">
        <w:r>
          <w:rPr>
            <w:color w:val="1155CC"/>
            <w:u w:val="single"/>
          </w:rPr>
          <w:t>在野外觅食的马蹄蝠会调整感应，将猎物的回声与背景杂乱分开</w:t>
        </w:r>
      </w:hyperlink>
    </w:p>
    <w:p>
      <w:pPr>
        <w:spacing w:before="0" w:after="80"/>
      </w:pPr>
      <w:r>
        <w:rPr>
          <w:i/>
          <w:sz w:val="20"/>
        </w:rPr>
        <w:t>EN: Horseshoe bats foraging in the wild adjust sensing to separate prey echoes from background clutter</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55">
        <w:r>
          <w:rPr>
            <w:color w:val="1155CC"/>
            <w:u w:val="single"/>
          </w:rPr>
          <w:t>10.1073/pnas.2525520123</w:t>
        </w:r>
      </w:hyperlink>
    </w:p>
    <w:p>
      <w:pPr>
        <w:spacing w:before="0" w:after="120"/>
      </w:pPr>
      <w:r>
        <w:rPr>
          <w:b/>
        </w:rPr>
        <w:t xml:space="preserve">Notes: </w:t>
      </w:r>
      <w:r>
        <w:t>abstract_source=crossref</w:t>
      </w:r>
    </w:p>
    <w:p>
      <w:pPr>
        <w:spacing w:before="0" w:after="80" w:lineRule="auto" w:line="276"/>
      </w:pPr>
      <w:r>
        <w:rPr>
          <w:b/>
        </w:rPr>
        <w:t xml:space="preserve">摘要（ZH）: </w:t>
      </w:r>
      <w:r>
        <w:t>在自然条件下，很难研究动物如何处理大量传入的感官信息并调节感知。使用带麦克风的微型 GPS 标签，我们监测了自由觅食的大马蹄蝠的感知情况。蝙蝠与环境保持声学接触，并在通勤和短途飞行时捕捉昆虫。蝙蝠调整它们的叫声频率，以将来自背景的最高频率回声保持在一个恒定的最大频率，该回声位于前向、空间有限的区域中。这种多普勒频移补偿策略保证了在蝙蝠前方飞行的昆虫的回声在其听觉中央凹的敏感中心被接收，同时以较低频率接收到掩盖背景回声。我们的结果揭示了一种主动传感策略，允许在自然条件下将信号与背景输入分离。</w:t>
      </w:r>
    </w:p>
    <w:p>
      <w:pPr>
        <w:spacing w:before="0" w:after="200" w:lineRule="auto" w:line="276"/>
      </w:pPr>
      <w:r>
        <w:rPr>
          <w:b/>
        </w:rPr>
        <w:t xml:space="preserve">Abstract (EN): </w:t>
      </w:r>
      <w:r>
        <w:t>How animals handle immense incoming sensory information and regulate sensing is difficult to study under natural conditions. Using miniature GPS tags with microphones we monitored the sensing of freely foraging greater horseshoe bats. Bats stayed in acoustic contact with the environment and caught insects while commuting and in short flights from a perch. Bats adjusted their call frequency to maintain the highest-frequency echoes from background in a forward-directed, spatially limited sector at a constant maximal frequency. This Doppler-shift-compensation strategy guaranteed that echoes of insects flying in front of the bats were received at the sensitive center of their auditory fovea while masking background echoes were received at lower frequencies. Our results reveal an active sensing strategy allowing segregation of signals from background input under natural conditions.</w:t>
      </w:r>
    </w:p>
    <w:p>
      <w:pPr>
        <w:spacing w:before="120" w:after="120"/>
      </w:pPr>
      <w:r>
        <w:rPr>
          <w:sz w:val="18"/>
        </w:rPr>
        <w:t>——————————————————————————————————————————————————————————————————————</w:t>
      </w:r>
    </w:p>
    <w:p>
      <w:pPr>
        <w:spacing w:before="160" w:after="40" w:line="240" w:lineRule="auto"/>
      </w:pPr>
      <w:r>
        <w:rPr>
          <w:b/>
        </w:rPr>
        <w:t xml:space="preserve">[98] </w:t>
      </w:r>
      <w:hyperlink r:id="rId456">
        <w:r>
          <w:rPr>
            <w:color w:val="1155CC"/>
            <w:u w:val="single"/>
          </w:rPr>
          <w:t>人们更喜欢与女性谈判，即使结果相同且性别未知</w:t>
        </w:r>
      </w:hyperlink>
    </w:p>
    <w:p>
      <w:pPr>
        <w:spacing w:before="0" w:after="80"/>
      </w:pPr>
      <w:r>
        <w:rPr>
          <w:i/>
          <w:sz w:val="20"/>
        </w:rPr>
        <w:t>EN: People prefer to negotiate with women, even when outcomes are identical and gender is unknown</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57">
        <w:r>
          <w:rPr>
            <w:color w:val="1155CC"/>
            <w:u w:val="single"/>
          </w:rPr>
          <w:t>10.1073/pnas.2523202123</w:t>
        </w:r>
      </w:hyperlink>
    </w:p>
    <w:p>
      <w:pPr>
        <w:spacing w:before="0" w:after="120"/>
      </w:pPr>
      <w:r>
        <w:rPr>
          <w:b/>
        </w:rPr>
        <w:t xml:space="preserve">Notes: </w:t>
      </w:r>
      <w:r>
        <w:t>abstract_source=crossref</w:t>
      </w:r>
    </w:p>
    <w:p>
      <w:pPr>
        <w:spacing w:before="0" w:after="80" w:lineRule="auto" w:line="276"/>
      </w:pPr>
      <w:r>
        <w:rPr>
          <w:b/>
        </w:rPr>
        <w:t xml:space="preserve">摘要（ZH）: </w:t>
      </w:r>
      <w:r>
        <w:t>尽管人们对谈判中的性别和经济成果进行了数十年的研究，但人们对主观结果中的性别差异知之甚少，例如信任、融洽关系和再次谈判的意愿，尽管它们对于长期成功很重要。在对 2,000 多名参与者进行的一系列研究中，我们发现人们在与女性谈判时始终表现出更好的主观结果。即使在性别未知且无法从行为中推断的匿名谈判中，以及在随机分配谈判伙伴性别的情况下，这种偏好仍然存在。重要的是，我们发现经济成果没有性别差异。为了理解其中的原因，我们分析了真实谈判的记录中是否存在任何行为差异。这些发现揭示了一个被忽视的性别动态：虽然男性和女性取得了相似的经济成果，但女性培养了更牢固的人际关系，这反过来又带来了更大的满足感和对未来与女性谈判的更大渴望。</w:t>
      </w:r>
    </w:p>
    <w:p>
      <w:pPr>
        <w:spacing w:before="0" w:after="200" w:lineRule="auto" w:line="276"/>
      </w:pPr>
      <w:r>
        <w:rPr>
          <w:b/>
        </w:rPr>
        <w:t xml:space="preserve">Abstract (EN): </w:t>
      </w:r>
      <w:r>
        <w:t>While gender and economic outcomes in negotiation have been studied for decades, much less is known about gender differences in subjective outcomes, such as trust, rapport, and willingness to negotiate again, despite their importance for long-term success. In a series of studies with over 2,000 participants, we find that people consistently report better subjective outcomes when negotiating with women. This preference persists even in anonymous negotiations where gender is unknown and cannot be inferred from behavior, as well as in conditions where negotiation partner gender is randomly assigned. Importantly, we find no gender difference in economic outcomes. To understand why, we analyzed transcripts of real negotiations for any behavioral differences. These findings reveal an overlooked gender dynamic: While men and women achieve similar economic results, women foster stronger interpersonal relationships, which in turn lead to greater satisfaction and greater desire for future negotiations with women.</w:t>
      </w:r>
    </w:p>
    <w:p>
      <w:pPr>
        <w:spacing w:before="120" w:after="120"/>
      </w:pPr>
      <w:r>
        <w:rPr>
          <w:sz w:val="18"/>
        </w:rPr>
        <w:t>——————————————————————————————————————————————————————————————————————</w:t>
      </w:r>
    </w:p>
    <w:p>
      <w:pPr>
        <w:spacing w:before="160" w:after="40" w:line="240" w:lineRule="auto"/>
      </w:pPr>
      <w:r>
        <w:rPr>
          <w:b/>
        </w:rPr>
        <w:t xml:space="preserve">[99] </w:t>
      </w:r>
      <w:hyperlink r:id="rId458">
        <w:r>
          <w:rPr>
            <w:color w:val="1155CC"/>
            <w:u w:val="single"/>
          </w:rPr>
          <w:t>水文连通性放大了美国本土河流 N2O 排放热点和热点时刻</w:t>
        </w:r>
      </w:hyperlink>
    </w:p>
    <w:p>
      <w:pPr>
        <w:spacing w:before="0" w:after="80"/>
      </w:pPr>
      <w:r>
        <w:rPr>
          <w:i/>
          <w:sz w:val="20"/>
        </w:rPr>
        <w:t>EN: Hydrologic connectivity amplifies riverine N2O emission hot spots and hot moments across the contiguous United States</w:t>
      </w:r>
    </w:p>
    <w:p>
      <w:pPr>
        <w:spacing w:before="0" w:after="120"/>
      </w:pPr>
      <w:r>
        <w:rPr>
          <w:b/>
        </w:rPr>
        <w:t xml:space="preserve">Source: </w:t>
      </w:r>
      <w:r>
        <w:t>Proceedings of the National Academy of Sciences: Keyword search for query</w:t>
      </w:r>
      <w:r>
        <w:t xml:space="preserve">    </w:t>
      </w:r>
      <w:r>
        <w:rPr>
          <w:b/>
        </w:rPr>
        <w:t xml:space="preserve">Pub date: </w:t>
      </w:r>
      <w:r>
        <w:t>2026-06-22 07:00:00+00:00</w:t>
      </w:r>
      <w:r>
        <w:t xml:space="preserve">    </w:t>
      </w:r>
      <w:r>
        <w:rPr>
          <w:b/>
        </w:rPr>
        <w:t xml:space="preserve">DOI: </w:t>
      </w:r>
      <w:hyperlink r:id="rId459">
        <w:r>
          <w:rPr>
            <w:color w:val="1155CC"/>
            <w:u w:val="single"/>
          </w:rPr>
          <w:t>10.1073/pnas.2524113123</w:t>
        </w:r>
      </w:hyperlink>
    </w:p>
    <w:p>
      <w:pPr>
        <w:spacing w:before="0" w:after="120"/>
      </w:pPr>
      <w:r>
        <w:rPr>
          <w:b/>
        </w:rPr>
        <w:t xml:space="preserve">Notes: </w:t>
      </w:r>
      <w:r>
        <w:t>abstract_source=crossref</w:t>
      </w:r>
    </w:p>
    <w:p>
      <w:pPr>
        <w:spacing w:before="0" w:after="80" w:lineRule="auto" w:line="276"/>
      </w:pPr>
      <w:r>
        <w:rPr>
          <w:b/>
        </w:rPr>
        <w:t xml:space="preserve">摘要（ZH）: </w:t>
      </w:r>
      <w:r>
        <w:t>河流一氧化二氮（N</w:t>
      </w:r>
      <w:r>
        <w:rPr>
          <w:vertAlign w:val="subscript"/>
        </w:rPr>
        <w:t>2</w:t>
      </w:r>
      <w:r>
        <w:t>O) 排放构成全球温室气体预算的重要但不确定的组成部分。我们整合了美国本土 (CONUS) 约 3,600 个观测数据，提出了每月解析的全国范围河流 N 估计值</w:t>
      </w:r>
      <w:r>
        <w:rPr>
          <w:vertAlign w:val="subscript"/>
        </w:rPr>
        <w:t>2</w:t>
      </w:r>
      <w:r>
        <w:t>O排放量（60.7 Gg N</w:t>
      </w:r>
      <w:r>
        <w:rPr>
          <w:vertAlign w:val="subscript"/>
        </w:rPr>
        <w:t>2</w:t>
      </w:r>
      <w:r>
        <w:t>奥尼</w:t>
      </w:r>
      <w:r>
        <w:t xml:space="preserve"> </w:t>
      </w:r>
      <w:r>
        <w:t>−1</w:t>
      </w:r>
      <w:r>
        <w:t xml:space="preserve"> </w:t>
      </w:r>
      <w:r>
        <w:t>; 95% CI：41.9 至 71.2）使用机器学习框架。我们的分析表明，增强的水文连通性强烈调节氮和 N</w:t>
      </w:r>
      <w:r>
        <w:rPr>
          <w:vertAlign w:val="subscript"/>
        </w:rPr>
        <w:t>2</w:t>
      </w:r>
      <w:r>
        <w:t>向溪流输送氧气，在高流量期间推动排放热点时刻，特别是在营养丰富的低阶溪流中。中西部玉米带被认为是主要的排放热点，其中连通性的季节性增加（例如冬末解冻和收获后降雨）相对于直接土壤排放放大了河流排放。我们针对分水岭的 EF</w:t>
      </w:r>
      <w:r>
        <w:t xml:space="preserve"> </w:t>
      </w:r>
      <w:r>
        <w:t>5r</w:t>
      </w:r>
      <w:r>
        <w:t xml:space="preserve"> </w:t>
      </w:r>
      <w:r>
        <w:t>（0.0005 至 0.029）平均比 IPCC 默认值（0.0026）高出两倍以上，在集约化管理的流域中高达 10 倍。这些发现强调了将水文连通性和氮输送纳入气候模型和流域氮管理策略的重要性。</w:t>
      </w:r>
    </w:p>
    <w:p>
      <w:pPr>
        <w:spacing w:before="0" w:after="200" w:lineRule="auto" w:line="276"/>
      </w:pPr>
      <w:r>
        <w:rPr>
          <w:b/>
        </w:rPr>
        <w:t xml:space="preserve">Abstract (EN): </w:t>
      </w:r>
      <w:r>
        <w:t>Riverine nitrous oxide (N</w:t>
      </w:r>
      <w:r>
        <w:rPr>
          <w:vertAlign w:val="subscript"/>
        </w:rPr>
        <w:t>2</w:t>
      </w:r>
      <w:r>
        <w:t>O) emissions constitute a significant yet uncertain component of global greenhouse gas budgets. Integrating approximately 3,600 observations across the contiguous United States (CONUS), we present a monthly resolved, national-scale estimate of riverine N</w:t>
      </w:r>
      <w:r>
        <w:rPr>
          <w:vertAlign w:val="subscript"/>
        </w:rPr>
        <w:t>2</w:t>
      </w:r>
      <w:r>
        <w:t>O emissions (60.7 Gg N</w:t>
      </w:r>
      <w:r>
        <w:rPr>
          <w:vertAlign w:val="subscript"/>
        </w:rPr>
        <w:t>2</w:t>
      </w:r>
      <w:r>
        <w:t>O-N y</w:t>
      </w:r>
      <w:r>
        <w:t xml:space="preserve"> </w:t>
      </w:r>
      <w:r>
        <w:t>−1</w:t>
      </w:r>
      <w:r>
        <w:t xml:space="preserve"> </w:t>
      </w:r>
      <w:r>
        <w:t>; 95% CI: 41.9 to 71.2) using a machine-learning framework. Our analysis reveals that enhanced hydrologic connectivity strongly regulates nitrogen and N</w:t>
      </w:r>
      <w:r>
        <w:rPr>
          <w:vertAlign w:val="subscript"/>
        </w:rPr>
        <w:t>2</w:t>
      </w:r>
      <w:r>
        <w:t>O delivery to streams, driving emission hot moments during high-flow periods, especially in nutrient-rich low-order streams. The Midwest Corn Belt is identified as a major emission hot spot, where seasonal increases in connectivity (e.g., late-winter thaws and postharvest rainfall) amplify riverine emissions relative to direct soil emissions. Our watershed-specific EF</w:t>
      </w:r>
      <w:r>
        <w:t xml:space="preserve"> </w:t>
      </w:r>
      <w:r>
        <w:t>5r</w:t>
      </w:r>
      <w:r>
        <w:t xml:space="preserve"> </w:t>
      </w:r>
      <w:r>
        <w:t>(0.0005 to 0.029) exceeds the IPCC default (0.0026) by more than twofold on average and up to 10-fold in intensively managed watersheds. These findings highlight the importance of incorporating hydrologic connectivity and nitrogen transport into climate models and watershed nitrogen management strategies.</w:t>
      </w:r>
    </w:p>
    <w:p>
      <w:pPr>
        <w:spacing w:before="120" w:after="120"/>
      </w:pPr>
      <w:r>
        <w:rPr>
          <w:sz w:val="18"/>
        </w:rPr>
        <w:t>——————————————————————————————————————————————————————————————————————</w:t>
      </w:r>
    </w:p>
    <w:p>
      <w:pPr>
        <w:spacing w:before="160" w:after="40" w:line="240" w:lineRule="auto"/>
      </w:pPr>
      <w:r>
        <w:rPr>
          <w:b/>
        </w:rPr>
        <w:t xml:space="preserve">[100] </w:t>
      </w:r>
      <w:hyperlink r:id="rId460">
        <w:r>
          <w:rPr>
            <w:color w:val="1155CC"/>
            <w:u w:val="single"/>
          </w:rPr>
          <w:t>通过飞秒相关性重建稀有粒子的来源</w:t>
        </w:r>
      </w:hyperlink>
    </w:p>
    <w:p>
      <w:pPr>
        <w:spacing w:before="0" w:after="80"/>
      </w:pPr>
      <w:r>
        <w:rPr>
          <w:i/>
          <w:sz w:val="20"/>
        </w:rPr>
        <w:t>EN: Reconstructing sources of rare particles by femtoscopic correlations</w:t>
      </w:r>
    </w:p>
    <w:p>
      <w:pPr>
        <w:spacing w:before="0" w:after="120"/>
      </w:pPr>
      <w:r>
        <w:rPr>
          <w:b/>
        </w:rPr>
        <w:t xml:space="preserve">Source: </w:t>
      </w:r>
      <w:r>
        <w:t>Recent Articles in Phys. Rev. C</w:t>
      </w:r>
      <w:r>
        <w:t xml:space="preserve">    </w:t>
      </w:r>
      <w:r>
        <w:rPr>
          <w:b/>
        </w:rPr>
        <w:t xml:space="preserve">Pub date: </w:t>
      </w:r>
      <w:r>
        <w:t>2026-06-22 10:00:00+00:00</w:t>
      </w:r>
      <w:r>
        <w:t xml:space="preserve">    </w:t>
      </w:r>
      <w:r>
        <w:rPr>
          <w:b/>
        </w:rPr>
        <w:t xml:space="preserve">DOI: </w:t>
      </w:r>
      <w:hyperlink r:id="rId461">
        <w:r>
          <w:rPr>
            <w:color w:val="1155CC"/>
            <w:u w:val="single"/>
          </w:rPr>
          <w:t>10.1103/kpdh-t7hs</w:t>
        </w:r>
      </w:hyperlink>
    </w:p>
    <w:p>
      <w:pPr>
        <w:spacing w:before="0" w:after="120"/>
      </w:pPr>
      <w:r>
        <w:rPr>
          <w:b/>
        </w:rPr>
        <w:t xml:space="preserve">Notes: </w:t>
      </w:r>
      <w:r>
        <w:t>abstract_source=rss_description</w:t>
      </w:r>
    </w:p>
    <w:p>
      <w:pPr>
        <w:spacing w:before="0" w:after="80" w:lineRule="auto" w:line="276"/>
      </w:pPr>
      <w:r>
        <w:rPr>
          <w:b/>
        </w:rPr>
        <w:t xml:space="preserve">摘要（ZH）: </w:t>
      </w:r>
      <w:r>
        <w:t>作者：张良、张松、孙开佳、马余刚 粒子发射源的测量是高能核碰撞飞秒观测的基本目标。传统分析依赖于对发射源的高斯参数化，这使得单粒子发射源的提取具有挑战性，特别是对于稀有部分......[Phys。 Rev. C 113, 064907] 于 2026 年 6 月 22 日星期一发布</w:t>
      </w:r>
    </w:p>
    <w:p>
      <w:pPr>
        <w:spacing w:before="0" w:after="200" w:lineRule="auto" w:line="276"/>
      </w:pPr>
      <w:r>
        <w:rPr>
          <w:b/>
        </w:rPr>
        <w:t xml:space="preserve">Abstract (EN): </w:t>
      </w:r>
      <w:r>
        <w:t>Author(s): Liang Zhang (张良), Song Zhang (张松), Kai-Jia Sun (孙开佳), and Yu-Gang Ma (马余刚)Measurement of particle emission source is a fundamental objective of femtoscopy in high-energy nuclear collisions. Conventional analyses rely on Gaussian parametrizations of pair emission sources, which makes the extraction of single-particle emission sources challenging, particularly for rare part…[Phys. Rev. C 113, 064907] Published Mon Jun 22, 2026</w:t>
      </w:r>
    </w:p>
    <w:p>
      <w:pPr>
        <w:spacing w:before="120" w:after="120"/>
      </w:pPr>
      <w:r>
        <w:rPr>
          <w:sz w:val="18"/>
        </w:rPr>
        <w:t>——————————————————————————————————————————————————————————————————————</w:t>
      </w:r>
    </w:p>
    <w:p>
      <w:pPr>
        <w:spacing w:before="160" w:after="40" w:line="240" w:lineRule="auto"/>
      </w:pPr>
      <w:r>
        <w:rPr>
          <w:b/>
        </w:rPr>
        <w:t xml:space="preserve">[101] </w:t>
      </w:r>
      <w:hyperlink r:id="rId462">
        <w:r>
          <w:rPr>
            <w:color w:val="1155CC"/>
            <w:u w:val="single"/>
          </w:rPr>
          <w:t>几乎无中生有的字符串</w:t>
        </w:r>
      </w:hyperlink>
    </w:p>
    <w:p>
      <w:pPr>
        <w:spacing w:before="0" w:after="80"/>
      </w:pPr>
      <w:r>
        <w:rPr>
          <w:i/>
          <w:sz w:val="20"/>
        </w:rPr>
        <w:t>EN: Strings from Almost Nothing</w:t>
      </w:r>
    </w:p>
    <w:p>
      <w:pPr>
        <w:spacing w:before="0" w:after="120"/>
      </w:pPr>
      <w:r>
        <w:rPr>
          <w:b/>
        </w:rPr>
        <w:t xml:space="preserve">Source: </w:t>
      </w:r>
      <w:r>
        <w:t>Recent Articles in Phys. Rev. Lett.</w:t>
      </w:r>
      <w:r>
        <w:t xml:space="preserve">    </w:t>
      </w:r>
      <w:r>
        <w:rPr>
          <w:b/>
        </w:rPr>
        <w:t xml:space="preserve">Pub date: </w:t>
      </w:r>
      <w:r>
        <w:t>2026-06-22 10:00:00+00:00</w:t>
      </w:r>
      <w:r>
        <w:t xml:space="preserve">    </w:t>
      </w:r>
      <w:r>
        <w:rPr>
          <w:b/>
        </w:rPr>
        <w:t xml:space="preserve">DOI: </w:t>
      </w:r>
      <w:hyperlink r:id="rId463">
        <w:r>
          <w:rPr>
            <w:color w:val="1155CC"/>
            <w:u w:val="single"/>
          </w:rPr>
          <w:t>10.1103/cw4p-cqh7</w:t>
        </w:r>
      </w:hyperlink>
    </w:p>
    <w:p>
      <w:pPr>
        <w:spacing w:before="0" w:after="120"/>
      </w:pPr>
      <w:r>
        <w:rPr>
          <w:b/>
        </w:rPr>
        <w:t xml:space="preserve">Notes: </w:t>
      </w:r>
      <w:r>
        <w:t>abstract_source=rss_description</w:t>
      </w:r>
    </w:p>
    <w:p>
      <w:pPr>
        <w:spacing w:before="0" w:after="80" w:lineRule="auto" w:line="276"/>
      </w:pPr>
      <w:r>
        <w:rPr>
          <w:b/>
        </w:rPr>
        <w:t xml:space="preserve">摘要（ZH）: </w:t>
      </w:r>
      <w:r>
        <w:t>作者：Clifford Cheung、Grant N. Remmen、Francesco Sciotti 和 Michele Tarquini 研究人员使用“引导”方法表明，一小部分假设可能自然会导致对某些高能过程的弦理论描述。莱特牧师。 136, 251601] 2026 年 6 月 22 日星期一发布</w:t>
      </w:r>
    </w:p>
    <w:p>
      <w:pPr>
        <w:spacing w:before="0" w:after="200" w:lineRule="auto" w:line="276"/>
      </w:pPr>
      <w:r>
        <w:rPr>
          <w:b/>
        </w:rPr>
        <w:t xml:space="preserve">Abstract (EN): </w:t>
      </w:r>
      <w:r>
        <w:t>Author(s): Clifford Cheung, Grant N. Remmen, Francesco Sciotti, and Michele TarquiniUsing a “bootstrap” approach, researchers show that a small set of assumptions may naturally lead to a string-theory description of certain high-energy processes.[Phys. Rev. Lett. 136, 251601] Published Mon Jun 22, 2026</w:t>
      </w:r>
    </w:p>
    <w:p>
      <w:pPr>
        <w:spacing w:before="120" w:after="120"/>
      </w:pPr>
      <w:r>
        <w:rPr>
          <w:sz w:val="18"/>
        </w:rPr>
        <w:t>——————————————————————————————————————————————————————————————————————</w:t>
      </w:r>
    </w:p>
    <w:p>
      <w:pPr>
        <w:spacing w:before="160" w:after="40" w:line="240" w:lineRule="auto"/>
      </w:pPr>
      <w:r>
        <w:rPr>
          <w:b/>
        </w:rPr>
        <w:t xml:space="preserve">[102] </w:t>
      </w:r>
      <w:hyperlink r:id="rId464">
        <w:r>
          <w:rPr>
            <w:color w:val="1155CC"/>
            <w:u w:val="single"/>
          </w:rPr>
          <w:t>富中子 $N=108$ 核 $^{178}\mathrm{Yb}$ 和 $^{179}\mathrm{Lu}$ 中的异构态</w:t>
        </w:r>
      </w:hyperlink>
    </w:p>
    <w:p>
      <w:pPr>
        <w:spacing w:before="0" w:after="80"/>
      </w:pPr>
      <w:r>
        <w:rPr>
          <w:i/>
          <w:sz w:val="20"/>
        </w:rPr>
        <w:t>EN: Isomeric states in the neutron-rich $N=108$ nuclei $^{178}\mathrm{Yb}$ and $^{179}\mathrm{Lu}$</w:t>
      </w:r>
    </w:p>
    <w:p>
      <w:pPr>
        <w:spacing w:before="0" w:after="120"/>
      </w:pPr>
      <w:r>
        <w:rPr>
          <w:b/>
        </w:rPr>
        <w:t xml:space="preserve">Source: </w:t>
      </w:r>
      <w:r>
        <w:t>Recent Articles in Phys. Rev. C</w:t>
      </w:r>
      <w:r>
        <w:t xml:space="preserve">    </w:t>
      </w:r>
      <w:r>
        <w:rPr>
          <w:b/>
        </w:rPr>
        <w:t xml:space="preserve">Pub date: </w:t>
      </w:r>
      <w:r>
        <w:t>2026-06-22 10:00:00+00:00</w:t>
      </w:r>
      <w:r>
        <w:t xml:space="preserve">    </w:t>
      </w:r>
      <w:r>
        <w:rPr>
          <w:b/>
        </w:rPr>
        <w:t xml:space="preserve">DOI: </w:t>
      </w:r>
      <w:hyperlink r:id="rId465">
        <w:r>
          <w:rPr>
            <w:color w:val="1155CC"/>
            <w:u w:val="single"/>
          </w:rPr>
          <w:t>10.1103/skcg-yl8f</w:t>
        </w:r>
      </w:hyperlink>
    </w:p>
    <w:p>
      <w:pPr>
        <w:spacing w:before="0" w:after="120"/>
      </w:pPr>
      <w:r>
        <w:rPr>
          <w:b/>
        </w:rPr>
        <w:t xml:space="preserve">Notes: </w:t>
      </w:r>
      <w:r>
        <w:t>abstract_source=rss_description</w:t>
      </w:r>
    </w:p>
    <w:p>
      <w:pPr>
        <w:spacing w:before="0" w:after="80" w:lineRule="auto" w:line="276"/>
      </w:pPr>
      <w:r>
        <w:rPr>
          <w:b/>
        </w:rPr>
        <w:t xml:space="preserve">摘要（ZH）: </w:t>
      </w:r>
      <w:r>
        <w:t>作者：D. J. Hartley、F. G. Kondev、G. J. Lane、R. V. F. Janssens、G. D. Dracoulis、A. P. Byrne、M. P. Carpenter、P. Chowdhury、T. Lauritsen、D. Seweryniak 和 H. WatanabeA 多核转移反应，采用 $^{136}\mathrm{Xe}$ 光束和金支持的$^{176}\mathrm{Yb}$目标为$N=108\phantom{\rule{0.16em}{0ex}}^{178}\mathrm{Yb}$和$^{179}\mathrm{Lu}$中的填充异构体。从 $^{178}\mathrm{Yb}$ 中的 ${t}_{1/2}=203$(16) ns 异构体到 ${I}^…[Phys. Rev. C 113, 064314] 于 2026 年 6 月 22 日星期一发布</w:t>
      </w:r>
    </w:p>
    <w:p>
      <w:pPr>
        <w:spacing w:before="0" w:after="200" w:lineRule="auto" w:line="276"/>
      </w:pPr>
      <w:r>
        <w:rPr>
          <w:b/>
        </w:rPr>
        <w:t xml:space="preserve">Abstract (EN): </w:t>
      </w:r>
      <w:r>
        <w:t>Author(s): D. J. Hartley, F. G. Kondev, G. J. Lane, R. V. F. Janssens, G. D. Dracoulis, A. P. Byrne, M. P. Carpenter, P. Chowdhury, T. Lauritsen, D. Seweryniak, and H. WatanabeA multinucleon transfer reaction with a $^{136}\mathrm{Xe}$ beam and a gold-backed $^{176}\mathrm{Yb}$ target populated isomers in $N=108\phantom{\rule{0.16em}{0ex}}^{178}\mathrm{Yb}$ and $^{179}\mathrm{Lu}$. The single decay from the ${t}_{1/2}=203$(16) ns isomer in $^{178}\mathrm{Yb}$ to the ${I}^…[Phys. Rev. C 113, 064314] Published Mon Jun 22, 2026</w:t>
      </w:r>
    </w:p>
    <w:p>
      <w:pPr>
        <w:spacing w:before="120" w:after="120"/>
      </w:pPr>
      <w:r>
        <w:rPr>
          <w:sz w:val="18"/>
        </w:rPr>
        <w:t>——————————————————————————————————————————————————————————————————————</w:t>
      </w:r>
    </w:p>
    <w:p>
      <w:pPr>
        <w:spacing w:before="160" w:after="40" w:line="240" w:lineRule="auto"/>
      </w:pPr>
      <w:r>
        <w:rPr>
          <w:b/>
        </w:rPr>
        <w:t xml:space="preserve">[103] </w:t>
      </w:r>
      <w:hyperlink r:id="rId466">
        <w:r>
          <w:rPr>
            <w:color w:val="1155CC"/>
            <w:u w:val="single"/>
          </w:rPr>
          <w:t>晶格量子蒙特卡罗模拟的多参考试验状态</w:t>
        </w:r>
      </w:hyperlink>
    </w:p>
    <w:p>
      <w:pPr>
        <w:spacing w:before="0" w:after="80"/>
      </w:pPr>
      <w:r>
        <w:rPr>
          <w:i/>
          <w:sz w:val="20"/>
        </w:rPr>
        <w:t>EN: Multireference trial state for lattice quantum Monte Carlo simulations</w:t>
      </w:r>
    </w:p>
    <w:p>
      <w:pPr>
        <w:spacing w:before="0" w:after="120"/>
      </w:pPr>
      <w:r>
        <w:rPr>
          <w:b/>
        </w:rPr>
        <w:t xml:space="preserve">Source: </w:t>
      </w:r>
      <w:r>
        <w:t>Recent Articles in Phys. Rev. C</w:t>
      </w:r>
      <w:r>
        <w:t xml:space="preserve">    </w:t>
      </w:r>
      <w:r>
        <w:rPr>
          <w:b/>
        </w:rPr>
        <w:t xml:space="preserve">Pub date: </w:t>
      </w:r>
      <w:r>
        <w:t>2026-06-22 10:00:00+00:00</w:t>
      </w:r>
      <w:r>
        <w:t xml:space="preserve">    </w:t>
      </w:r>
      <w:r>
        <w:rPr>
          <w:b/>
        </w:rPr>
        <w:t xml:space="preserve">DOI: </w:t>
      </w:r>
      <w:hyperlink r:id="rId467">
        <w:r>
          <w:rPr>
            <w:color w:val="1155CC"/>
            <w:u w:val="single"/>
          </w:rPr>
          <w:t>10.1103/l43k-pjjg</w:t>
        </w:r>
      </w:hyperlink>
    </w:p>
    <w:p>
      <w:pPr>
        <w:spacing w:before="0" w:after="120"/>
      </w:pPr>
      <w:r>
        <w:rPr>
          <w:b/>
        </w:rPr>
        <w:t xml:space="preserve">Notes: </w:t>
      </w:r>
      <w:r>
        <w:t>abstract_source=rss_description</w:t>
      </w:r>
    </w:p>
    <w:p>
      <w:pPr>
        <w:spacing w:before="0" w:after="80" w:lineRule="auto" w:line="276"/>
      </w:pPr>
      <w:r>
        <w:rPr>
          <w:b/>
        </w:rPr>
        <w:t xml:space="preserve">摘要（ZH）: </w:t>
      </w:r>
      <w:r>
        <w:t>作者：Teng Wang、Xu Feng 和 Bing-Nan Lu核晶格有效场理论 (NLEFT) 是一种使用虚数时间投影技术求解核多体系统的高效从头计算工具，其中试验状态的准备对于大幅降低实现所需数值所需的计算成本至关重要……[Phys. Rev. C 113, 064315] 于 2026 年 6 月 22 日星期一发布</w:t>
      </w:r>
    </w:p>
    <w:p>
      <w:pPr>
        <w:spacing w:before="0" w:after="200" w:lineRule="auto" w:line="276"/>
      </w:pPr>
      <w:r>
        <w:rPr>
          <w:b/>
        </w:rPr>
        <w:t xml:space="preserve">Abstract (EN): </w:t>
      </w:r>
      <w:r>
        <w:t>Author(s): Teng Wang, Xu Feng, and Bing-Nan LuNuclear lattice effective field theory (NLEFT) is an efficient ab initio tool for solving nuclear many-body systems using the imaginary-time projection technique, where the preparation of trial states is essential for substantially reducing the computational cost required to achieve the desired nume…[Phys. Rev. C 113, 064315] Published Mon Jun 22, 2026</w:t>
      </w:r>
    </w:p>
    <w:p>
      <w:pPr>
        <w:spacing w:before="120" w:after="120"/>
      </w:pPr>
      <w:r>
        <w:rPr>
          <w:sz w:val="18"/>
        </w:rPr>
        <w:t>——————————————————————————————————————————————————————————————————————</w:t>
      </w:r>
    </w:p>
    <w:p>
      <w:pPr>
        <w:spacing w:before="160" w:after="40" w:line="240" w:lineRule="auto"/>
      </w:pPr>
      <w:r>
        <w:rPr>
          <w:b/>
        </w:rPr>
        <w:t xml:space="preserve">[104] </w:t>
      </w:r>
      <w:hyperlink r:id="rId468">
        <w:r>
          <w:rPr>
            <w:color w:val="1155CC"/>
            <w:u w:val="single"/>
          </w:rPr>
          <w:t>复标度方法中的时间演化形式：应用于 $^{6}\mathrm{He}$ 的 $E1$ 响应</w:t>
        </w:r>
      </w:hyperlink>
    </w:p>
    <w:p>
      <w:pPr>
        <w:spacing w:before="0" w:after="80"/>
      </w:pPr>
      <w:r>
        <w:rPr>
          <w:i/>
          <w:sz w:val="20"/>
        </w:rPr>
        <w:t>EN: Time-evolution formalism in the complex scaling method: Application to the $E1$ response of $^{6}\mathrm{He}$</w:t>
      </w:r>
    </w:p>
    <w:p>
      <w:pPr>
        <w:spacing w:before="0" w:after="120"/>
      </w:pPr>
      <w:r>
        <w:rPr>
          <w:b/>
        </w:rPr>
        <w:t xml:space="preserve">Source: </w:t>
      </w:r>
      <w:r>
        <w:t>Recent Articles in Phys. Rev. C</w:t>
      </w:r>
      <w:r>
        <w:t xml:space="preserve">    </w:t>
      </w:r>
      <w:r>
        <w:rPr>
          <w:b/>
        </w:rPr>
        <w:t xml:space="preserve">Pub date: </w:t>
      </w:r>
      <w:r>
        <w:t>2026-06-22 10:00:00+00:00</w:t>
      </w:r>
      <w:r>
        <w:t xml:space="preserve">    </w:t>
      </w:r>
      <w:r>
        <w:rPr>
          <w:b/>
        </w:rPr>
        <w:t xml:space="preserve">DOI: </w:t>
      </w:r>
      <w:hyperlink r:id="rId469">
        <w:r>
          <w:rPr>
            <w:color w:val="1155CC"/>
            <w:u w:val="single"/>
          </w:rPr>
          <w:t>10.1103/6t42-g968</w:t>
        </w:r>
      </w:hyperlink>
    </w:p>
    <w:p>
      <w:pPr>
        <w:spacing w:before="0" w:after="120"/>
      </w:pPr>
      <w:r>
        <w:rPr>
          <w:b/>
        </w:rPr>
        <w:t xml:space="preserve">Notes: </w:t>
      </w:r>
      <w:r>
        <w:t>abstract_source=rss_description</w:t>
      </w:r>
    </w:p>
    <w:p>
      <w:pPr>
        <w:spacing w:before="0" w:after="80" w:lineRule="auto" w:line="276"/>
      </w:pPr>
      <w:r>
        <w:rPr>
          <w:b/>
        </w:rPr>
        <w:t xml:space="preserve">摘要（ZH）: </w:t>
      </w:r>
      <w:r>
        <w:t>作者：Yuma Kikuchi、Kiyoshi Katō 和 Takayuki Myo背景：复标度方法 (CSM) 已成功用于将多体共振描述为适当的 ${L}^{2}$ 基础表示中的复标度哈密顿量的特征值。它的范围随后扩展到多体连续态、强度函数和……[物理。 Rev. C 113, 064316] 于 2026 年 6 月 22 日星期一发布</w:t>
      </w:r>
    </w:p>
    <w:p>
      <w:pPr>
        <w:spacing w:before="0" w:after="200" w:lineRule="auto" w:line="276"/>
      </w:pPr>
      <w:r>
        <w:rPr>
          <w:b/>
        </w:rPr>
        <w:t xml:space="preserve">Abstract (EN): </w:t>
      </w:r>
      <w:r>
        <w:t>Author(s): Yuma Kikuchi, Kiyoshi Katō, and Takayuki MyoBackground: The complex scaling method (CSM) has been successfully used to describe many-body resonances as eigenvalues of the complex-scaled Hamiltonian in an appropriate ${L}^{2}$ basis representation. Its scope has subsequently been extended to many-body continuum states, strength functions, and …[Phys. Rev. C 113, 064316] Published Mon Jun 22, 2026</w:t>
      </w:r>
    </w:p>
    <w:p>
      <w:pPr>
        <w:spacing w:before="120" w:after="120"/>
      </w:pPr>
      <w:r>
        <w:rPr>
          <w:sz w:val="18"/>
        </w:rPr>
        <w:t>——————————————————————————————————————————————————————————————————————</w:t>
      </w:r>
    </w:p>
    <w:p>
      <w:pPr>
        <w:spacing w:before="160" w:after="40" w:line="240" w:lineRule="auto"/>
      </w:pPr>
      <w:r>
        <w:rPr>
          <w:b/>
        </w:rPr>
        <w:t xml:space="preserve">[105] </w:t>
      </w:r>
      <w:hyperlink r:id="rId470">
        <w:r>
          <w:rPr>
            <w:color w:val="1155CC"/>
            <w:u w:val="single"/>
          </w:rPr>
          <w:t>外部复杂缩放使核反应的物理信息神经网络成为可能</w:t>
        </w:r>
      </w:hyperlink>
    </w:p>
    <w:p>
      <w:pPr>
        <w:spacing w:before="0" w:after="80"/>
      </w:pPr>
      <w:r>
        <w:rPr>
          <w:i/>
          <w:sz w:val="20"/>
        </w:rPr>
        <w:t>EN: Exterior complex scaling enables physics-informed neural networks for nuclear reactions</w:t>
      </w:r>
    </w:p>
    <w:p>
      <w:pPr>
        <w:spacing w:before="0" w:after="120"/>
      </w:pPr>
      <w:r>
        <w:rPr>
          <w:b/>
        </w:rPr>
        <w:t xml:space="preserve">Source: </w:t>
      </w:r>
      <w:r>
        <w:t>Recent Articles in Phys. Rev. C</w:t>
      </w:r>
      <w:r>
        <w:t xml:space="preserve">    </w:t>
      </w:r>
      <w:r>
        <w:rPr>
          <w:b/>
        </w:rPr>
        <w:t xml:space="preserve">Pub date: </w:t>
      </w:r>
      <w:r>
        <w:t>2026-06-22 10:00:00+00:00</w:t>
      </w:r>
      <w:r>
        <w:t xml:space="preserve">    </w:t>
      </w:r>
      <w:r>
        <w:rPr>
          <w:b/>
        </w:rPr>
        <w:t xml:space="preserve">DOI: </w:t>
      </w:r>
      <w:hyperlink r:id="rId471">
        <w:r>
          <w:rPr>
            <w:color w:val="1155CC"/>
            <w:u w:val="single"/>
          </w:rPr>
          <w:t>10.1103/sjz4-pq6p</w:t>
        </w:r>
      </w:hyperlink>
    </w:p>
    <w:p>
      <w:pPr>
        <w:spacing w:before="0" w:after="120"/>
      </w:pPr>
      <w:r>
        <w:rPr>
          <w:b/>
        </w:rPr>
        <w:t xml:space="preserve">Notes: </w:t>
      </w:r>
      <w:r>
        <w:t>abstract_source=rss_description</w:t>
      </w:r>
    </w:p>
    <w:p>
      <w:pPr>
        <w:spacing w:before="0" w:after="80" w:lineRule="auto" w:line="276"/>
      </w:pPr>
      <w:r>
        <w:rPr>
          <w:b/>
        </w:rPr>
        <w:t xml:space="preserve">摘要（ZH）: </w:t>
      </w:r>
      <w:r>
        <w:t>作者：金雷 物理信息神经网络 (PINN) 已成为求解微分方程的强大工具，但其在核散射中的应用却受到散射波函数的振荡、非衰变性质的阻碍。在这项工作中，我证明了外部复杂缩放 (E…[Phys. Rev. C 113, 064618] 于 2026 年 6 月 22 日星期一发布</w:t>
      </w:r>
    </w:p>
    <w:p>
      <w:pPr>
        <w:spacing w:before="0" w:after="200" w:lineRule="auto" w:line="276"/>
      </w:pPr>
      <w:r>
        <w:rPr>
          <w:b/>
        </w:rPr>
        <w:t xml:space="preserve">Abstract (EN): </w:t>
      </w:r>
      <w:r>
        <w:t>Author(s): Jin LeiPhysics-informed neural networks (PINNs) have emerged as a powerful tool for solving differential equations, yet their application to nuclear scattering has been hindered by the oscillatory, nondecaying nature of scattering wave functions. In this work, I demonstrate that exterior complex scaling (E…[Phys. Rev. C 113, 064618] Published Mon Jun 22, 2026</w:t>
      </w:r>
    </w:p>
    <w:p>
      <w:pPr>
        <w:spacing w:before="120" w:after="120"/>
      </w:pPr>
      <w:r>
        <w:rPr>
          <w:sz w:val="18"/>
        </w:rPr>
        <w:t>——————————————————————————————————————————————————————————————————————</w:t>
      </w:r>
    </w:p>
    <w:p>
      <w:pPr>
        <w:spacing w:before="160" w:after="40" w:line="240" w:lineRule="auto"/>
      </w:pPr>
      <w:r>
        <w:rPr>
          <w:b/>
        </w:rPr>
        <w:t xml:space="preserve">[106] </w:t>
      </w:r>
      <w:hyperlink r:id="rId472">
        <w:r>
          <w:rPr>
            <w:color w:val="1155CC"/>
            <w:u w:val="single"/>
          </w:rPr>
          <w:t>相对论平均场描述中重离子碰撞对轻团簇的中等影响</w:t>
        </w:r>
      </w:hyperlink>
    </w:p>
    <w:p>
      <w:pPr>
        <w:spacing w:before="0" w:after="80"/>
      </w:pPr>
      <w:r>
        <w:rPr>
          <w:i/>
          <w:sz w:val="20"/>
        </w:rPr>
        <w:t>EN: Medium effects on light clusters from heavy-ion collisions within a relativistic mean-field description</w:t>
      </w:r>
    </w:p>
    <w:p>
      <w:pPr>
        <w:spacing w:before="0" w:after="120"/>
      </w:pPr>
      <w:r>
        <w:rPr>
          <w:b/>
        </w:rPr>
        <w:t xml:space="preserve">Source: </w:t>
      </w:r>
      <w:r>
        <w:t>Recent Articles in Phys. Rev. C</w:t>
      </w:r>
      <w:r>
        <w:t xml:space="preserve">    </w:t>
      </w:r>
      <w:r>
        <w:rPr>
          <w:b/>
        </w:rPr>
        <w:t xml:space="preserve">Pub date: </w:t>
      </w:r>
      <w:r>
        <w:t>2026-06-22 10:00:00+00:00</w:t>
      </w:r>
      <w:r>
        <w:t xml:space="preserve">    </w:t>
      </w:r>
      <w:r>
        <w:rPr>
          <w:b/>
        </w:rPr>
        <w:t xml:space="preserve">DOI: </w:t>
      </w:r>
      <w:hyperlink r:id="rId473">
        <w:r>
          <w:rPr>
            <w:color w:val="1155CC"/>
            <w:u w:val="single"/>
          </w:rPr>
          <w:t>10.1103/l6sq-b4pz</w:t>
        </w:r>
      </w:hyperlink>
    </w:p>
    <w:p>
      <w:pPr>
        <w:spacing w:before="0" w:after="120"/>
      </w:pPr>
      <w:r>
        <w:rPr>
          <w:b/>
        </w:rPr>
        <w:t xml:space="preserve">Notes: </w:t>
      </w:r>
      <w:r>
        <w:t>abstract_source=rss_description</w:t>
      </w:r>
    </w:p>
    <w:p>
      <w:pPr>
        <w:spacing w:before="0" w:after="80" w:lineRule="auto" w:line="276"/>
      </w:pPr>
      <w:r>
        <w:rPr>
          <w:b/>
        </w:rPr>
        <w:t xml:space="preserve">摘要（ZH）: </w:t>
      </w:r>
      <w:r>
        <w:t>作者：Tiago Custódio、Francesca Gulminelli、Alex Rebillard-Soulié、Diego Gruyer、Rémi Bougault、Tuhin Malik、Helena Pais 和 Constança ProvidênciaCentral $^{136,124}\mathrm{Xe}+^{124,112}\mathrm{Sn}$ 使用 INDRA 数据分析碰撞对轻核多重性进行贝叶斯推断，以估计相对论平均场模型中团簇自能的热力学参数和介质内修正。优秀的......[物理。 Rev. C 113, 064619] 于 2026 年 6 月 22 日星期一发布</w:t>
      </w:r>
    </w:p>
    <w:p>
      <w:pPr>
        <w:spacing w:before="0" w:after="200" w:lineRule="auto" w:line="276"/>
      </w:pPr>
      <w:r>
        <w:rPr>
          <w:b/>
        </w:rPr>
        <w:t xml:space="preserve">Abstract (EN): </w:t>
      </w:r>
      <w:r>
        <w:t>Author(s): Tiago Custódio, Francesca Gulminelli, Alex Rebillard-Soulié, Diego Gruyer, Rémi Bougault, Tuhin Malik, Helena Pais, and Constança ProvidênciaCentral $^{136,124}\mathrm{Xe}+^{124,112}\mathrm{Sn}$ collisions from INDRA data are analyzed using a Bayesian inference on light nuclei multiplicities to estimate the thermodynamical parameters and in-medium modification of the cluster self-energies within a relativistic mean-field model. An excell…[Phys. Rev. C 113, 064619] Published Mon Jun 22, 2026</w:t>
      </w:r>
    </w:p>
    <w:p>
      <w:pPr>
        <w:spacing w:before="120" w:after="120"/>
      </w:pPr>
      <w:r>
        <w:rPr>
          <w:sz w:val="18"/>
        </w:rPr>
        <w:t>——————————————————————————————————————————————————————————————————————</w:t>
      </w:r>
    </w:p>
    <w:p>
      <w:pPr>
        <w:spacing w:before="160" w:after="40" w:line="240" w:lineRule="auto"/>
      </w:pPr>
      <w:r>
        <w:rPr>
          <w:b/>
        </w:rPr>
        <w:t xml:space="preserve">[107] </w:t>
      </w:r>
      <w:hyperlink r:id="rId474">
        <w:r>
          <w:rPr>
            <w:color w:val="1155CC"/>
            <w:u w:val="single"/>
          </w:rPr>
          <w:t>完全基于入侵者轨道的两个不同手性双峰带的证据</w:t>
        </w:r>
      </w:hyperlink>
    </w:p>
    <w:p>
      <w:pPr>
        <w:spacing w:before="0" w:after="80"/>
      </w:pPr>
      <w:r>
        <w:rPr>
          <w:i/>
          <w:sz w:val="20"/>
        </w:rPr>
        <w:t>EN: Evidence for two distinct chiral doublet bands entirely based on intruder orbitals</w:t>
      </w:r>
    </w:p>
    <w:p>
      <w:pPr>
        <w:spacing w:before="0" w:after="120"/>
      </w:pPr>
      <w:r>
        <w:rPr>
          <w:b/>
        </w:rPr>
        <w:t xml:space="preserve">Source: </w:t>
      </w:r>
      <w:r>
        <w:t>Recent Articles in Phys. Rev. C</w:t>
      </w:r>
      <w:r>
        <w:t xml:space="preserve">    </w:t>
      </w:r>
      <w:r>
        <w:rPr>
          <w:b/>
        </w:rPr>
        <w:t xml:space="preserve">Pub date: </w:t>
      </w:r>
      <w:r>
        <w:t>2026-06-22 10:00:00+00:00</w:t>
      </w:r>
      <w:r>
        <w:t xml:space="preserve">    </w:t>
      </w:r>
      <w:r>
        <w:rPr>
          <w:b/>
        </w:rPr>
        <w:t xml:space="preserve">DOI: </w:t>
      </w:r>
      <w:hyperlink r:id="rId475">
        <w:r>
          <w:rPr>
            <w:color w:val="1155CC"/>
            <w:u w:val="single"/>
          </w:rPr>
          <w:t>10.1103/typc-d421</w:t>
        </w:r>
      </w:hyperlink>
    </w:p>
    <w:p>
      <w:pPr>
        <w:spacing w:before="0" w:after="120"/>
      </w:pPr>
      <w:r>
        <w:rPr>
          <w:b/>
        </w:rPr>
        <w:t xml:space="preserve">Notes: </w:t>
      </w:r>
      <w:r>
        <w:t>abstract_source=rss_description</w:t>
      </w:r>
    </w:p>
    <w:p>
      <w:pPr>
        <w:spacing w:before="0" w:after="80" w:lineRule="auto" w:line="276"/>
      </w:pPr>
      <w:r>
        <w:rPr>
          <w:b/>
        </w:rPr>
        <w:t xml:space="preserve">摘要（ZH）: </w:t>
      </w:r>
      <w:r>
        <w:t>作者：白洪斐等人通过束内$γ$射线光谱技术在$^{118}\mathrm{I}$中识别出两对具有相反宇称的双峰带。目前的实验能级和降低的跃迁概率表明它们是两个不同的手性双峰带，$π{g}_{9/2}^{−1}⊗ν{h…[Phys.修订版 C 113，L061304] 于 2026 年 6 月 22 日星期一发布</w:t>
      </w:r>
    </w:p>
    <w:p>
      <w:pPr>
        <w:spacing w:before="0" w:after="200" w:lineRule="auto" w:line="276"/>
      </w:pPr>
      <w:r>
        <w:rPr>
          <w:b/>
        </w:rPr>
        <w:t xml:space="preserve">Abstract (EN): </w:t>
      </w:r>
      <w:r>
        <w:t>Author(s): H. F. Bai (白洪斐) et al.Two pairs of doublet bands with opposite parities have been identified in $^{118}\mathrm{I}$ via in-beam $γ$-ray spectroscopy techniques. The present experimental energy levels and reduced transition probabilities indicate that they are two distinct chiral doublet bands with the $π{g}_{9/2}^{−1}⊗ν{h…[Phys. Rev. C 113, L061304] Published Mon Jun 22, 2026</w:t>
      </w:r>
    </w:p>
    <w:p>
      <w:pPr>
        <w:spacing w:before="120" w:after="120"/>
      </w:pPr>
      <w:r>
        <w:rPr>
          <w:sz w:val="18"/>
        </w:rPr>
        <w:t>——————————————————————————————————————————————————————————————————————</w:t>
      </w:r>
    </w:p>
    <w:p>
      <w:pPr>
        <w:spacing w:before="160" w:after="40" w:line="240" w:lineRule="auto"/>
      </w:pPr>
      <w:r>
        <w:rPr>
          <w:b/>
        </w:rPr>
        <w:t xml:space="preserve">[108] </w:t>
      </w:r>
      <w:hyperlink r:id="rId476">
        <w:r>
          <w:rPr>
            <w:color w:val="1155CC"/>
            <w:u w:val="single"/>
          </w:rPr>
          <w:t>用于高效倒置碳钙钛矿太阳能电池的无障碍阴极接触</w:t>
        </w:r>
      </w:hyperlink>
    </w:p>
    <w:p>
      <w:pPr>
        <w:spacing w:before="0" w:after="80"/>
      </w:pPr>
      <w:r>
        <w:rPr>
          <w:i/>
          <w:sz w:val="20"/>
        </w:rPr>
        <w:t>EN: Barrier‐Free Cathode Contacts for High‐Efficiency Inverted Carbon‐Perovskite Solar Cells</w:t>
      </w:r>
    </w:p>
    <w:p>
      <w:pPr>
        <w:spacing w:before="0" w:after="120"/>
      </w:pPr>
      <w:r>
        <w:rPr>
          <w:b/>
        </w:rPr>
        <w:t xml:space="preserve">Source: </w:t>
      </w:r>
      <w:r>
        <w:t>Wiley: Advanced Energy Materials: Table of Contents</w:t>
      </w:r>
      <w:r>
        <w:t xml:space="preserve">    </w:t>
      </w:r>
      <w:r>
        <w:rPr>
          <w:b/>
        </w:rPr>
        <w:t xml:space="preserve">Pub date: </w:t>
      </w:r>
      <w:r>
        <w:t>2026-06-22 10:54:05+00:00</w:t>
      </w:r>
      <w:r>
        <w:t xml:space="preserve">    </w:t>
      </w:r>
      <w:r>
        <w:rPr>
          <w:b/>
        </w:rPr>
        <w:t xml:space="preserve">DOI: </w:t>
      </w:r>
      <w:hyperlink r:id="rId477">
        <w:r>
          <w:rPr>
            <w:color w:val="1155CC"/>
            <w:u w:val="single"/>
          </w:rPr>
          <w:t>10.1002/aenm.71216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与金属或金属氧化物的真空沉积电极相比，可印刷碳电极（CE）为钙钛矿太阳能电池（PSC）的商业化提供了一种更可持续的方法。由于CE的功函数与钙钛矿价带的良好对齐，N-i-P碳基PSC（C-PSC）受到了极大的关注。相比之下，采用碳作为电子收集接触的 P-i-N 结构 PSC 却很少被探索，这主要是由于存在大的界面势垒。在这里，我们通过增加电子传输层（ETL）的自由载流子密度以及在 ETL 和 CE 之间插入非导电金属薄层来消除顽固的界面势垒。这些协同策略能够制备高效的 P-i-N C-PSC，其效率达到创纪录的 22.79%（认证为 21.34%）。详细的生命周期成本和评估表明，我们的 P-i-N C-PSC 在成本效益和环境影响方面均优于金属电极同类产品。</w:t>
      </w:r>
    </w:p>
    <w:p>
      <w:pPr>
        <w:spacing w:before="0" w:after="200" w:lineRule="auto" w:line="276"/>
      </w:pPr>
      <w:r>
        <w:rPr>
          <w:b/>
        </w:rPr>
        <w:t xml:space="preserve">Abstract (EN): </w:t>
      </w:r>
      <w:r>
        <w:t>Compared to vacuum‐deposited electrodes of metal or metal oxides, printable carbon electrodes (CEs) offer a more sustainable approach toward commercialization of perovskite solar cells (PSCs). Significant attention has been paid to the N‐i‐P carbon‐based PSCs (C‐PSCs), owing to the favorable alignment of CEs work‐functions with perovskite valence band. In contrast, the P‐i‐N structured PSCs employing carbon as electron‐collecting contact has been rarely explored, primarily due to the presence of large interfacial barrier. Here, we eliminate the stubborn interfacial barriers by means of increasing free carrier density of electron transport layer (ETL) in conjugation with the insertion of a non‐conducting metal thin layer between ETL and CEs. The synergistic strategies enable the preparation of efficient P‐i‐N C‐PSCs with a record efficiency of 22.79% (certified 21.34%). The detailed life cycle cost and assessment reveal that our P‐i‐N C‐PSCs outperform metal‐electrode counterparts in both cost‐effectiveness and environmental impact.</w:t>
      </w:r>
    </w:p>
    <w:p>
      <w:pPr>
        <w:spacing w:before="120" w:after="120"/>
      </w:pPr>
      <w:r>
        <w:rPr>
          <w:sz w:val="18"/>
        </w:rPr>
        <w:t>——————————————————————————————————————————————————————————————————————</w:t>
      </w:r>
    </w:p>
    <w:p>
      <w:pPr>
        <w:spacing w:before="160" w:after="40" w:line="240" w:lineRule="auto"/>
      </w:pPr>
      <w:r>
        <w:rPr>
          <w:b/>
        </w:rPr>
        <w:t xml:space="preserve">[109] </w:t>
      </w:r>
      <w:hyperlink r:id="rId478">
        <w:r>
          <w:rPr>
            <w:color w:val="1155CC"/>
            <w:u w:val="single"/>
          </w:rPr>
          <w:t>通过静电定向钯催化对映选择性烯烃氨基芳基化形成手性二氢吲哚</w:t>
        </w:r>
      </w:hyperlink>
    </w:p>
    <w:p>
      <w:pPr>
        <w:spacing w:before="0" w:after="80"/>
      </w:pPr>
      <w:r>
        <w:rPr>
          <w:i/>
          <w:sz w:val="20"/>
        </w:rPr>
        <w:t>EN: An Enantioselective Alkene Aminoarylation to Form Chiral Indolines via Electrostatically‐Directed Palladium Catalysis</w:t>
      </w:r>
    </w:p>
    <w:p>
      <w:pPr>
        <w:spacing w:before="0" w:after="120"/>
      </w:pPr>
      <w:r>
        <w:rPr>
          <w:b/>
        </w:rPr>
        <w:t xml:space="preserve">Source: </w:t>
      </w:r>
      <w:r>
        <w:t>Wiley: Angewandte Chemie International Edition: Table of Contents</w:t>
      </w:r>
      <w:r>
        <w:t xml:space="preserve">    </w:t>
      </w:r>
      <w:r>
        <w:rPr>
          <w:b/>
        </w:rPr>
        <w:t xml:space="preserve">Pub date: </w:t>
      </w:r>
      <w:r>
        <w:t>2026-06-22 13:39:29+00:00</w:t>
      </w:r>
      <w:r>
        <w:t xml:space="preserve">    </w:t>
      </w:r>
      <w:r>
        <w:rPr>
          <w:b/>
        </w:rPr>
        <w:t xml:space="preserve">DOI: </w:t>
      </w:r>
      <w:hyperlink r:id="rId479">
        <w:r>
          <w:rPr>
            <w:color w:val="1155CC"/>
            <w:u w:val="single"/>
          </w:rPr>
          <w:t>10.1002/anie.8602143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不对称过渡金属催化中的大多数设计策略都会引起配体和底物之间的排斥相互作用。然而，由于根本不同的操作模式，那些包含有吸引力的相互作用的技术可以提供优势，例如速率加速和更大的通用性。在这里，我们使用手性磺化配体 sSPhos 部署静电定向 Pd 催化，以实现</w:t>
      </w:r>
      <w:r>
        <w:t xml:space="preserve"> </w:t>
      </w:r>
      <w:r>
        <w:t>正射</w:t>
      </w:r>
      <w:r>
        <w:t xml:space="preserve"> </w:t>
      </w:r>
      <w:r>
        <w:t>‐在温和条件下生成烯丙基苯胺。多种取代的芳基溴和苯胺提供了具有高对映选择性的 2-苄基二氢吲哚。我们的研究揭示了两个耦合伙伴的电子器件的趋势</w:t>
      </w:r>
      <w:r>
        <w:t xml:space="preserve"> </w:t>
      </w:r>
      <w:r>
        <w:t>伊</w:t>
      </w:r>
      <w:r>
        <w:t xml:space="preserve"> </w:t>
      </w:r>
      <w:r>
        <w:t>。这些趋势允许对磺酰胺保护基团进行调整，从而在更广泛的底物范围内获得良好的结果。</w:t>
      </w:r>
    </w:p>
    <w:p>
      <w:pPr>
        <w:spacing w:before="0" w:after="200" w:lineRule="auto" w:line="276"/>
      </w:pPr>
      <w:r>
        <w:rPr>
          <w:b/>
        </w:rPr>
        <w:t xml:space="preserve">Abstract (EN): </w:t>
      </w:r>
      <w:r>
        <w:t>Most design strategies in asymmetric transition metal catalysis invoke repulsive interactions between ligand and substrate. Yet those that incorporate attractive interactions can offer advantages, such as rate acceleration and greater generality, due to the fundamentally different mode of operation. Here we deploy electrostatically‐directed Pd catalysis using the chiral sulfonated ligand sSPhos to realize an asymmetric aminoarylation of</w:t>
      </w:r>
      <w:r>
        <w:t xml:space="preserve"> </w:t>
      </w:r>
      <w:r>
        <w:t>ortho</w:t>
      </w:r>
      <w:r>
        <w:t xml:space="preserve"> </w:t>
      </w:r>
      <w:r>
        <w:t>‐allyl anilines under mild conditions. A wide variety of substituted aryl bromides and anilines provide access to 2‐benzylindolines with high enantioselectivity. Our study uncovers trends relating the electronics of both coupling partners to</w:t>
      </w:r>
      <w:r>
        <w:t xml:space="preserve"> </w:t>
      </w:r>
      <w:r>
        <w:t>ee</w:t>
      </w:r>
      <w:r>
        <w:t xml:space="preserve"> </w:t>
      </w:r>
      <w:r>
        <w:t>. These trends allowed tuning of the sulfonamide protecting group to enable good results across a broader range of substrates.</w:t>
      </w:r>
    </w:p>
    <w:p>
      <w:pPr>
        <w:spacing w:before="120" w:after="120"/>
      </w:pPr>
      <w:r>
        <w:rPr>
          <w:sz w:val="18"/>
        </w:rPr>
        <w:t>——————————————————————————————————————————————————————————————————————</w:t>
      </w:r>
    </w:p>
    <w:p>
      <w:pPr>
        <w:spacing w:before="160" w:after="40" w:line="240" w:lineRule="auto"/>
      </w:pPr>
      <w:r>
        <w:rPr>
          <w:b/>
        </w:rPr>
        <w:t xml:space="preserve">[110] </w:t>
      </w:r>
      <w:hyperlink r:id="rId480">
        <w:r>
          <w:rPr>
            <w:color w:val="1155CC"/>
            <w:u w:val="single"/>
          </w:rPr>
          <w:t>通过三相界面催化，微滴在共价有机框架上促进光催化 H2O2 的产生</w:t>
        </w:r>
      </w:hyperlink>
    </w:p>
    <w:p>
      <w:pPr>
        <w:spacing w:before="0" w:after="80"/>
      </w:pPr>
      <w:r>
        <w:rPr>
          <w:i/>
          <w:sz w:val="20"/>
        </w:rPr>
        <w:t>EN: Microdroplets Boosted Photocatalytic H2O2 Production Over Covalent Organic Frameworks via Tri‐Phase Interface Catalysis</w:t>
      </w:r>
    </w:p>
    <w:p>
      <w:pPr>
        <w:spacing w:before="0" w:after="120"/>
      </w:pPr>
      <w:r>
        <w:rPr>
          <w:b/>
        </w:rPr>
        <w:t xml:space="preserve">Source: </w:t>
      </w:r>
      <w:r>
        <w:t>Wiley: Angewandte Chemie International Edition: Table of Contents</w:t>
      </w:r>
      <w:r>
        <w:t xml:space="preserve">    </w:t>
      </w:r>
      <w:r>
        <w:rPr>
          <w:b/>
        </w:rPr>
        <w:t xml:space="preserve">Pub date: </w:t>
      </w:r>
      <w:r>
        <w:t>2026-06-22 13:46:16+00:00</w:t>
      </w:r>
      <w:r>
        <w:t xml:space="preserve">    </w:t>
      </w:r>
      <w:r>
        <w:rPr>
          <w:b/>
        </w:rPr>
        <w:t xml:space="preserve">DOI: </w:t>
      </w:r>
      <w:hyperlink r:id="rId481">
        <w:r>
          <w:rPr>
            <w:color w:val="1155CC"/>
            <w:u w:val="single"/>
          </w:rPr>
          <w:t>10.1002/anie.4703483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光催化H</w:t>
      </w:r>
      <w:r>
        <w:rPr>
          <w:vertAlign w:val="subscript"/>
        </w:rPr>
        <w:t>2</w:t>
      </w:r>
      <w:r>
        <w:t>氧</w:t>
      </w:r>
      <w:r>
        <w:rPr>
          <w:vertAlign w:val="subscript"/>
        </w:rPr>
        <w:t>2</w:t>
      </w:r>
      <w:r>
        <w:t>从 H 生产</w:t>
      </w:r>
      <w:r>
        <w:rPr>
          <w:vertAlign w:val="subscript"/>
        </w:rPr>
        <w:t>2</w:t>
      </w:r>
      <w:r>
        <w:t>输出/输出</w:t>
      </w:r>
      <w:r>
        <w:rPr>
          <w:vertAlign w:val="subscript"/>
        </w:rPr>
        <w:t>2</w:t>
      </w:r>
      <w:r>
        <w:t>是一种绿色太阳能转换策略，但传统的散装液体系统存在质量传递差和活性位点可达性有限的问题。在这里，通过使用共价有机框架（DS-OH-COF）作为光催化剂将固着水微滴引入系统中，H</w:t>
      </w:r>
      <w:r>
        <w:rPr>
          <w:vertAlign w:val="subscript"/>
        </w:rPr>
        <w:t>2</w:t>
      </w:r>
      <w:r>
        <w:t>氧</w:t>
      </w:r>
      <w:r>
        <w:rPr>
          <w:vertAlign w:val="subscript"/>
        </w:rPr>
        <w:t>2</w:t>
      </w:r>
      <w:r>
        <w:t>生产率显着提高。产率很大程度上取决于液滴尺寸。在空气气氛下 1 µL 时，H</w:t>
      </w:r>
      <w:r>
        <w:rPr>
          <w:vertAlign w:val="subscript"/>
        </w:rPr>
        <w:t>2</w:t>
      </w:r>
      <w:r>
        <w:t>氧</w:t>
      </w:r>
      <w:r>
        <w:rPr>
          <w:vertAlign w:val="subscript"/>
        </w:rPr>
        <w:t>2</w:t>
      </w:r>
      <w:r>
        <w:t>产量达到 11.11 mmol g</w:t>
      </w:r>
      <w:r>
        <w:t xml:space="preserve"> </w:t>
      </w:r>
      <w:r>
        <w:t>−1</w:t>
      </w:r>
      <w:r>
        <w:t xml:space="preserve"> </w:t>
      </w:r>
      <w:r>
        <w:t>小时</w:t>
      </w:r>
      <w:r>
        <w:t xml:space="preserve"> </w:t>
      </w:r>
      <w:r>
        <w:t>−1</w:t>
      </w:r>
      <w:r>
        <w:t xml:space="preserve"> </w:t>
      </w:r>
      <w:r>
        <w:t>，比散装水系统增加了 12.3 倍。下O</w:t>
      </w:r>
      <w:r>
        <w:rPr>
          <w:vertAlign w:val="subscript"/>
        </w:rPr>
        <w:t>2</w:t>
      </w:r>
      <w:r>
        <w:t>，产量增加至 14.79 mmol g</w:t>
      </w:r>
      <w:r>
        <w:t xml:space="preserve"> </w:t>
      </w:r>
      <w:r>
        <w:t>−1</w:t>
      </w:r>
      <w:r>
        <w:t xml:space="preserve"> </w:t>
      </w:r>
      <w:r>
        <w:t>小时</w:t>
      </w:r>
      <w:r>
        <w:t xml:space="preserve"> </w:t>
      </w:r>
      <w:r>
        <w:t>−1</w:t>
      </w:r>
      <w:r>
        <w:t xml:space="preserve"> </w:t>
      </w:r>
      <w:r>
        <w:t>，优于大多数报道的光催化剂。微滴的大比表面积增强了O</w:t>
      </w:r>
      <w:r>
        <w:rPr>
          <w:vertAlign w:val="subscript"/>
        </w:rPr>
        <w:t>2</w:t>
      </w:r>
      <w:r>
        <w:t>传质到液相，促进与催化剂活性位点的相互作用。最重要的是，气-液-固三相界面在催化过程中起着至关重要的作用。密度泛函理论计算证实 O</w:t>
      </w:r>
    </w:p>
    <w:p>
      <w:pPr>
        <w:spacing w:before="0" w:after="200" w:lineRule="auto" w:line="276"/>
      </w:pPr>
      <w:r>
        <w:rPr>
          <w:b/>
        </w:rPr>
        <w:t xml:space="preserve">Abstract (EN): </w:t>
      </w:r>
      <w:r>
        <w:t>Photocatalytic H</w:t>
      </w:r>
      <w:r>
        <w:rPr>
          <w:vertAlign w:val="subscript"/>
        </w:rPr>
        <w:t>2</w:t>
      </w:r>
      <w:r>
        <w:t>O</w:t>
      </w:r>
      <w:r>
        <w:rPr>
          <w:vertAlign w:val="subscript"/>
        </w:rPr>
        <w:t>2</w:t>
      </w:r>
      <w:r>
        <w:t>production from H</w:t>
      </w:r>
      <w:r>
        <w:rPr>
          <w:vertAlign w:val="subscript"/>
        </w:rPr>
        <w:t>2</w:t>
      </w:r>
      <w:r>
        <w:t>O/O</w:t>
      </w:r>
      <w:r>
        <w:rPr>
          <w:vertAlign w:val="subscript"/>
        </w:rPr>
        <w:t>2</w:t>
      </w:r>
      <w:r>
        <w:t>is a green solar energy conversion strategy, but the conventional bulk liquid systems suffer from poor mass transfer and limited active site accessibility. Here, by introducing sessile water microdroplets into the system using a covalent organic framework (DS‐OH‐COF) as a photocatalyst, the H</w:t>
      </w:r>
      <w:r>
        <w:rPr>
          <w:vertAlign w:val="subscript"/>
        </w:rPr>
        <w:t>2</w:t>
      </w:r>
      <w:r>
        <w:t>O</w:t>
      </w:r>
      <w:r>
        <w:rPr>
          <w:vertAlign w:val="subscript"/>
        </w:rPr>
        <w:t>2</w:t>
      </w:r>
      <w:r>
        <w:t>production rate was significantly enhanced. The yield strongly depends on droplet size. At 1 µL under air atmosphere, H</w:t>
      </w:r>
      <w:r>
        <w:rPr>
          <w:vertAlign w:val="subscript"/>
        </w:rPr>
        <w:t>2</w:t>
      </w:r>
      <w:r>
        <w:t>O</w:t>
      </w:r>
      <w:r>
        <w:rPr>
          <w:vertAlign w:val="subscript"/>
        </w:rPr>
        <w:t>2</w:t>
      </w:r>
      <w:r>
        <w:t>yield reached 11.11 mmol g</w:t>
      </w:r>
      <w:r>
        <w:t xml:space="preserve"> </w:t>
      </w:r>
      <w:r>
        <w:t>−1</w:t>
      </w:r>
      <w:r>
        <w:t xml:space="preserve"> </w:t>
      </w:r>
      <w:r>
        <w:t>h</w:t>
      </w:r>
      <w:r>
        <w:t xml:space="preserve"> </w:t>
      </w:r>
      <w:r>
        <w:t>−1</w:t>
      </w:r>
      <w:r>
        <w:t xml:space="preserve"> </w:t>
      </w:r>
      <w:r>
        <w:t>, representing a 12.3‐fold increase over bulk water systems. Under O</w:t>
      </w:r>
      <w:r>
        <w:rPr>
          <w:vertAlign w:val="subscript"/>
        </w:rPr>
        <w:t>2</w:t>
      </w:r>
      <w:r>
        <w:t>, the yield increases to 14.79 mmol g</w:t>
      </w:r>
      <w:r>
        <w:t xml:space="preserve"> </w:t>
      </w:r>
      <w:r>
        <w:t>−1</w:t>
      </w:r>
      <w:r>
        <w:t xml:space="preserve"> </w:t>
      </w:r>
      <w:r>
        <w:t>h</w:t>
      </w:r>
      <w:r>
        <w:t xml:space="preserve"> </w:t>
      </w:r>
      <w:r>
        <w:t>−1</w:t>
      </w:r>
      <w:r>
        <w:t xml:space="preserve"> </w:t>
      </w:r>
      <w:r>
        <w:t>, outperforming most reported photocatalysts. The large specific surface area of microdroplets enhances O</w:t>
      </w:r>
      <w:r>
        <w:rPr>
          <w:vertAlign w:val="subscript"/>
        </w:rPr>
        <w:t>2</w:t>
      </w:r>
      <w:r>
        <w:t>mass transfer into the liquid phase, promoting interaction with catalyst active sites. Most importantly, the gas‐liquid‐solid tri‐phase interface plays a vital role in the catalytic process. Density functional theory calculations confirm that the O</w:t>
      </w:r>
      <w:r>
        <w:rPr>
          <w:vertAlign w:val="subscript"/>
        </w:rPr>
        <w:t>2</w:t>
      </w:r>
      <w:r>
        <w:t>adsorption behavior is modulated by the substrate, which regulates O</w:t>
      </w:r>
      <w:r>
        <w:rPr>
          <w:vertAlign w:val="subscript"/>
        </w:rPr>
        <w:t>2</w:t>
      </w:r>
      <w:r>
        <w:t>reduction at the tri‐phase interface. The microdroplet system also enabled efficient methyl orange degradation, demonstrating its practical potential. This microdroplet‐based catalytic path effectively overcomes the inherent limitations of insufficient oxygen mass transfer and low efficiency in bulk reactions, providing new insights for catalytic H</w:t>
      </w:r>
      <w:r>
        <w:rPr>
          <w:vertAlign w:val="subscript"/>
        </w:rPr>
        <w:t>2</w:t>
      </w:r>
      <w:r>
        <w:t>O</w:t>
      </w:r>
      <w:r>
        <w:rPr>
          <w:vertAlign w:val="subscript"/>
        </w:rPr>
        <w:t>2</w:t>
      </w:r>
      <w:r>
        <w:t>generation.</w:t>
      </w:r>
    </w:p>
    <w:p>
      <w:pPr>
        <w:spacing w:before="120" w:after="120"/>
      </w:pPr>
      <w:r>
        <w:rPr>
          <w:sz w:val="18"/>
        </w:rPr>
        <w:t>——————————————————————————————————————————————————————————————————————</w:t>
      </w:r>
    </w:p>
    <w:p>
      <w:pPr>
        <w:spacing w:before="160" w:after="40" w:line="240" w:lineRule="auto"/>
      </w:pPr>
      <w:r>
        <w:rPr>
          <w:b/>
        </w:rPr>
        <w:t xml:space="preserve">[111] </w:t>
      </w:r>
      <w:hyperlink r:id="rId482">
        <w:r>
          <w:rPr>
            <w:color w:val="1155CC"/>
            <w:u w:val="single"/>
          </w:rPr>
          <w:t>打破固定输出：利用光子重吸收和光热效应在柔性有机晶体中实现可调谐近红外波导</w:t>
        </w:r>
      </w:hyperlink>
    </w:p>
    <w:p>
      <w:pPr>
        <w:spacing w:before="0" w:after="80"/>
      </w:pPr>
      <w:r>
        <w:rPr>
          <w:i/>
          <w:sz w:val="20"/>
        </w:rPr>
        <w:t>EN: Breaking the Fixed Output: Harnessing Photonic Reabsorption and Photothermal Effects for Tunable NIR Waveguiding in a Flexible Organic Crystal</w:t>
      </w:r>
    </w:p>
    <w:p>
      <w:pPr>
        <w:spacing w:before="0" w:after="120"/>
      </w:pPr>
      <w:r>
        <w:rPr>
          <w:b/>
        </w:rPr>
        <w:t xml:space="preserve">Source: </w:t>
      </w:r>
      <w:r>
        <w:t>Wiley: Angewandte Chemie International Edition: Table of Contents</w:t>
      </w:r>
      <w:r>
        <w:t xml:space="preserve">    </w:t>
      </w:r>
      <w:r>
        <w:rPr>
          <w:b/>
        </w:rPr>
        <w:t xml:space="preserve">Pub date: </w:t>
      </w:r>
      <w:r>
        <w:t>2026-06-22 13:48:24+00:00</w:t>
      </w:r>
      <w:r>
        <w:t xml:space="preserve">    </w:t>
      </w:r>
      <w:r>
        <w:rPr>
          <w:b/>
        </w:rPr>
        <w:t xml:space="preserve">DOI: </w:t>
      </w:r>
      <w:hyperlink r:id="rId483">
        <w:r>
          <w:rPr>
            <w:color w:val="1155CC"/>
            <w:u w:val="single"/>
          </w:rPr>
          <w:t>10.1002/anie.5856537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柔性有机晶体已成为集成光子器件和光通信系统的有前途的材料。然而，光信号的输出波长和强度通常由固有分子结构和晶体堆积模式固定，这使得单一晶体的连续和可逆调制极具挑战性。在此，我们设计并合成了一种近红外柔性有机晶体，其中通过协同利用光子重吸收和光热驱动的荧光失活来实现波长和强度的双模波导输出调制。由于吸收光谱和发射光谱之间存在明显重叠，晶体的波导输出波长可以根据光传播距离从 730 纳米连续调谐到 824 纳米。同时，该晶体在660 nm激光照射下表现出快速、稳定、高度可逆的光热转换。与温度相关的荧光失活相结合，这种光热效应可以通过简单地调整输入激光的照射功率来远程调制波导输出强度。这项工作为光波导的整体调制建立了一种非接触式、结构保持的策略，为柔性近红外光子器件和可重构光学系统的开发提供了新的机遇。</w:t>
      </w:r>
    </w:p>
    <w:p>
      <w:pPr>
        <w:spacing w:before="0" w:after="200" w:lineRule="auto" w:line="276"/>
      </w:pPr>
      <w:r>
        <w:rPr>
          <w:b/>
        </w:rPr>
        <w:t xml:space="preserve">Abstract (EN): </w:t>
      </w:r>
      <w:r>
        <w:t>Flexible organic crystals have emerged as promising materials for integrated photonic devices and optical communication systems. However, the output wavelength and intensity of optical signals are typically fixed by the intrinsic molecular structures and crystal packing modes, rendering continuous and reversible modulation of a sole crystal highly challenging. Herein, we design and synthesize a near‐infrared flexible organic crystal, in which dual‐mode waveguide output modulation of wavelength and intensity is achieved by synergistically exploiting photonic re‐absorption and photothermal‐driven fluorescence deactivation. Owing to the pronounced overlap between the absorption and emission spectra, the waveguide output wavelength of the crystal can be continuously tuned from 730 to 824 nm based on the light propagation distance. Meanwhile, the crystal exhibits rapid, stable, and highly reversible photothermal conversion under 660 nm laser irradiation. Coupled with temperature‐dependent fluorescence deactivation, this photothermal effect enables remote modulation of waveguide output intensity by simply adjusting the irradiation power of the input laser. This work establishes a non‐contact, structure‐preserving strategy for overall modulation of optical waveguides, providing new opportunities for the development of flexible near‐infrared photonic devices and reconfigurable optical systems.</w:t>
      </w:r>
    </w:p>
    <w:p>
      <w:pPr>
        <w:spacing w:before="120" w:after="120"/>
      </w:pPr>
      <w:r>
        <w:rPr>
          <w:sz w:val="18"/>
        </w:rPr>
        <w:t>——————————————————————————————————————————————————————————————————————</w:t>
      </w:r>
    </w:p>
    <w:p>
      <w:pPr>
        <w:spacing w:before="160" w:after="40" w:line="240" w:lineRule="auto"/>
      </w:pPr>
      <w:r>
        <w:rPr>
          <w:b/>
        </w:rPr>
        <w:t xml:space="preserve">[112] </w:t>
      </w:r>
      <w:hyperlink r:id="rId484">
        <w:r>
          <w:rPr>
            <w:color w:val="1155CC"/>
            <w:u w:val="single"/>
          </w:rPr>
          <w:t>过氧化物辅助溶剂化物工程使日盲透明晶体具有创纪录的高双折射</w:t>
        </w:r>
      </w:hyperlink>
    </w:p>
    <w:p>
      <w:pPr>
        <w:spacing w:before="0" w:after="80"/>
      </w:pPr>
      <w:r>
        <w:rPr>
          <w:i/>
          <w:sz w:val="20"/>
        </w:rPr>
        <w:t>EN: Peroxide‐Assisted Solvate Engineering Enables Record‐High Birefringence in a Solar‐Blind Transparent Crystal</w:t>
      </w:r>
    </w:p>
    <w:p>
      <w:pPr>
        <w:spacing w:before="0" w:after="120"/>
      </w:pPr>
      <w:r>
        <w:rPr>
          <w:b/>
        </w:rPr>
        <w:t xml:space="preserve">Source: </w:t>
      </w:r>
      <w:r>
        <w:t>Wiley: Angewandte Chemie International Edition: Table of Contents</w:t>
      </w:r>
      <w:r>
        <w:t xml:space="preserve">    </w:t>
      </w:r>
      <w:r>
        <w:rPr>
          <w:b/>
        </w:rPr>
        <w:t xml:space="preserve">Pub date: </w:t>
      </w:r>
      <w:r>
        <w:t>2026-06-22 13:49:41+00:00</w:t>
      </w:r>
      <w:r>
        <w:t xml:space="preserve">    </w:t>
      </w:r>
      <w:r>
        <w:rPr>
          <w:b/>
        </w:rPr>
        <w:t xml:space="preserve">DOI: </w:t>
      </w:r>
      <w:hyperlink r:id="rId485">
        <w:r>
          <w:rPr>
            <w:color w:val="1155CC"/>
            <w:u w:val="single"/>
          </w:rPr>
          <w:t>10.1002/anie.2031892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开发同时具有短紫外线（UV）截止边缘和大双折射的双折射材料是非常理想的，但仍然具有挑战性。在这里，我们报告了一种含过氧化物的溶剂化物晶体，</w:t>
      </w:r>
      <w:r>
        <w:t xml:space="preserve"> </w:t>
      </w:r>
      <w:r>
        <w:t>4HP</w:t>
      </w:r>
      <w:r>
        <w:t xml:space="preserve"> </w:t>
      </w:r>
      <w:r>
        <w:t>·H</w:t>
      </w:r>
      <w:r>
        <w:rPr>
          <w:vertAlign w:val="subscript"/>
        </w:rPr>
        <w:t>2</w:t>
      </w:r>
      <w:r>
        <w:t>氧</w:t>
      </w:r>
      <w:r>
        <w:rPr>
          <w:vertAlign w:val="subscript"/>
        </w:rPr>
        <w:t>2</w:t>
      </w:r>
      <w:r>
        <w:t>（</w:t>
      </w:r>
      <w:r>
        <w:t xml:space="preserve"> </w:t>
      </w:r>
      <w:r>
        <w:t>4HPO2</w:t>
      </w:r>
      <w:r>
        <w:t xml:space="preserve"> </w:t>
      </w:r>
      <w:r>
        <w:t>,</w:t>
      </w:r>
      <w:r>
        <w:t xml:space="preserve"> </w:t>
      </w:r>
      <w:r>
        <w:t>4HP =</w:t>
      </w:r>
      <w:r>
        <w:t xml:space="preserve"> </w:t>
      </w:r>
      <w:r>
        <w:t>4-羟基吡啶），通过掺入H而获得</w:t>
      </w:r>
      <w:r>
        <w:rPr>
          <w:vertAlign w:val="subscript"/>
        </w:rPr>
        <w:t>2</w:t>
      </w:r>
      <w:r>
        <w:t>氧</w:t>
      </w:r>
      <w:r>
        <w:rPr>
          <w:vertAlign w:val="subscript"/>
        </w:rPr>
        <w:t>2</w:t>
      </w:r>
      <w:r>
        <w:t>进入</w:t>
      </w:r>
      <w:r>
        <w:t xml:space="preserve"> </w:t>
      </w:r>
      <w:r>
        <w:t>4HP</w:t>
      </w:r>
      <w:r>
        <w:t xml:space="preserve"> </w:t>
      </w:r>
      <w:r>
        <w:t>通过温和的水溶液方法形成晶格。</w:t>
      </w:r>
      <w:r>
        <w:t xml:space="preserve"> </w:t>
      </w:r>
      <w:r>
        <w:t>4HPO2</w:t>
      </w:r>
      <w:r>
        <w:t xml:space="preserve"> </w:t>
      </w:r>
      <w:r>
        <w:t>表现出 278 nm 处的日盲紫外线截止边缘以及 0.609@546 nm 的巨大实验双折射，与原始材料相比，增强了约 14 倍</w:t>
      </w:r>
      <w:r>
        <w:t xml:space="preserve"> </w:t>
      </w:r>
      <w:r>
        <w:t>4HP</w:t>
      </w:r>
      <w:r>
        <w:t xml:space="preserve"> </w:t>
      </w:r>
      <w:r>
        <w:t>。结构分析表明 H</w:t>
      </w:r>
      <w:r>
        <w:rPr>
          <w:vertAlign w:val="subscript"/>
        </w:rPr>
        <w:t>2</w:t>
      </w:r>
      <w:r>
        <w:t>氧</w:t>
      </w:r>
      <w:r>
        <w:rPr>
          <w:vertAlign w:val="subscript"/>
        </w:rPr>
        <w:t>2</w:t>
      </w:r>
      <w:r>
        <w:t>引发显着的重组</w:t>
      </w:r>
      <w:r>
        <w:t xml:space="preserve"> </w:t>
      </w:r>
      <w:r>
        <w:t>4HP</w:t>
      </w:r>
      <w:r>
        <w:t xml:space="preserve"> </w:t>
      </w:r>
      <w:r>
        <w:t>通过加强氢键相互作用，将近乎正交的排列转变为有序、近平行的排列。结合实验和理论分析表明，对齐</w:t>
      </w:r>
      <w:r>
        <w:t xml:space="preserve"> </w:t>
      </w:r>
      <w:r>
        <w:t>4HP</w:t>
      </w:r>
      <w:r>
        <w:t xml:space="preserve"> </w:t>
      </w:r>
      <w:r>
        <w:t>亚晶格是光学各向异性的主要来源，而 H</w:t>
      </w:r>
      <w:r>
        <w:rPr>
          <w:vertAlign w:val="subscript"/>
        </w:rPr>
        <w:t>2</w:t>
      </w:r>
    </w:p>
    <w:p>
      <w:pPr>
        <w:spacing w:before="0" w:after="200" w:lineRule="auto" w:line="276"/>
      </w:pPr>
      <w:r>
        <w:rPr>
          <w:b/>
        </w:rPr>
        <w:t xml:space="preserve">Abstract (EN): </w:t>
      </w:r>
      <w:r>
        <w:t>Developing birefringent materials that simultaneously exhibit short ultraviolet (UV) cutoff edges and large birefringence is highly desirable but remains challenging. Here, we report a peroxide‐containing solvate crystal,</w:t>
      </w:r>
      <w:r>
        <w:t xml:space="preserve"> </w:t>
      </w:r>
      <w:r>
        <w:t>4HP</w:t>
      </w:r>
      <w:r>
        <w:t xml:space="preserve"> </w:t>
      </w:r>
      <w:r>
        <w:t>·H</w:t>
      </w:r>
      <w:r>
        <w:rPr>
          <w:vertAlign w:val="subscript"/>
        </w:rPr>
        <w:t>2</w:t>
      </w:r>
      <w:r>
        <w:t>O</w:t>
      </w:r>
      <w:r>
        <w:rPr>
          <w:vertAlign w:val="subscript"/>
        </w:rPr>
        <w:t>2</w:t>
      </w:r>
      <w:r>
        <w:t>(</w:t>
      </w:r>
      <w:r>
        <w:t xml:space="preserve"> </w:t>
      </w:r>
      <w:r>
        <w:t>4HPO2</w:t>
      </w:r>
      <w:r>
        <w:t xml:space="preserve"> </w:t>
      </w:r>
      <w:r>
        <w:t>,</w:t>
      </w:r>
      <w:r>
        <w:t xml:space="preserve"> </w:t>
      </w:r>
      <w:r>
        <w:t>4HP =</w:t>
      </w:r>
      <w:r>
        <w:t xml:space="preserve"> </w:t>
      </w:r>
      <w:r>
        <w:t>4‐hydroxypyridine), obtained by incorporating H</w:t>
      </w:r>
      <w:r>
        <w:rPr>
          <w:vertAlign w:val="subscript"/>
        </w:rPr>
        <w:t>2</w:t>
      </w:r>
      <w:r>
        <w:t>O</w:t>
      </w:r>
      <w:r>
        <w:rPr>
          <w:vertAlign w:val="subscript"/>
        </w:rPr>
        <w:t>2</w:t>
      </w:r>
      <w:r>
        <w:t>into the</w:t>
      </w:r>
      <w:r>
        <w:t xml:space="preserve"> </w:t>
      </w:r>
      <w:r>
        <w:t>4HP</w:t>
      </w:r>
      <w:r>
        <w:t xml:space="preserve"> </w:t>
      </w:r>
      <w:r>
        <w:t>lattice through a mild aqueous‐solution method.</w:t>
      </w:r>
      <w:r>
        <w:t xml:space="preserve"> </w:t>
      </w:r>
      <w:r>
        <w:t>4HPO2</w:t>
      </w:r>
      <w:r>
        <w:t xml:space="preserve"> </w:t>
      </w:r>
      <w:r>
        <w:t>exhibits a solar‐blind UV cutoff edge at 278 nm together with a giant experimental birefringence of 0.609@546 nm, representing an approximately 14‐fold enhancement compared with pristine</w:t>
      </w:r>
      <w:r>
        <w:t xml:space="preserve"> </w:t>
      </w:r>
      <w:r>
        <w:t>4HP</w:t>
      </w:r>
      <w:r>
        <w:t xml:space="preserve"> </w:t>
      </w:r>
      <w:r>
        <w:t>. Structural analysis reveals that H</w:t>
      </w:r>
      <w:r>
        <w:rPr>
          <w:vertAlign w:val="subscript"/>
        </w:rPr>
        <w:t>2</w:t>
      </w:r>
      <w:r>
        <w:t>O</w:t>
      </w:r>
      <w:r>
        <w:rPr>
          <w:vertAlign w:val="subscript"/>
        </w:rPr>
        <w:t>2</w:t>
      </w:r>
      <w:r>
        <w:t>induces a pronounced reorganization of the</w:t>
      </w:r>
      <w:r>
        <w:t xml:space="preserve"> </w:t>
      </w:r>
      <w:r>
        <w:t>4HP</w:t>
      </w:r>
      <w:r>
        <w:t xml:space="preserve"> </w:t>
      </w:r>
      <w:r>
        <w:t>packing, converting a nearly orthogonal arrangement into an ordered, nearly parallel alignment through strengthened hydrogen‐bonding interactions. Combined experimental and theoretical analyses indicate that the aligned</w:t>
      </w:r>
      <w:r>
        <w:t xml:space="preserve"> </w:t>
      </w:r>
      <w:r>
        <w:t>4HP</w:t>
      </w:r>
      <w:r>
        <w:t xml:space="preserve"> </w:t>
      </w:r>
      <w:r>
        <w:t>sublattice serves as the dominant source of optical anisotropy, whereas H</w:t>
      </w:r>
      <w:r>
        <w:rPr>
          <w:vertAlign w:val="subscript"/>
        </w:rPr>
        <w:t>2</w:t>
      </w:r>
      <w:r>
        <w:t>O</w:t>
      </w:r>
      <w:r>
        <w:rPr>
          <w:vertAlign w:val="subscript"/>
        </w:rPr>
        <w:t>2</w:t>
      </w:r>
      <w:r>
        <w:t>mainly acts as a hydrogen‐bond‐directed structural modulator with a secondary direct optical contribution. The reordered packing also creates an anisotropic local‐field environment that further amplifies the molecular polarizability anisotropy (</w:t>
      </w:r>
      <w:r>
        <w:t xml:space="preserve"> </w:t>
      </w:r>
      <w:r>
        <w:t>Δα</w:t>
      </w:r>
      <w:r>
        <w:t xml:space="preserve"> </w:t>
      </w:r>
      <w:r>
        <w:t>). These findings highlight peroxide‐assisted solvate engineering as an effective strategy for tuning packing and optical anisotropy and provide a promising design principle for developing ultraviolet birefringent materials.</w:t>
      </w:r>
    </w:p>
    <w:p>
      <w:pPr>
        <w:spacing w:before="120" w:after="120"/>
      </w:pPr>
      <w:r>
        <w:rPr>
          <w:sz w:val="18"/>
        </w:rPr>
        <w:t>——————————————————————————————————————————————————————————————————————</w:t>
      </w:r>
    </w:p>
    <w:p>
      <w:pPr>
        <w:spacing w:before="160" w:after="40" w:line="240" w:lineRule="auto"/>
      </w:pPr>
      <w:r>
        <w:rPr>
          <w:b/>
        </w:rPr>
        <w:t xml:space="preserve">[113] </w:t>
      </w:r>
      <w:hyperlink r:id="rId486">
        <w:r>
          <w:rPr>
            <w:color w:val="1155CC"/>
            <w:u w:val="single"/>
          </w:rPr>
          <w:t>通过氧锚定实现腈加氢的耐氢 CuO/TiO2 催化剂</w:t>
        </w:r>
      </w:hyperlink>
    </w:p>
    <w:p>
      <w:pPr>
        <w:spacing w:before="0" w:after="80"/>
      </w:pPr>
      <w:r>
        <w:rPr>
          <w:i/>
          <w:sz w:val="20"/>
        </w:rPr>
        <w:t>EN: Hydrogen‐Tolerant CuO/TiO2 Catalysts Enabled by Oxygen Anchoring for Nitrile Hydrogenation</w:t>
      </w:r>
    </w:p>
    <w:p>
      <w:pPr>
        <w:spacing w:before="0" w:after="120"/>
      </w:pPr>
      <w:r>
        <w:rPr>
          <w:b/>
        </w:rPr>
        <w:t xml:space="preserve">Source: </w:t>
      </w:r>
      <w:r>
        <w:t>Wiley: Angewandte Chemie International Edition: Table of Contents</w:t>
      </w:r>
      <w:r>
        <w:t xml:space="preserve">    </w:t>
      </w:r>
      <w:r>
        <w:rPr>
          <w:b/>
        </w:rPr>
        <w:t xml:space="preserve">Pub date: </w:t>
      </w:r>
      <w:r>
        <w:t>2026-06-22 13:51:02+00:00</w:t>
      </w:r>
      <w:r>
        <w:t xml:space="preserve">    </w:t>
      </w:r>
      <w:r>
        <w:rPr>
          <w:b/>
        </w:rPr>
        <w:t xml:space="preserve">DOI: </w:t>
      </w:r>
      <w:hyperlink r:id="rId487">
        <w:r>
          <w:rPr>
            <w:color w:val="1155CC"/>
            <w:u w:val="single"/>
          </w:rPr>
          <w:t>10.1002/anie.2682572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设计在加氢条件下保持稳定的可还原金属氧化物催化剂是多相催化领域的长期挑战，因为大多数氧化物在 H 中很容易被还原和结构降解。</w:t>
      </w:r>
      <w:r>
        <w:rPr>
          <w:vertAlign w:val="subscript"/>
        </w:rPr>
        <w:t>2</w:t>
      </w:r>
      <w:r>
        <w:t>‐丰富的环境。在这里，我们报告了一种氧锚定策略，可以实现耐氢金属氧化物催化剂。使用这种方法，CuO/TiO</w:t>
      </w:r>
      <w:r>
        <w:rPr>
          <w:vertAlign w:val="subscript"/>
        </w:rPr>
        <w:t>2</w:t>
      </w:r>
      <w:r>
        <w:t>富氧 C─O 骨架稳定的催化剂（HT-CuO/TiO</w:t>
      </w:r>
      <w:r>
        <w:rPr>
          <w:vertAlign w:val="subscript"/>
        </w:rPr>
        <w:t>2</w:t>
      </w:r>
      <w:r>
        <w:t>）是为了将腈选择性氢化偶联成仲胺而构建的。 C─O 框架内的氧官能团充当锚定位点，稳定 CuO 纳米团簇并抑制其在氢作用下的还原。稳定的 CuO 纳米团簇既可以作为氢活化中心，也可以作为腈吸附的路易斯酸位点。同时，引入TiO</w:t>
      </w:r>
      <w:r>
        <w:rPr>
          <w:vertAlign w:val="subscript"/>
        </w:rPr>
        <w:t>2</w:t>
      </w:r>
      <w:r>
        <w:t>导致紧密的 CuO─TiO 的形成</w:t>
      </w:r>
      <w:r>
        <w:rPr>
          <w:vertAlign w:val="subscript"/>
        </w:rPr>
        <w:t>2</w:t>
      </w:r>
      <w:r>
        <w:t>界面结构，伴随着 Ti 的存在</w:t>
      </w:r>
      <w:r>
        <w:t xml:space="preserve"> </w:t>
      </w:r>
      <w:r>
        <w:t>3+</w:t>
      </w:r>
      <w:r>
        <w:t xml:space="preserve"> </w:t>
      </w:r>
      <w:r>
        <w:t>物种和增强的氢活化行为。值得注意的是，这种耐氢行为延伸到一系列可还原金属氧化物，包括 CuO、Cu</w:t>
      </w:r>
      <w:r>
        <w:rPr>
          <w:vertAlign w:val="subscript"/>
        </w:rPr>
        <w:t>2</w:t>
      </w:r>
      <w:r>
        <w:t>O、CoO 和 NiO，证明了氧锚定稳定原理的普遍性。这项工作建立了稳定可还原 m 的总体策略</w:t>
      </w:r>
    </w:p>
    <w:p>
      <w:pPr>
        <w:spacing w:before="0" w:after="200" w:lineRule="auto" w:line="276"/>
      </w:pPr>
      <w:r>
        <w:rPr>
          <w:b/>
        </w:rPr>
        <w:t xml:space="preserve">Abstract (EN): </w:t>
      </w:r>
      <w:r>
        <w:t>Designing reducible metal oxide catalysts that remain stable under hydrogenation conditions represents a longstanding challenge in heterogeneous catalysis, as most oxides are readily reduced and structurally degraded in H</w:t>
      </w:r>
      <w:r>
        <w:rPr>
          <w:vertAlign w:val="subscript"/>
        </w:rPr>
        <w:t>2</w:t>
      </w:r>
      <w:r>
        <w:t>‐rich environments. Here, we report an oxygen‐anchoring strategy that enables hydrogen‐tolerant metal oxide catalysts. Using this approach, a CuO/TiO</w:t>
      </w:r>
      <w:r>
        <w:rPr>
          <w:vertAlign w:val="subscript"/>
        </w:rPr>
        <w:t>2</w:t>
      </w:r>
      <w:r>
        <w:t>catalyst stabilized by an oxygen‐rich C─O framework (HT‐CuO/TiO</w:t>
      </w:r>
      <w:r>
        <w:rPr>
          <w:vertAlign w:val="subscript"/>
        </w:rPr>
        <w:t>2</w:t>
      </w:r>
      <w:r>
        <w:t>) was constructed for the selective hydrogenation‐coupling of nitriles to secondary amines. The oxygen functionalities within the C─O framework act as anchoring sites that stabilize CuO nanoclusters and suppress their reduction under hydrogen. The stabilized CuO nanoclusters function both as hydrogen activation centers and Lewis acid sites for nitrile adsorption. Meanwhile, the introduction of TiO</w:t>
      </w:r>
      <w:r>
        <w:rPr>
          <w:vertAlign w:val="subscript"/>
        </w:rPr>
        <w:t>2</w:t>
      </w:r>
      <w:r>
        <w:t>leads to the formation of intimate CuO─TiO</w:t>
      </w:r>
      <w:r>
        <w:rPr>
          <w:vertAlign w:val="subscript"/>
        </w:rPr>
        <w:t>2</w:t>
      </w:r>
      <w:r>
        <w:t>interfacial structures, accompanied by the presence of Ti</w:t>
      </w:r>
      <w:r>
        <w:t xml:space="preserve"> </w:t>
      </w:r>
      <w:r>
        <w:t>3+</w:t>
      </w:r>
      <w:r>
        <w:t xml:space="preserve"> </w:t>
      </w:r>
      <w:r>
        <w:t>species and enhanced hydrogen activation behavior. Notably, this hydrogen‐tolerant behavior extends to a range of reducible metal oxides, including CuO, Cu</w:t>
      </w:r>
      <w:r>
        <w:rPr>
          <w:vertAlign w:val="subscript"/>
        </w:rPr>
        <w:t>2</w:t>
      </w:r>
      <w:r>
        <w:t>O, CoO, and NiO, demonstrating the generality of the oxygen‐anchoring stabilization principle. This work establishes a general strategy for stabilizing reducible metal oxides under hydrogen and unlocks their catalytic potential for hydrogenation chemistry.</w:t>
      </w:r>
    </w:p>
    <w:p>
      <w:pPr>
        <w:spacing w:before="120" w:after="120"/>
      </w:pPr>
      <w:r>
        <w:rPr>
          <w:sz w:val="18"/>
        </w:rPr>
        <w:t>——————————————————————————————————————————————————————————————————————</w:t>
      </w:r>
    </w:p>
    <w:p>
      <w:pPr>
        <w:spacing w:before="160" w:after="40" w:line="240" w:lineRule="auto"/>
      </w:pPr>
      <w:r>
        <w:rPr>
          <w:b/>
        </w:rPr>
        <w:t xml:space="preserve">[114] </w:t>
      </w:r>
      <w:hyperlink r:id="rId488">
        <w:r>
          <w:rPr>
            <w:color w:val="1155CC"/>
            <w:u w:val="single"/>
          </w:rPr>
          <w:t>通过 PdII/Pd0/PdII 催化实现亚甲基 C(sp3)─H 键与烯基溴的配体立体选择性偶联</w:t>
        </w:r>
      </w:hyperlink>
    </w:p>
    <w:p>
      <w:pPr>
        <w:spacing w:before="0" w:after="80"/>
      </w:pPr>
      <w:r>
        <w:rPr>
          <w:i/>
          <w:sz w:val="20"/>
        </w:rPr>
        <w:t>EN: Ligand‐Enabled Stereoselective Coupling of Methylene C(sp3)─H Bonds With Alkenyl Bromide via PdII/Pd0/PdII Catalysis</w:t>
      </w:r>
    </w:p>
    <w:p>
      <w:pPr>
        <w:spacing w:before="0" w:after="120"/>
      </w:pPr>
      <w:r>
        <w:rPr>
          <w:b/>
        </w:rPr>
        <w:t xml:space="preserve">Source: </w:t>
      </w:r>
      <w:r>
        <w:t>Wiley: Angewandte Chemie International Edition: Table of Contents</w:t>
      </w:r>
      <w:r>
        <w:t xml:space="preserve">    </w:t>
      </w:r>
      <w:r>
        <w:rPr>
          <w:b/>
        </w:rPr>
        <w:t xml:space="preserve">Pub date: </w:t>
      </w:r>
      <w:r>
        <w:t>2026-06-22 13:52:17+00:00</w:t>
      </w:r>
      <w:r>
        <w:t xml:space="preserve">    </w:t>
      </w:r>
      <w:r>
        <w:rPr>
          <w:b/>
        </w:rPr>
        <w:t xml:space="preserve">DOI: </w:t>
      </w:r>
      <w:hyperlink r:id="rId489">
        <w:r>
          <w:rPr>
            <w:color w:val="1155CC"/>
            <w:u w:val="single"/>
          </w:rPr>
          <w:t>10.1002/anie.1441281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利用 C(sp</w:t>
      </w:r>
      <w:r>
        <w:rPr>
          <w:vertAlign w:val="subscript"/>
        </w:rPr>
        <w:t>3</w:t>
      </w:r>
      <w:r>
        <w:t>)─H键作为偶联伙伴形成C(sp</w:t>
      </w:r>
      <w:r>
        <w:rPr>
          <w:vertAlign w:val="subscript"/>
        </w:rPr>
        <w:t>3</w:t>
      </w:r>
      <w:r>
        <w:t>)─C(sp</w:t>
      </w:r>
      <w:r>
        <w:rPr>
          <w:vertAlign w:val="subscript"/>
        </w:rPr>
        <w:t>2</w:t>
      </w:r>
      <w:r>
        <w:t>尽管过去二十年取得了进展，但债券仍然是一个重大挑战。值得注意的是，之前报道的 C(sp</w:t>
      </w:r>
      <w:r>
        <w:rPr>
          <w:vertAlign w:val="subscript"/>
        </w:rPr>
        <w:t>3</w:t>
      </w:r>
      <w:r>
        <w:t>)─使用 Pd 与卤乙烯形成 H 键</w:t>
      </w:r>
      <w:r>
        <w:t xml:space="preserve"> </w:t>
      </w:r>
      <w:r>
        <w:t>二</w:t>
      </w:r>
      <w:r>
        <w:t xml:space="preserve"> </w:t>
      </w:r>
      <w:r>
        <w:t>/钯</w:t>
      </w:r>
      <w:r>
        <w:t xml:space="preserve"> </w:t>
      </w:r>
      <w:r>
        <w:t>四号</w:t>
      </w:r>
      <w:r>
        <w:t xml:space="preserve"> </w:t>
      </w:r>
      <w:r>
        <w:t>催化在两个方面受到高度限制：通常需要活化的烯基卤化物和强的外部导向基团。在这里，我们报道了立体选择性 C(sp</w:t>
      </w:r>
      <w:r>
        <w:rPr>
          <w:vertAlign w:val="subscript"/>
        </w:rPr>
        <w:t>3</w:t>
      </w:r>
      <w:r>
        <w:t>)─C(sp</w:t>
      </w:r>
      <w:r>
        <w:rPr>
          <w:vertAlign w:val="subscript"/>
        </w:rPr>
        <w:t>2</w:t>
      </w:r>
      <w:r>
        <w:t>) 亚甲基 C(sp</w:t>
      </w:r>
      <w:r>
        <w:rPr>
          <w:vertAlign w:val="subscript"/>
        </w:rPr>
        <w:t>3</w:t>
      </w:r>
      <w:r>
        <w:t>)─脂肪酸与烯基溴通过 Pd 形成氢键</w:t>
      </w:r>
      <w:r>
        <w:t xml:space="preserve"> </w:t>
      </w:r>
      <w:r>
        <w:t>二</w:t>
      </w:r>
      <w:r>
        <w:t xml:space="preserve"> </w:t>
      </w:r>
      <w:r>
        <w:t>/钯</w:t>
      </w:r>
      <w:r>
        <w:rPr>
          <w:vertAlign w:val="subscript"/>
        </w:rPr>
        <w:t>0</w:t>
      </w:r>
      <w:r>
        <w:t>/钯</w:t>
      </w:r>
      <w:r>
        <w:t xml:space="preserve"> </w:t>
      </w:r>
      <w:r>
        <w:t>二</w:t>
      </w:r>
      <w:r>
        <w:t xml:space="preserve"> </w:t>
      </w:r>
      <w:r>
        <w:t>催化作用。多种易于获得的环状和无环脂肪酸以及各种烯基溴化物顺利偶联，为锻造 C(sp</w:t>
      </w:r>
      <w:r>
        <w:rPr>
          <w:vertAlign w:val="subscript"/>
        </w:rPr>
        <w:t>3</w:t>
      </w:r>
      <w:r>
        <w:t>)─C(sp</w:t>
      </w:r>
      <w:r>
        <w:rPr>
          <w:vertAlign w:val="subscript"/>
        </w:rPr>
        <w:t>2</w:t>
      </w:r>
      <w:r>
        <w:t>）债券。复合酸和源自天然产物和药物的烯基溴偶联伙伴是相容的，使得该方法适合后期修改。该 C(sp</w:t>
      </w:r>
    </w:p>
    <w:p>
      <w:pPr>
        <w:spacing w:before="0" w:after="200" w:lineRule="auto" w:line="276"/>
      </w:pPr>
      <w:r>
        <w:rPr>
          <w:b/>
        </w:rPr>
        <w:t xml:space="preserve">Abstract (EN): </w:t>
      </w:r>
      <w:r>
        <w:t>Utilizing C(sp</w:t>
      </w:r>
      <w:r>
        <w:rPr>
          <w:vertAlign w:val="subscript"/>
        </w:rPr>
        <w:t>3</w:t>
      </w:r>
      <w:r>
        <w:t>)─H bonds as coupling partners for the formation of C(sp</w:t>
      </w:r>
      <w:r>
        <w:rPr>
          <w:vertAlign w:val="subscript"/>
        </w:rPr>
        <w:t>3</w:t>
      </w:r>
      <w:r>
        <w:t>)─C(sp</w:t>
      </w:r>
      <w:r>
        <w:rPr>
          <w:vertAlign w:val="subscript"/>
        </w:rPr>
        <w:t>2</w:t>
      </w:r>
      <w:r>
        <w:t>) bonds remains a significant challenge despite the progress in the past two decades. Notably, the previously reported coupling reactions of C(sp</w:t>
      </w:r>
      <w:r>
        <w:rPr>
          <w:vertAlign w:val="subscript"/>
        </w:rPr>
        <w:t>3</w:t>
      </w:r>
      <w:r>
        <w:t>)─H bonds with vinyl halides employing Pd</w:t>
      </w:r>
      <w:r>
        <w:t xml:space="preserve"> </w:t>
      </w:r>
      <w:r>
        <w:t>II</w:t>
      </w:r>
      <w:r>
        <w:t xml:space="preserve"> </w:t>
      </w:r>
      <w:r>
        <w:t>/Pd</w:t>
      </w:r>
      <w:r>
        <w:t xml:space="preserve"> </w:t>
      </w:r>
      <w:r>
        <w:t>IV</w:t>
      </w:r>
      <w:r>
        <w:t xml:space="preserve"> </w:t>
      </w:r>
      <w:r>
        <w:t>catalysis are highly limited in two ways: activated alkenyl halides and strong external directing groups were typically required. Here, we report stereoselective C(sp</w:t>
      </w:r>
      <w:r>
        <w:rPr>
          <w:vertAlign w:val="subscript"/>
        </w:rPr>
        <w:t>3</w:t>
      </w:r>
      <w:r>
        <w:t>)─C(sp</w:t>
      </w:r>
      <w:r>
        <w:rPr>
          <w:vertAlign w:val="subscript"/>
        </w:rPr>
        <w:t>2</w:t>
      </w:r>
      <w:r>
        <w:t>) cross‐coupling of methylene C(sp</w:t>
      </w:r>
      <w:r>
        <w:rPr>
          <w:vertAlign w:val="subscript"/>
        </w:rPr>
        <w:t>3</w:t>
      </w:r>
      <w:r>
        <w:t>)─H bonds from aliphatic acids with alkenyl bromides via Pd</w:t>
      </w:r>
      <w:r>
        <w:t xml:space="preserve"> </w:t>
      </w:r>
      <w:r>
        <w:t>II</w:t>
      </w:r>
      <w:r>
        <w:t xml:space="preserve"> </w:t>
      </w:r>
      <w:r>
        <w:t>/Pd</w:t>
      </w:r>
      <w:r>
        <w:rPr>
          <w:vertAlign w:val="subscript"/>
        </w:rPr>
        <w:t>0</w:t>
      </w:r>
      <w:r>
        <w:t>/Pd</w:t>
      </w:r>
      <w:r>
        <w:t xml:space="preserve"> </w:t>
      </w:r>
      <w:r>
        <w:t>II</w:t>
      </w:r>
      <w:r>
        <w:t xml:space="preserve"> </w:t>
      </w:r>
      <w:r>
        <w:t>catalysis. A diverse array of readily available cyclic and acyclic aliphatic acids and various alkenyl bromides were coupled smoothly, affording a versatile method for forging C(sp</w:t>
      </w:r>
      <w:r>
        <w:rPr>
          <w:vertAlign w:val="subscript"/>
        </w:rPr>
        <w:t>3</w:t>
      </w:r>
      <w:r>
        <w:t>)─C(sp</w:t>
      </w:r>
      <w:r>
        <w:rPr>
          <w:vertAlign w:val="subscript"/>
        </w:rPr>
        <w:t>2</w:t>
      </w:r>
      <w:r>
        <w:t>) bonds. Complex acids and the alkenyl bromide coupling partners derived from natural products and pharmaceuticals are compatible, rendering this method amenable to late‐stage modification. The stereoselectivity of this C(sp</w:t>
      </w:r>
      <w:r>
        <w:rPr>
          <w:vertAlign w:val="subscript"/>
        </w:rPr>
        <w:t>3</w:t>
      </w:r>
      <w:r>
        <w:t>)─C(sp</w:t>
      </w:r>
      <w:r>
        <w:rPr>
          <w:vertAlign w:val="subscript"/>
        </w:rPr>
        <w:t>2</w:t>
      </w:r>
      <w:r>
        <w:t>) coupling reaction with respect to both the sp</w:t>
      </w:r>
      <w:r>
        <w:rPr>
          <w:vertAlign w:val="subscript"/>
        </w:rPr>
        <w:t>3</w:t>
      </w:r>
      <w:r>
        <w:t>carbon center and the double bond configuration is a valuable feature.</w:t>
      </w:r>
    </w:p>
    <w:p>
      <w:pPr>
        <w:spacing w:before="120" w:after="120"/>
      </w:pPr>
      <w:r>
        <w:rPr>
          <w:sz w:val="18"/>
        </w:rPr>
        <w:t>——————————————————————————————————————————————————————————————————————</w:t>
      </w:r>
    </w:p>
    <w:p>
      <w:pPr>
        <w:spacing w:before="160" w:after="40" w:line="240" w:lineRule="auto"/>
      </w:pPr>
      <w:r>
        <w:rPr>
          <w:b/>
        </w:rPr>
        <w:t xml:space="preserve">[115] </w:t>
      </w:r>
      <w:hyperlink r:id="rId490">
        <w:r>
          <w:rPr>
            <w:color w:val="1155CC"/>
            <w:u w:val="single"/>
          </w:rPr>
          <w:t>用于水净化的选择性双电子苯酚氧化聚合</w:t>
        </w:r>
      </w:hyperlink>
    </w:p>
    <w:p>
      <w:pPr>
        <w:spacing w:before="0" w:after="80"/>
      </w:pPr>
      <w:r>
        <w:rPr>
          <w:i/>
          <w:sz w:val="20"/>
        </w:rPr>
        <w:t>EN: Selective Two‐Electron Phenol Oxidation Polymerization for Water Purification</w:t>
      </w:r>
    </w:p>
    <w:p>
      <w:pPr>
        <w:spacing w:before="0" w:after="120"/>
      </w:pPr>
      <w:r>
        <w:rPr>
          <w:b/>
        </w:rPr>
        <w:t xml:space="preserve">Source: </w:t>
      </w:r>
      <w:r>
        <w:t>Wiley: Angewandte Chemie International Edition: Table of Contents</w:t>
      </w:r>
      <w:r>
        <w:t xml:space="preserve">    </w:t>
      </w:r>
      <w:r>
        <w:rPr>
          <w:b/>
        </w:rPr>
        <w:t xml:space="preserve">Pub date: </w:t>
      </w:r>
      <w:r>
        <w:t>2026-06-22 13:55:05+00:00</w:t>
      </w:r>
      <w:r>
        <w:t xml:space="preserve">    </w:t>
      </w:r>
      <w:r>
        <w:rPr>
          <w:b/>
        </w:rPr>
        <w:t xml:space="preserve">DOI: </w:t>
      </w:r>
      <w:hyperlink r:id="rId491">
        <w:r>
          <w:rPr>
            <w:color w:val="1155CC"/>
            <w:u w:val="single"/>
          </w:rPr>
          <w:t>10.1002/anie.4069255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高反应性苯氧鎓离子 (PhO</w:t>
      </w:r>
      <w:r>
        <w:t xml:space="preserve"> </w:t>
      </w:r>
      <w:r>
        <w:t>+</w:t>
      </w:r>
      <w:r>
        <w:t xml:space="preserve"> </w:t>
      </w:r>
      <w:r>
        <w:t>），通过双电子氧化产生，在聚合和去除酚类污染物方面表现出显着的功效。然而，从苯酚中连续夺取双电子形成PhO</w:t>
      </w:r>
      <w:r>
        <w:t xml:space="preserve"> </w:t>
      </w:r>
      <w:r>
        <w:t>+</w:t>
      </w:r>
      <w:r>
        <w:t xml:space="preserve"> </w:t>
      </w:r>
      <w:r>
        <w:t>仍然是一个重大的动力学和热力学挑战。在此，我们报道了一种 N 桥双铁位点 (≡Fe─N─Fe ≡) 催化剂，该催化剂能够使 PhO</w:t>
      </w:r>
      <w:r>
        <w:t xml:space="preserve"> </w:t>
      </w:r>
      <w:r>
        <w:t>+</w:t>
      </w:r>
      <w:r>
        <w:t xml:space="preserve"> </w:t>
      </w:r>
      <w:r>
        <w:t>通过过一硫酸盐（PMS）激活生成。原位光谱和理论计算表明，PMS通过两个过氧化物氧原子（─O─O─）吸附在 ≡Fe─N─Fe ≡ 位点上，形成 ≡Fe-(μO─O)─Fe≡ 中间体。这种独特的结构提供了双低位 Fe─O σ*(‐</w:t>
      </w:r>
      <w:r>
        <w:t xml:space="preserve"> </w:t>
      </w:r>
      <w:r>
        <w:t>p</w:t>
      </w:r>
      <w:r>
        <w:t xml:space="preserve"> </w:t>
      </w:r>
      <w:r>
        <w:t>z</w:t>
      </w:r>
      <w:r>
        <w:t xml:space="preserve"> </w:t>
      </w:r>
      <w:r>
        <w:t>)轨道，并最小化Fe轨道与O─O σ*轨道之间的能隙，从而催化苯酚到─O─O─的两步单电子转移，并使得PhO</w:t>
      </w:r>
      <w:r>
        <w:t xml:space="preserve"> </w:t>
      </w:r>
      <w:r>
        <w:t>+</w:t>
      </w:r>
      <w:r>
        <w:t xml:space="preserve"> </w:t>
      </w:r>
      <w:r>
        <w:t>形成。这个PhO</w:t>
      </w:r>
      <w:r>
        <w:t xml:space="preserve"> </w:t>
      </w:r>
      <w:r>
        <w:t>+</w:t>
      </w:r>
      <w:r>
        <w:t xml:space="preserve"> </w:t>
      </w:r>
      <w:r>
        <w:t>诱导的C─O偶联聚合实现了81.8%的聚合转移率，显着高于通过苯氧基自由基(PhO•)介导的过程获得的聚合转移率(35.0%)。该系统能够快速去除苯酚（3 分钟内去除 98.1%）并有效处理焦化废水，在连续 10 天内保持苯酚去除率 &gt; 97%</w:t>
      </w:r>
    </w:p>
    <w:p>
      <w:pPr>
        <w:spacing w:before="0" w:after="200" w:lineRule="auto" w:line="276"/>
      </w:pPr>
      <w:r>
        <w:rPr>
          <w:b/>
        </w:rPr>
        <w:t xml:space="preserve">Abstract (EN): </w:t>
      </w:r>
      <w:r>
        <w:t>Highly reactive phenoxonium ion (PhO</w:t>
      </w:r>
      <w:r>
        <w:t xml:space="preserve"> </w:t>
      </w:r>
      <w:r>
        <w:t>+</w:t>
      </w:r>
      <w:r>
        <w:t xml:space="preserve"> </w:t>
      </w:r>
      <w:r>
        <w:t>), generated via two‐electron oxidation, exhibits remarkable efficacy in polymerizing and removing phenolic contaminants. However, the sequential two‐electron abstraction from phenol to form PhO</w:t>
      </w:r>
      <w:r>
        <w:t xml:space="preserve"> </w:t>
      </w:r>
      <w:r>
        <w:t>+</w:t>
      </w:r>
      <w:r>
        <w:t xml:space="preserve"> </w:t>
      </w:r>
      <w:r>
        <w:t>remains a significant kinetic and thermodynamic challenge. Herein, we report an N‐bridged double‐iron site (≡Fe─N─Fe ≡) catalyst that enables PhO</w:t>
      </w:r>
      <w:r>
        <w:t xml:space="preserve"> </w:t>
      </w:r>
      <w:r>
        <w:t>+</w:t>
      </w:r>
      <w:r>
        <w:t xml:space="preserve"> </w:t>
      </w:r>
      <w:r>
        <w:t>generation through peroxymonosulfate (PMS) activation. In situ spectroscopy and theoretical calculations reveal that PMS adsorbs onto the ≡Fe─N─Fe ≡ site via both peroxide oxygen atoms (─O─O─), forming a ≡Fe‐(μO─O)─Fe≡ intermediate. This unique structure provides dual low‐lying Fe─O σ*(‐</w:t>
      </w:r>
      <w:r>
        <w:t xml:space="preserve"> </w:t>
      </w:r>
      <w:r>
        <w:t>p</w:t>
      </w:r>
      <w:r>
        <w:t xml:space="preserve"> </w:t>
      </w:r>
      <w:r>
        <w:t>z</w:t>
      </w:r>
      <w:r>
        <w:t xml:space="preserve"> </w:t>
      </w:r>
      <w:r>
        <w:t>) orbitals, and minimizes the energy gap between the Fe  orbital and the O─O σ* orbital, thereby catalyzing two‐step single‐electron transfer from phenol to the ─O─O─ and enabling the PhO</w:t>
      </w:r>
      <w:r>
        <w:t xml:space="preserve"> </w:t>
      </w:r>
      <w:r>
        <w:t>+</w:t>
      </w:r>
      <w:r>
        <w:t xml:space="preserve"> </w:t>
      </w:r>
      <w:r>
        <w:t>formation. This PhO</w:t>
      </w:r>
      <w:r>
        <w:t xml:space="preserve"> </w:t>
      </w:r>
      <w:r>
        <w:t>+</w:t>
      </w:r>
      <w:r>
        <w:t xml:space="preserve"> </w:t>
      </w:r>
      <w:r>
        <w:t>‐induced C─O coupling polymerization achieves an 81.8% polymerization transfer ratio, significantly higher than that obtained via the phenoxy radical (PhO•)‐mediated process (35.0%). This system enables the rapid phenol removal (98.1% in 3 min) and the effective treatment of coking wastewater, maintaining &amp;gt; 97% phenol removal over 10 d in a continuous‐flow reactor. Our work provides an atomic‐level design principle for steering oxidation pathways, opening a sustainable route for water purification that simultaneously eliminates pollutants and recovers carbon resources.</w:t>
      </w:r>
    </w:p>
    <w:p>
      <w:pPr>
        <w:spacing w:before="120" w:after="120"/>
      </w:pPr>
      <w:r>
        <w:rPr>
          <w:sz w:val="18"/>
        </w:rPr>
        <w:t>——————————————————————————————————————————————————————————————————————</w:t>
      </w:r>
    </w:p>
    <w:p>
      <w:pPr>
        <w:spacing w:before="160" w:after="40" w:line="240" w:lineRule="auto"/>
      </w:pPr>
      <w:r>
        <w:rPr>
          <w:b/>
        </w:rPr>
        <w:t xml:space="preserve">[116] </w:t>
      </w:r>
      <w:hyperlink r:id="rId492">
        <w:r>
          <w:rPr>
            <w:color w:val="1155CC"/>
            <w:u w:val="single"/>
          </w:rPr>
          <w:t>在少样本学习和因果推理的指导下通过突变组合增强酶活性</w:t>
        </w:r>
      </w:hyperlink>
    </w:p>
    <w:p>
      <w:pPr>
        <w:spacing w:before="0" w:after="80"/>
      </w:pPr>
      <w:r>
        <w:rPr>
          <w:i/>
          <w:sz w:val="20"/>
        </w:rPr>
        <w:t>EN: Enhancing Enzyme Activity With Mutation Combinations Guided by Few‐Shot Learning and Causal Inference</w:t>
      </w:r>
    </w:p>
    <w:p>
      <w:pPr>
        <w:spacing w:before="0" w:after="120"/>
      </w:pPr>
      <w:r>
        <w:rPr>
          <w:b/>
        </w:rPr>
        <w:t xml:space="preserve">Source: </w:t>
      </w:r>
      <w:r>
        <w:t>Wiley: Angewandte Chemie International Edition: Table of Contents</w:t>
      </w:r>
      <w:r>
        <w:t xml:space="preserve">    </w:t>
      </w:r>
      <w:r>
        <w:rPr>
          <w:b/>
        </w:rPr>
        <w:t xml:space="preserve">Pub date: </w:t>
      </w:r>
      <w:r>
        <w:t>2026-06-22 13:57:48+00:00</w:t>
      </w:r>
      <w:r>
        <w:t xml:space="preserve">    </w:t>
      </w:r>
      <w:r>
        <w:rPr>
          <w:b/>
        </w:rPr>
        <w:t xml:space="preserve">DOI: </w:t>
      </w:r>
      <w:hyperlink r:id="rId493">
        <w:r>
          <w:rPr>
            <w:color w:val="1155CC"/>
            <w:u w:val="single"/>
          </w:rPr>
          <w:t>10.1002/anie.7768514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设计酶序列以提高产物产量是代谢工程中的一个基本挑战。在这里，我们建立了一个工作流程，将计算预测与高效的实验迭代相结合，以获得产品产量的巨大收益。基于因果推理和对已发表数据集的检查，我们意识到并最终通过实验证实体内单位产量（产量/表达量）可以作为水性蛋白质的有吸引力的替代品。</w:t>
      </w:r>
      <w:r>
        <w:t xml:space="preserve"> </w:t>
      </w:r>
      <w:r>
        <w:t>k</w:t>
      </w:r>
      <w:r>
        <w:t xml:space="preserve"> </w:t>
      </w:r>
      <w:r>
        <w:t>猫</w:t>
      </w:r>
      <w:r>
        <w:t xml:space="preserve"> </w:t>
      </w:r>
      <w:r>
        <w:t>/</w:t>
      </w:r>
      <w:r>
        <w:t xml:space="preserve"> </w:t>
      </w:r>
      <w:r>
        <w:t>K</w:t>
      </w:r>
      <w:r>
        <w:t xml:space="preserve"> </w:t>
      </w:r>
      <w:r>
        <w:t>米</w:t>
      </w:r>
      <w:r>
        <w:t xml:space="preserve"> </w:t>
      </w:r>
      <w:r>
        <w:t>优化活动时。在我们的工作流程中，我们最初通过计算反应中间体的结合亲和力来预测活性增强的单突变体，然后对单位产量进行实验研究。随后，我们使用我们开发的称为物理启发的蛋白质语言模型特征选择 (PIFS-PLM) 的几次学习模型来预测活性增强突变组合，该模型仅需要 60-100 个经过实验检查的突变组合作为输入。在双环锗烯 (BCG) 合酶的案例研究中，基于 12 个单独突变的组合，我们实现了 BCG 产量增加 73 倍或 BCG 选择性增加 15%，并为特定突变的影响提供了广泛的晶体学和生化证据。因此，作为一种替代方案，优化单位产量是非常有效的。</w:t>
      </w:r>
    </w:p>
    <w:p>
      <w:pPr>
        <w:spacing w:before="0" w:after="200" w:lineRule="auto" w:line="276"/>
      </w:pPr>
      <w:r>
        <w:rPr>
          <w:b/>
        </w:rPr>
        <w:t xml:space="preserve">Abstract (EN): </w:t>
      </w:r>
      <w:r>
        <w:t>Designing enzyme sequences to enhance product yield represents a fundamental challenge in metabolic engineering. Here, we established a workflow that integrates computational predictions with efficient experimental iteration to obtain outsized gains in product yield. Based on causal inference and examination of published datasets, we realized and ultimately experimentally confirmed that in vivo unit yield (yield/expression) can serve as an attractive surrogate for aqueous</w:t>
      </w:r>
      <w:r>
        <w:t xml:space="preserve"> </w:t>
      </w:r>
      <w:r>
        <w:t>k</w:t>
      </w:r>
      <w:r>
        <w:t xml:space="preserve"> </w:t>
      </w:r>
      <w:r>
        <w:t>cat</w:t>
      </w:r>
      <w:r>
        <w:t xml:space="preserve"> </w:t>
      </w:r>
      <w:r>
        <w:t>/</w:t>
      </w:r>
      <w:r>
        <w:t xml:space="preserve"> </w:t>
      </w:r>
      <w:r>
        <w:t>K</w:t>
      </w:r>
      <w:r>
        <w:t xml:space="preserve"> </w:t>
      </w:r>
      <w:r>
        <w:t>m</w:t>
      </w:r>
      <w:r>
        <w:t xml:space="preserve"> </w:t>
      </w:r>
      <w:r>
        <w:t>when optimizing for activity. In our workflow, we initially predict activity‐enhancing single mutants by calculating the binding affinities of reactive intermediates, followed by experimental investigations of unit yield. Subsequently, we predict activity‐enhancing mutation combinations using a few‐shot learning model we developed called Physics‐Inspired Feature Selection of Protein Language Models (PIFS‐PLM), which requires only 60–100 experimentally examined mutation combinations as input. In a case study of a bicyclogermacrene (BCG) synthase, we achieve a 73‐fold increase in BCG yield or a 15% increase in BCG selectivity based on combinations of 12 individual mutations, and provide extensive crystallographic and biochemical evidence for impacts from specific mutations. Thus, optimizing for unit yield is highly efficient as an alternative to optimizing for thermostability, and our study provides a powerful workflow for the efficient engineering of high‐yield enzyme variants.</w:t>
      </w:r>
    </w:p>
    <w:p>
      <w:pPr>
        <w:spacing w:before="120" w:after="120"/>
      </w:pPr>
      <w:r>
        <w:rPr>
          <w:sz w:val="18"/>
        </w:rPr>
        <w:t>——————————————————————————————————————————————————————————————————————</w:t>
      </w:r>
    </w:p>
    <w:p>
      <w:pPr>
        <w:spacing w:before="160" w:after="40" w:line="240" w:lineRule="auto"/>
      </w:pPr>
      <w:r>
        <w:rPr>
          <w:b/>
        </w:rPr>
        <w:t xml:space="preserve">[117] </w:t>
      </w:r>
      <w:hyperlink r:id="rId494">
        <w:r>
          <w:rPr>
            <w:color w:val="1155CC"/>
            <w:u w:val="single"/>
          </w:rPr>
          <w:t>光系统II中的新水氧化机制解决了主要的实验争议</w:t>
        </w:r>
      </w:hyperlink>
    </w:p>
    <w:p>
      <w:pPr>
        <w:spacing w:before="0" w:after="80"/>
      </w:pPr>
      <w:r>
        <w:rPr>
          <w:i/>
          <w:sz w:val="20"/>
        </w:rPr>
        <w:t>EN: New Water Oxidation Mechanism in Photosystem II Resolves Major Experimental Controversies</w:t>
      </w:r>
    </w:p>
    <w:p>
      <w:pPr>
        <w:spacing w:before="0" w:after="120"/>
      </w:pPr>
      <w:r>
        <w:rPr>
          <w:b/>
        </w:rPr>
        <w:t xml:space="preserve">Source: </w:t>
      </w:r>
      <w:r>
        <w:t>Wiley: Angewandte Chemie International Edition: Table of Contents</w:t>
      </w:r>
      <w:r>
        <w:t xml:space="preserve">    </w:t>
      </w:r>
      <w:r>
        <w:rPr>
          <w:b/>
        </w:rPr>
        <w:t xml:space="preserve">Pub date: </w:t>
      </w:r>
      <w:r>
        <w:t>2026-06-22 13:59:57+00:00</w:t>
      </w:r>
      <w:r>
        <w:t xml:space="preserve">    </w:t>
      </w:r>
      <w:r>
        <w:rPr>
          <w:b/>
        </w:rPr>
        <w:t xml:space="preserve">DOI: </w:t>
      </w:r>
      <w:hyperlink r:id="rId495">
        <w:r>
          <w:rPr>
            <w:color w:val="1155CC"/>
            <w:u w:val="single"/>
          </w:rPr>
          <w:t>10.1002/anie.1930324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光系统 II 蛋白中光驱动的氧气形成是维持我们生物圈的基本过程。先进物理技术的研究为锰的结构和功能提供了新的见解。</w:t>
      </w:r>
      <w:r>
        <w:rPr>
          <w:vertAlign w:val="subscript"/>
        </w:rPr>
        <w:t>4</w:t>
      </w:r>
      <w:r>
        <w:t>氧化钙</w:t>
      </w:r>
      <w:r>
        <w:rPr>
          <w:vertAlign w:val="subscript"/>
        </w:rPr>
        <w:t>5</w:t>
      </w:r>
      <w:r>
        <w:t>集群。然而，实验观察和计算模型之间仍然存在差异，阻碍了对 O-O 键形成以及蛋白质环境在此过程中的作用的理解。在这里，我们展示了 i) 通过动态氢键将组氨酸 (His337) 连接的 OEC 独特氧 O3 作为慢速交换底物，以及 ii) 其与 S 中 Mn1 处生成的 O6 氧的偶联</w:t>
      </w:r>
      <w:r>
        <w:rPr>
          <w:vertAlign w:val="subscript"/>
        </w:rPr>
        <w:t>2</w:t>
      </w:r>
      <w:r>
        <w:t>至 S</w:t>
      </w:r>
      <w:r>
        <w:rPr>
          <w:vertAlign w:val="subscript"/>
        </w:rPr>
        <w:t>3</w:t>
      </w:r>
      <w:r>
        <w:t>转变——给出与所有当前可用的实验数据最一致的O─O键形成机制。我们提出了一种机制，通过该机制，蛋白质环境可以通过氢键和 Mn1 的开放配位进行电荷控制来引导 O─O 键的形成。所获得的 O3–O6 过氧化物的能量低于研究最多的 O5─O6 键形成途径中的过氧化物。 His337 似乎与用于管理 O 的球蛋白中的远端 His 相似</w:t>
      </w:r>
      <w:r>
        <w:rPr>
          <w:vertAlign w:val="subscript"/>
        </w:rPr>
        <w:t>2</w:t>
      </w:r>
      <w:r>
        <w:t>和H</w:t>
      </w:r>
      <w:r>
        <w:rPr>
          <w:vertAlign w:val="subscript"/>
        </w:rPr>
        <w:t>2</w:t>
      </w:r>
      <w:r>
        <w:t>氧</w:t>
      </w:r>
      <w:r>
        <w:rPr>
          <w:vertAlign w:val="subscript"/>
        </w:rPr>
        <w:t>2</w:t>
      </w:r>
      <w:r>
        <w:t>中间体。这种新机制打破了之前的僵局，无疑将激发未来的详细研究，揭示更多细节。</w:t>
      </w:r>
    </w:p>
    <w:p>
      <w:pPr>
        <w:spacing w:before="0" w:after="200" w:lineRule="auto" w:line="276"/>
      </w:pPr>
      <w:r>
        <w:rPr>
          <w:b/>
        </w:rPr>
        <w:t xml:space="preserve">Abstract (EN): </w:t>
      </w:r>
      <w:r>
        <w:t>Light‐driven oxygen formation in photosystem II protein is a fundamental process that sustains our biosphere. The research by advanced physical techniques has delivered new insights on the structure and function of the Mn</w:t>
      </w:r>
      <w:r>
        <w:rPr>
          <w:vertAlign w:val="subscript"/>
        </w:rPr>
        <w:t>4</w:t>
      </w:r>
      <w:r>
        <w:t>CaO</w:t>
      </w:r>
      <w:r>
        <w:rPr>
          <w:vertAlign w:val="subscript"/>
        </w:rPr>
        <w:t>5</w:t>
      </w:r>
      <w:r>
        <w:t>cluster. However, discrepancies in experimental observations and computational models persist, impeding the understanding of O–O bond formation and the role of the protein environment in the process. Here, we show that i) assignment of the OEC unique oxygen O3 ligated by histidine (His337) via dynamic H‐bond as a slow exchanging substrate and ii) its coupling with O6 oxygen generated at Mn1 in the S</w:t>
      </w:r>
      <w:r>
        <w:rPr>
          <w:vertAlign w:val="subscript"/>
        </w:rPr>
        <w:t>2</w:t>
      </w:r>
      <w:r>
        <w:t>to S</w:t>
      </w:r>
      <w:r>
        <w:rPr>
          <w:vertAlign w:val="subscript"/>
        </w:rPr>
        <w:t>3</w:t>
      </w:r>
      <w:r>
        <w:t>transition—giving an O─O bond formation mechanism most consistent with all currently available experimental data. We propose a mechanism by which the protein environment can steer the O─O bond formation by charge control via H‐bonding and open coordination of Mn1. Obtained O3–O6 peroxide is at lower energy than peroxides in the most studied O5─O6 bond formation pathway. His337 appears to be similar to distal His in globins used for management of the O</w:t>
      </w:r>
      <w:r>
        <w:rPr>
          <w:vertAlign w:val="subscript"/>
        </w:rPr>
        <w:t>2</w:t>
      </w:r>
      <w:r>
        <w:t>and H</w:t>
      </w:r>
      <w:r>
        <w:rPr>
          <w:vertAlign w:val="subscript"/>
        </w:rPr>
        <w:t>2</w:t>
      </w:r>
      <w:r>
        <w:t>O</w:t>
      </w:r>
      <w:r>
        <w:rPr>
          <w:vertAlign w:val="subscript"/>
        </w:rPr>
        <w:t>2</w:t>
      </w:r>
      <w:r>
        <w:t>intermediates. This new mechanism breaks the prior impasse and will undoubtedly invigorate future detailed studies uncovering further details.</w:t>
      </w:r>
    </w:p>
    <w:p>
      <w:pPr>
        <w:spacing w:before="120" w:after="120"/>
      </w:pPr>
      <w:r>
        <w:rPr>
          <w:sz w:val="18"/>
        </w:rPr>
        <w:t>——————————————————————————————————————————————————————————————————————</w:t>
      </w:r>
    </w:p>
    <w:p>
      <w:pPr>
        <w:spacing w:before="160" w:after="40" w:line="240" w:lineRule="auto"/>
      </w:pPr>
      <w:r>
        <w:rPr>
          <w:b/>
        </w:rPr>
        <w:t xml:space="preserve">[118] </w:t>
      </w:r>
      <w:hyperlink r:id="rId496">
        <w:r>
          <w:rPr>
            <w:color w:val="1155CC"/>
            <w:u w:val="single"/>
          </w:rPr>
          <w:t>圆偏振发光：从分子到超分子系统及其他系统的简单途径</w:t>
        </w:r>
      </w:hyperlink>
    </w:p>
    <w:p>
      <w:pPr>
        <w:spacing w:before="0" w:after="80"/>
      </w:pPr>
      <w:r>
        <w:rPr>
          <w:i/>
          <w:sz w:val="20"/>
        </w:rPr>
        <w:t>EN: Circularly polarized luminescence: an easy path from molecules to supramolecular systems and beyond</w:t>
      </w:r>
    </w:p>
    <w:p>
      <w:pPr>
        <w:spacing w:before="0" w:after="120"/>
      </w:pPr>
      <w:r>
        <w:rPr>
          <w:b/>
        </w:rPr>
        <w:t xml:space="preserve">Source: </w:t>
      </w:r>
      <w:r>
        <w:t>RSC - Chem. Soc. Rev. latest articles</w:t>
      </w:r>
      <w:r>
        <w:t xml:space="preserve">    </w:t>
      </w:r>
      <w:r>
        <w:rPr>
          <w:b/>
        </w:rPr>
        <w:t xml:space="preserve">Pub date: </w:t>
      </w:r>
      <w:r>
        <w:t>2026-06-22 23:00:00+00:00</w:t>
      </w:r>
    </w:p>
    <w:p>
      <w:pPr>
        <w:spacing w:before="0" w:after="120"/>
      </w:pPr>
      <w:r>
        <w:rPr>
          <w:b/>
        </w:rPr>
        <w:t xml:space="preserve">Notes: </w:t>
      </w:r>
      <w:r>
        <w:t>abstract_source=rsc_html</w:t>
      </w:r>
    </w:p>
    <w:p>
      <w:pPr>
        <w:spacing w:before="0" w:after="80" w:lineRule="auto" w:line="276"/>
      </w:pPr>
      <w:r>
        <w:rPr>
          <w:b/>
        </w:rPr>
        <w:t xml:space="preserve">摘要（ZH）: </w:t>
      </w:r>
      <w:r>
        <w:t>本教程提供了一个简单的途径来了解圆偏振发光 (CPL) 的热门主题，重点是有机材料。介绍了有关手性光学响应的​​一些基本概念，并总结了与可靠的 CPL 测量相关的微妙之处。在讨论圆偏振电致发光这一具有挑战性的主题之前，对 CPL 模型进行了简要概述，主要关注超分子系统。</w:t>
      </w:r>
    </w:p>
    <w:p>
      <w:pPr>
        <w:spacing w:before="0" w:after="200" w:lineRule="auto" w:line="276"/>
      </w:pPr>
      <w:r>
        <w:rPr>
          <w:b/>
        </w:rPr>
        <w:t xml:space="preserve">Abstract (EN): </w:t>
      </w:r>
      <w:r>
        <w:t>This tutorial offers an easy access point to the hot topic of circularly polarized luminescence (CPL), focusing on organic materials. Some basic concepts about chiroptical responses are presented and the subtleties associated with reliable CPL measurements are summarized. A brief overview of models for CPL is illustrated, with main focus on supramolecular systems, before addressing the challenging topic of circularly polarized electroluminescence.</w:t>
      </w:r>
    </w:p>
    <w:p>
      <w:pPr>
        <w:spacing w:before="120" w:after="120"/>
      </w:pPr>
      <w:r>
        <w:rPr>
          <w:sz w:val="18"/>
        </w:rPr>
        <w:t>——————————————————————————————————————————————————————————————————————</w:t>
      </w:r>
    </w:p>
    <w:p>
      <w:pPr>
        <w:spacing w:before="160" w:after="40" w:line="240" w:lineRule="auto"/>
      </w:pPr>
      <w:r>
        <w:rPr>
          <w:b/>
        </w:rPr>
        <w:t xml:space="preserve">[119] </w:t>
      </w:r>
      <w:hyperlink r:id="rId497">
        <w:r>
          <w:rPr>
            <w:color w:val="1155CC"/>
            <w:u w:val="single"/>
          </w:rPr>
          <w:t>金基多金属催化</w:t>
        </w:r>
      </w:hyperlink>
    </w:p>
    <w:p>
      <w:pPr>
        <w:spacing w:before="0" w:after="80"/>
      </w:pPr>
      <w:r>
        <w:rPr>
          <w:i/>
          <w:sz w:val="20"/>
        </w:rPr>
        <w:t>EN: Gold-based multimetallic catalysis</w:t>
      </w:r>
    </w:p>
    <w:p>
      <w:pPr>
        <w:spacing w:before="0" w:after="120"/>
      </w:pPr>
      <w:r>
        <w:rPr>
          <w:b/>
        </w:rPr>
        <w:t xml:space="preserve">Source: </w:t>
      </w:r>
      <w:r>
        <w:t>RSC - Chem. Soc. Rev. latest articles</w:t>
      </w:r>
      <w:r>
        <w:t xml:space="preserve">    </w:t>
      </w:r>
      <w:r>
        <w:rPr>
          <w:b/>
        </w:rPr>
        <w:t xml:space="preserve">Pub date: </w:t>
      </w:r>
      <w:r>
        <w:t>2026-06-22 23:00:00+00:00</w:t>
      </w:r>
    </w:p>
    <w:p>
      <w:pPr>
        <w:spacing w:before="0" w:after="120"/>
      </w:pPr>
      <w:r>
        <w:rPr>
          <w:b/>
        </w:rPr>
        <w:t xml:space="preserve">Notes: </w:t>
      </w:r>
      <w:r>
        <w:t>abstract_source=rsc_html</w:t>
      </w:r>
    </w:p>
    <w:p>
      <w:pPr>
        <w:spacing w:before="0" w:after="80" w:lineRule="auto" w:line="276"/>
      </w:pPr>
      <w:r>
        <w:rPr>
          <w:b/>
        </w:rPr>
        <w:t xml:space="preserve">摘要（ZH）: </w:t>
      </w:r>
      <w:r>
        <w:t>多金属催化已成为现代有机合成中的一种强大策略，提供了单金属催化剂无法实现的反应途径和选择性模式。在这一背景下，由于金独特的π活化和氧化还原特性能够形成重要的碳-碳和碳-杂原子键，金基多金属催化越来越受到重视。这篇综述提供了金基多金属催化的最新进展，特别强调了机理方面。通过提供全面的展望，这篇综述强调了金基多金属催化在实现新的有机转化方面的潜力。</w:t>
      </w:r>
    </w:p>
    <w:p>
      <w:pPr>
        <w:spacing w:before="0" w:after="200" w:lineRule="auto" w:line="276"/>
      </w:pPr>
      <w:r>
        <w:rPr>
          <w:b/>
        </w:rPr>
        <w:t xml:space="preserve">Abstract (EN): </w:t>
      </w:r>
      <w:r>
        <w:t>Multimetallic catalysis has emerged as a powerful strategy in modern organic synthesis, offering access to reaction pathways and selectivity patterns that are unattainable with a single-metal catalyst. Within this landscape, gold-based multimetallic catalysis has gained increasing prominence owing to the unique π-activation and redox properties of gold that forge non-trivial carbon–carbon and carbon–heteroatom bonds. This review provides up-to-date developments in gold-based multimetallic catalysis with particular emphasis on the mechanistic aspects. By providing a comprehensive outlook, this review highlights the potential of gold-based multimetallic catalysis for achieving new organic transformations.</w:t>
      </w:r>
    </w:p>
    <w:p>
      <w:pPr>
        <w:spacing w:before="120" w:after="120"/>
      </w:pPr>
      <w:r>
        <w:rPr>
          <w:sz w:val="18"/>
        </w:rPr>
        <w:t>——————————————————————————————————————————————————————————————————————</w:t>
      </w:r>
    </w:p>
    <w:p>
      <w:pPr>
        <w:spacing w:before="160" w:after="40" w:line="240" w:lineRule="auto"/>
      </w:pPr>
      <w:r>
        <w:rPr>
          <w:b/>
        </w:rPr>
        <w:t xml:space="preserve">[120] </w:t>
      </w:r>
      <w:hyperlink r:id="rId498">
        <w:r>
          <w:rPr>
            <w:color w:val="1155CC"/>
            <w:u w:val="single"/>
          </w:rPr>
          <w:t>FDA 批准药物中与特定适应症疾病负担相关的试验中的性别代表性（2015-2023）</w:t>
        </w:r>
      </w:hyperlink>
    </w:p>
    <w:p>
      <w:pPr>
        <w:spacing w:before="0" w:after="80"/>
      </w:pPr>
      <w:r>
        <w:rPr>
          <w:i/>
          <w:sz w:val="20"/>
        </w:rPr>
        <w:t>EN: Sex representation in trials relative to indication-specific disease burden in FDA-approved drugs (2015–2023)</w:t>
      </w:r>
    </w:p>
    <w:p>
      <w:pPr>
        <w:spacing w:before="0" w:after="120"/>
      </w:pPr>
      <w:r>
        <w:rPr>
          <w:b/>
        </w:rPr>
        <w:t xml:space="preserve">Source: </w:t>
      </w:r>
      <w:r>
        <w:t>Biological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基于性别的疾病负担和治疗反应差异促使人们努力在药物开发中优先考虑女性健康。我们分析了 2015 年至 2023 年间美国食品和药物管理局 (FDA) 批准的 98 个适应症的 195 种药物，以评估行业重点和临床试验招募是否反映了男性和女性的疾病患病率。在这里，我们表明针对女性主要适应症的疗法获得的批准比针对男性主要适应症的疗法多 1.5 倍。此外，在获得批准的试验中，67% 的病例中女性参与与疾病患病率一致或超过疾病患病率。肿瘤学领域的一致性最强，而心血管和自身免疫性疾病最常导致女性入组不足，而且随着时间的推移也没有任何改善。我们讨论了女性入学率的增长已趋于稳定，进一步的进展将需要诊断方面的进步、更多地使用客观终点以及改进评估女性生殖潜力风险的工具。</w:t>
      </w:r>
    </w:p>
    <w:p>
      <w:pPr>
        <w:spacing w:before="0" w:after="200" w:lineRule="auto" w:line="276"/>
      </w:pPr>
      <w:r>
        <w:rPr>
          <w:b/>
        </w:rPr>
        <w:t xml:space="preserve">Abstract (EN): </w:t>
      </w:r>
      <w:r>
        <w:t>Sex-based disparities in disease burden and therapeutic response motivate efforts to prioritize women’s health in drug development. We analyzed 195 drugs across 98 indications approved by the United States Food and Drug Administration (FDA) between 2015 and 2023 to assess whether industry focus and clinical trial enrollment reflect disease prevalence among males and females. Here, we show that therapies for female-predominant indications receive 1.5 times more approvals than male-predominant indications. Additionally, among trials leading to approval, female participation aligns with or exceeds disease prevalence in 67% of cases. Alignment is strongest in oncology, whereas cardiovascular and autoimmune diseases most often under-enroll women, with no improvement over time. We discuss that gains in female enrollment have plateaued and that further progress will require advances in diagnostics, greater use of objective endpoints, and improved tools to assess risks for women of reproductive potential.</w:t>
      </w:r>
    </w:p>
    <w:p>
      <w:pPr>
        <w:spacing w:before="120" w:after="120"/>
      </w:pPr>
      <w:r>
        <w:rPr>
          <w:sz w:val="18"/>
        </w:rPr>
        <w:t>——————————————————————————————————————————————————————————————————————</w:t>
      </w:r>
    </w:p>
    <w:p>
      <w:pPr>
        <w:spacing w:before="160" w:after="40" w:line="240" w:lineRule="auto"/>
      </w:pPr>
      <w:r>
        <w:rPr>
          <w:b/>
        </w:rPr>
        <w:t xml:space="preserve">[121] </w:t>
      </w:r>
      <w:hyperlink r:id="rId499">
        <w:r>
          <w:rPr>
            <w:color w:val="1155CC"/>
            <w:u w:val="single"/>
          </w:rPr>
          <w:t>VII 型分泌毒素促进分枝杆菌间竞争</w:t>
        </w:r>
      </w:hyperlink>
    </w:p>
    <w:p>
      <w:pPr>
        <w:spacing w:before="0" w:after="80"/>
      </w:pPr>
      <w:r>
        <w:rPr>
          <w:i/>
          <w:sz w:val="20"/>
        </w:rPr>
        <w:t>EN: A Type VII-secreted toxin enables inter-mycobacterial competition</w:t>
      </w:r>
    </w:p>
    <w:p>
      <w:pPr>
        <w:spacing w:before="0" w:after="120"/>
      </w:pPr>
      <w:r>
        <w:rPr>
          <w:b/>
        </w:rPr>
        <w:t xml:space="preserve">Source: </w:t>
      </w:r>
      <w:r>
        <w:t>Biological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大多数细菌已经进化出与其他细菌竞争的机制，通常是通过专门分泌蛋白质毒素。然而，此前尚未报道分枝杆菌参与这种形式的竞争。厚且不寻常的分枝杆菌细胞壁由肽聚糖、阿拉伯半乳聚糖和分枝菌酸组成，通常被认为对这些细菌具有高度保护作用。在这里，我们证明一些分枝杆菌可以使用 GH183 家族的内切-D-阿拉伯聚糖酶进行细菌间竞争。这些微生物通过 VII 型分泌系统 (T7SS) 分泌内切 D-阿拉伯聚糖酶效应物，该系统裂解分枝杆菌细胞包膜的阿拉伯半乳聚糖层。我们利用结构生物学和生物化学描述了这种活性的分子基础，并鉴定了一个可以保护细菌免受这种毒素活性的蛋白质家族。分枝杆菌目中广泛存在可能编码类似 T7SS 分泌毒素的基因，表明分枝杆菌之间存在广泛的竞争。</w:t>
      </w:r>
    </w:p>
    <w:p>
      <w:pPr>
        <w:spacing w:before="0" w:after="200" w:lineRule="auto" w:line="276"/>
      </w:pPr>
      <w:r>
        <w:rPr>
          <w:b/>
        </w:rPr>
        <w:t xml:space="preserve">Abstract (EN): </w:t>
      </w:r>
      <w:r>
        <w:t>Most bacteria have evolved mechanisms to compete with other bacteria, often through the specialised secretion of proteinaceous toxins. However, mycobacteria have not previously been reported to engage in this form of competition. The thick and unusual mycobacterial cell wall, comprised of peptidoglycan, arabinogalactan and mycolic acids, is generally thought to be highly protective to these bacteria. Here, we show that some mycobacteria can use endo-D-arabinanases of the GH183 family for inter-bacterial competition. These microorganisms secrete an endo-D-arabinanase effector via the type VII secretion system (T7SS) that cleaves the arabinogalactan layer of the mycobacterial cell envelope. We describe the molecular basis for this activity using structural biology and biochemistry, and identify a protein family that protects the bacterium from the activity of this toxin. The widespread presence of genes potentially encoding similar T7SS-secreted toxins in the Mycobacteriales suggests extensive inter-mycobacterial competition.</w:t>
      </w:r>
    </w:p>
    <w:p>
      <w:pPr>
        <w:spacing w:before="120" w:after="120"/>
      </w:pPr>
      <w:r>
        <w:rPr>
          <w:sz w:val="18"/>
        </w:rPr>
        <w:t>——————————————————————————————————————————————————————————————————————</w:t>
      </w:r>
    </w:p>
    <w:p>
      <w:pPr>
        <w:spacing w:before="160" w:after="40" w:line="240" w:lineRule="auto"/>
      </w:pPr>
      <w:r>
        <w:rPr>
          <w:b/>
        </w:rPr>
        <w:t xml:space="preserve">[122] </w:t>
      </w:r>
      <w:hyperlink r:id="rId500">
        <w:r>
          <w:rPr>
            <w:color w:val="1155CC"/>
            <w:u w:val="single"/>
          </w:rPr>
          <w:t>框架：精细分辨率不对称迁移估计</w:t>
        </w:r>
      </w:hyperlink>
    </w:p>
    <w:p>
      <w:pPr>
        <w:spacing w:before="0" w:after="80"/>
      </w:pPr>
      <w:r>
        <w:rPr>
          <w:i/>
          <w:sz w:val="20"/>
        </w:rPr>
        <w:t>EN: FRAME: Fine-Resolution Asymmetric Migration Estimation</w:t>
      </w:r>
    </w:p>
    <w:p>
      <w:pPr>
        <w:spacing w:before="0" w:after="120"/>
      </w:pPr>
      <w:r>
        <w:rPr>
          <w:b/>
        </w:rPr>
        <w:t xml:space="preserve">Source: </w:t>
      </w:r>
      <w:r>
        <w:t>Biological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种群的遗传结构通常是由导致地理位置之间基因流动不对称的过程和事件决定的。在这里，我们首先开发了一种算法，可以在迁移-漂移平衡时有效计算种群结构的时间同质模型中的成对合并时间。然后，我们使用该算法作为新方法——精细分辨率不对称迁移估计（FRAME）——的基础，以推断人口结构空间模型中的不对称迁移率。推断的平衡迁移率提供了遗传变异地理结​​构的新颖表示。我们使用各种模拟的基因流历史来评估该方法，并将该方法应用于杨树、北美灰狼和人类考古样本的数据集，揭示复杂的不对称迁移信号，并提供遗传变异地理结​​构的更精细的视图。</w:t>
      </w:r>
    </w:p>
    <w:p>
      <w:pPr>
        <w:spacing w:before="0" w:after="200" w:lineRule="auto" w:line="276"/>
      </w:pPr>
      <w:r>
        <w:rPr>
          <w:b/>
        </w:rPr>
        <w:t xml:space="preserve">Abstract (EN): </w:t>
      </w:r>
      <w:r>
        <w:t>The genetic structure of populations is often shaped by processes and events that introduce asymmetries to gene flow between geographic locations. Here, we first develop an algorithm that allows efficient computation of pairwise coalescent times in time-homogeneous models of population structure at migration-drift equilibrium. We then use the algorithm as the foundation for a new method—Fine-Resolution Asymmetric Migration Estimation (FRAME)—to infer asymmetric migration rates in spatial models of population structure. The inferred equilibrium migration rates provide a novel representation of the geographic structure of genetic variation. We assess the method using a variety of simulated histories of gene flow, and apply the method to datasets from poplar trees, North American gray wolves, and human archaeogenetic samples, revealing complex asymmetric migration signals and providing a more refined view of the geographic structure of genetic variation.</w:t>
      </w:r>
    </w:p>
    <w:p>
      <w:pPr>
        <w:spacing w:before="120" w:after="120"/>
      </w:pPr>
      <w:r>
        <w:rPr>
          <w:sz w:val="18"/>
        </w:rPr>
        <w:t>——————————————————————————————————————————————————————————————————————</w:t>
      </w:r>
    </w:p>
    <w:p>
      <w:pPr>
        <w:spacing w:before="160" w:after="40" w:line="240" w:lineRule="auto"/>
      </w:pPr>
      <w:r>
        <w:rPr>
          <w:b/>
        </w:rPr>
        <w:t xml:space="preserve">[123] </w:t>
      </w:r>
      <w:hyperlink r:id="rId501">
        <w:r>
          <w:rPr>
            <w:color w:val="1155CC"/>
            <w:u w:val="single"/>
          </w:rPr>
          <w:t>在屏幕时间检查您的健康状况</w:t>
        </w:r>
      </w:hyperlink>
    </w:p>
    <w:p>
      <w:pPr>
        <w:spacing w:before="0" w:after="80"/>
      </w:pPr>
      <w:r>
        <w:rPr>
          <w:i/>
          <w:sz w:val="20"/>
        </w:rPr>
        <w:t>EN: Checking your health during screentime</w:t>
      </w:r>
    </w:p>
    <w:p>
      <w:pPr>
        <w:spacing w:before="0" w:after="120"/>
      </w:pPr>
      <w:r>
        <w:rPr>
          <w:b/>
        </w:rPr>
        <w:t xml:space="preserve">Source: </w:t>
      </w:r>
      <w:r>
        <w:t>Nature Electronics</w:t>
      </w:r>
      <w:r>
        <w:t xml:space="preserve">    </w:t>
      </w:r>
      <w:r>
        <w:rPr>
          <w:b/>
        </w:rPr>
        <w:t xml:space="preserve">Pub date: </w:t>
      </w:r>
      <w:r>
        <w:t>2026-06-23 00:00:00+00:00</w:t>
      </w:r>
      <w:r>
        <w:t xml:space="preserve">    </w:t>
      </w:r>
      <w:r>
        <w:rPr>
          <w:b/>
        </w:rPr>
        <w:t xml:space="preserve">DOI: </w:t>
      </w:r>
      <w:hyperlink r:id="rId502">
        <w:r>
          <w:rPr>
            <w:color w:val="1155CC"/>
            <w:u w:val="single"/>
          </w:rPr>
          <w:t>10.1038/s41928-026-01667-4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[124] </w:t>
      </w:r>
      <w:hyperlink r:id="rId503">
        <w:r>
          <w:rPr>
            <w:color w:val="1155CC"/>
            <w:u w:val="single"/>
          </w:rPr>
          <w:t>KT-474 选择性和有效降解 IRAK4 的结构基础</w:t>
        </w:r>
      </w:hyperlink>
    </w:p>
    <w:p>
      <w:pPr>
        <w:spacing w:before="0" w:after="80"/>
      </w:pPr>
      <w:r>
        <w:rPr>
          <w:i/>
          <w:sz w:val="20"/>
        </w:rPr>
        <w:t>EN: Structural basis for selective and potent degradation of IRAK4 by KT-474</w:t>
      </w:r>
    </w:p>
    <w:p>
      <w:pPr>
        <w:spacing w:before="0" w:after="120"/>
      </w:pPr>
      <w:r>
        <w:rPr>
          <w:b/>
        </w:rPr>
        <w:t xml:space="preserve">Source: </w:t>
      </w:r>
      <w:r>
        <w:t>Biological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靶向蛋白质降解已成为一种有前途的药物方式，在许多免疫炎症疾病中具有潜在的应用前景。 KT-474 是一种口服生物可利用的白细胞介素 1 受体相关激酶 4 (IRAK4) 异双功能降解剂，在特应性皮炎和化脓性汗腺炎的临床试验中进行了评估。在这里，我们展示了 IRAK4:KT-474:CRBN/DDB1 复合物的结构、生物物理和计算特征。该复合物的冷冻电镜结构揭示了由极性和非极性接触网络介导的独特的非天然蛋白质-蛋白质相互作用 (PPI) 表面，包括由 CRBN Phe150 介导的关键疏水作用。该复合物表现出负协同性，源于弱有利的 PPI 和降解剂构象灵活性之间的相互作用。此外，该结构还提供了对 KT-474 选择性降解特性的深入了解。我们的结果为 KT-474 的作用机制提供了重要的见解，并强调了冷冻电镜结构在优化蛋白质降解剂中的价值。</w:t>
      </w:r>
    </w:p>
    <w:p>
      <w:pPr>
        <w:spacing w:before="0" w:after="200" w:lineRule="auto" w:line="276"/>
      </w:pPr>
      <w:r>
        <w:rPr>
          <w:b/>
        </w:rPr>
        <w:t xml:space="preserve">Abstract (EN): </w:t>
      </w:r>
      <w:r>
        <w:t>Targeted protein degradation has emerged as a promising drug modality, with potential applications across many immuno-inflammatory diseases. KT-474 is an orally bioavailable interleukin-1 receptor-associated kinase 4 (IRAK4) heterobifunctional degrader evaluated in clinical trials for atopic dermatitis and hidradenitis suppurativa. Here we present structural, biophysical, and computational characterization of an IRAK4:KT-474:CRBN/DDB1 complex. Cryo-EM structure of the complex reveals a unique and non-native protein-protein interaction (PPI) surface mediated by a network of polar and apolar contacts, including key hydrophobic engagements mediated by CRBN Phe150. This complex exhibits negative cooperativity, arising from an interplay between weakly favorable PPI and conformational flexibility of the degrader. Moreover, the structure provides insight into the selective degradation profile of KT-474. Our results offer important insights into the mechanism of action of KT-474 and highlight the value of cryo-EM structures in the optimization of protein degraders.</w:t>
      </w:r>
    </w:p>
    <w:p>
      <w:pPr>
        <w:spacing w:before="120" w:after="120"/>
      </w:pPr>
      <w:r>
        <w:rPr>
          <w:sz w:val="18"/>
        </w:rPr>
        <w:t>——————————————————————————————————————————————————————————————————————</w:t>
      </w:r>
    </w:p>
    <w:p>
      <w:pPr>
        <w:spacing w:before="160" w:after="40" w:line="240" w:lineRule="auto"/>
      </w:pPr>
      <w:r>
        <w:rPr>
          <w:b/>
        </w:rPr>
        <w:t xml:space="preserve">[125] </w:t>
      </w:r>
      <w:hyperlink r:id="rId504">
        <w:r>
          <w:rPr>
            <w:color w:val="1155CC"/>
            <w:u w:val="single"/>
          </w:rPr>
          <w:t>根瘤菌诱导的 FT-FD 模块局部激活根瘤干细胞基因以促进结瘤</w:t>
        </w:r>
      </w:hyperlink>
    </w:p>
    <w:p>
      <w:pPr>
        <w:spacing w:before="0" w:after="80"/>
      </w:pPr>
      <w:r>
        <w:rPr>
          <w:i/>
          <w:sz w:val="20"/>
        </w:rPr>
        <w:t>EN: A rhizobium-induced FT-FD module locally activates nodule stem cell gene to promote nodulation</w:t>
      </w:r>
    </w:p>
    <w:p>
      <w:pPr>
        <w:spacing w:before="0" w:after="120"/>
      </w:pPr>
      <w:r>
        <w:rPr>
          <w:b/>
        </w:rPr>
        <w:t xml:space="preserve">Source: </w:t>
      </w:r>
      <w:r>
        <w:t>Biological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基因同源物的功能差异使物种能够进化出独特的生理过程，例如豆科植物根瘤的固氮作用。结瘤是通过根瘤菌诱导的根皮层细胞重新激活为干细胞而启动的，但这一过程背后的分子机制仍然难以捉摸。大豆基因组中有八种成花素同源物，包括 GmFT2a 和 GmFT5a，它们在叶子中产生，并可能转移到根部以促进结瘤。在这里，我们报告了一种独特的成花素同源物 GmFT5b 及其伙伴 GmFDL23 的鉴定，两者在根瘤菌感染后在根皮层中局部上调。这种 GmFT5b-GmFDL23 模块直接抑制根皮层中 GmCLV3-1 的表达，从而减轻其对干细胞调节因子 GmWUS1 的抑制，从而进一步驱动皮层细胞重编程为结节干细胞。我们的研究结果描绘了成花素介导的途径，该途径时空控制皮质中的干细胞以驱动结节形成。</w:t>
      </w:r>
    </w:p>
    <w:p>
      <w:pPr>
        <w:spacing w:before="0" w:after="200" w:lineRule="auto" w:line="276"/>
      </w:pPr>
      <w:r>
        <w:rPr>
          <w:b/>
        </w:rPr>
        <w:t xml:space="preserve">Abstract (EN): </w:t>
      </w:r>
      <w:r>
        <w:t>Functional divergence of gene homologs enables species to evolve unique physiological processes, such as nitrogen fixation of nodules in legumes. Nodulation is initiated via rhizobia-induced reactivation of root cortical cells into stem cells, yet the molecular mechanism underlying this process has remained elusive. There are eight florigen homologs in the soybean genome, including GmFT2a and GmFT5a, which are produced in leaves and possibly translocated to roots to promote nodulation. Here, we report the identification of a distinct florigen homolog, GmFT5b, and its partner GmFDL23, both of which are locally upregulated in the root cortex upon rhizobia infection. This GmFT5b-GmFDL23 module directly suppresses GmCLV3-1 expression in the root cortex, thereby alleviating its repression of the stem cell regulator GmWUS1, which further drives cortical cell reprogramming into nodule stem cells. Our findings delineate a florigen-mediated pathway that spatiotemporally controls stem cells in cortex to drive nodule formation.</w:t>
      </w:r>
    </w:p>
    <w:p>
      <w:pPr>
        <w:spacing w:before="120" w:after="120"/>
      </w:pPr>
      <w:r>
        <w:rPr>
          <w:sz w:val="18"/>
        </w:rPr>
        <w:t>——————————————————————————————————————————————————————————————————————</w:t>
      </w:r>
    </w:p>
    <w:p>
      <w:pPr>
        <w:spacing w:before="160" w:after="40" w:line="240" w:lineRule="auto"/>
      </w:pPr>
      <w:r>
        <w:rPr>
          <w:b/>
        </w:rPr>
        <w:t xml:space="preserve">[126] </w:t>
      </w:r>
      <w:hyperlink r:id="rId505">
        <w:r>
          <w:rPr>
            <w:color w:val="1155CC"/>
            <w:u w:val="single"/>
          </w:rPr>
          <w:t>Drebrin介导的F-肌动蛋白网络调节的结构机制</w:t>
        </w:r>
      </w:hyperlink>
    </w:p>
    <w:p>
      <w:pPr>
        <w:spacing w:before="0" w:after="80"/>
      </w:pPr>
      <w:r>
        <w:rPr>
          <w:i/>
          <w:sz w:val="20"/>
        </w:rPr>
        <w:t>EN: Structural mechanisms of drebrin-mediated F-actin network modulation</w:t>
      </w:r>
    </w:p>
    <w:p>
      <w:pPr>
        <w:spacing w:before="0" w:after="120"/>
      </w:pPr>
      <w:r>
        <w:rPr>
          <w:b/>
        </w:rPr>
        <w:t xml:space="preserve">Source: </w:t>
      </w:r>
      <w:r>
        <w:t>Biological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Drebrin 调节 F-肌动蛋白网络并将其与其他细胞内成分连接起来，调节神经突发生、突触可塑性、病毒内化和癌症侵袭等关键过程。使用单粒子冷冻电镜，我们通过两个独立的保守肌动蛋白结合域（ABD1 和 ABD2）表征了 Drebrin 与 F-肌动蛋白的相互作用，揭示了其 F-肌动蛋白调节特性的结构基础。我们描述了一种多模式相互作用，其中 drebrin 的 ABD1 可以采用两种构象，并且连接到 ABD2 的长柔性环允许两个 ABD 沿着 F-肌动蛋白占据多个相对位置。连接两个 ABD 的柔性环也赋予了松散地捆绑 F-肌动蛋白的倾向。 Drebrin 的 ABD 结合多个肌动蛋白原聚体及其子结构域，并修饰纵向原聚体间界面，解释了其 F-肌动蛋白稳定特性。此外，我们发现 Drebrin 在 F-肌动蛋白上的结合位点与其他关键肌动蛋白结合和调节蛋白共享，这解释了它们的竞争性置换。</w:t>
      </w:r>
    </w:p>
    <w:p>
      <w:pPr>
        <w:spacing w:before="0" w:after="200" w:lineRule="auto" w:line="276"/>
      </w:pPr>
      <w:r>
        <w:rPr>
          <w:b/>
        </w:rPr>
        <w:t xml:space="preserve">Abstract (EN): </w:t>
      </w:r>
      <w:r>
        <w:t>Drebrin modulates F-actin networks and links them to other intracellular components, regulating crucial processes including neuritogenesis, synaptic plasticity, virus internalisation and cancer invasion. Using single-particle cryo-EM we characterise drebrin’s interaction with F-actin through two separate conserved actin binding domains (ABD1 and ABD2), revealing structural bases for its F-actin-modulating properties. We describe a multimodal interaction where drebrin’s ABD1 can adopt two conformations and a long flexible loop connecting to ABD2 allows the two ABDs to occupy multiple relative positions along F-actin. The flexible loop connecting the two ABDs also confers some propensity to loosely bundle F-actin. Drebrin’s ABDs bind across multiple actin protomers and their subdomains and modify the longitudinal inter-protomer interface, explaining its F-actin stabilising properties. Furthermore, we show drebrin’s binding site on F-actin is shared with other critical actin-binding and regulatory proteins, explaining their competitive displacement.</w:t>
      </w:r>
    </w:p>
    <w:p>
      <w:pPr>
        <w:spacing w:before="120" w:after="120"/>
      </w:pPr>
      <w:r>
        <w:rPr>
          <w:sz w:val="18"/>
        </w:rPr>
        <w:t>——————————————————————————————————————————————————————————————————————</w:t>
      </w:r>
    </w:p>
    <w:p>
      <w:pPr>
        <w:spacing w:before="160" w:after="40" w:line="240" w:lineRule="auto"/>
      </w:pPr>
      <w:r>
        <w:rPr>
          <w:b/>
        </w:rPr>
        <w:t xml:space="preserve">[127] </w:t>
      </w:r>
      <w:hyperlink r:id="rId506">
        <w:r>
          <w:rPr>
            <w:color w:val="1155CC"/>
            <w:u w:val="single"/>
          </w:rPr>
          <w:t>用于准确预测病毒和肿瘤抗原 T 细胞特异性的生物物理模型</w:t>
        </w:r>
      </w:hyperlink>
    </w:p>
    <w:p>
      <w:pPr>
        <w:spacing w:before="0" w:after="80"/>
      </w:pPr>
      <w:r>
        <w:rPr>
          <w:i/>
          <w:sz w:val="20"/>
        </w:rPr>
        <w:t>EN: Biophysical modeling for accurate T cell specificity prediction of viral and tumor antigens</w:t>
      </w:r>
    </w:p>
    <w:p>
      <w:pPr>
        <w:spacing w:before="0" w:after="120"/>
      </w:pPr>
      <w:r>
        <w:rPr>
          <w:b/>
        </w:rPr>
        <w:t xml:space="preserve">Source: </w:t>
      </w:r>
      <w:r>
        <w:t>Biological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我们开发并应用双重实验和计算框架来预测连续临床样本中 TCR 序列的抗原特异性。我们的模型将 TCR 初级序列与先前报道的和计算机衍生的 TCR-pMHC 结构数据相结合。我们将这种方法应用于造血干细胞移植，重点关注 HLA-A*02 限制性表位的集合，包括 Melan-A 肿瘤相关抗原 (ELAGIGILTV)、甲型流感病毒 M158-66 衍生肽 (GILGFVFTL) 和人巨细胞病毒 pp65 衍生肽 (NLVPMVATV)。我们展示了对先前未表征的供体和患者来源的 TCR 特异性的准确预测，其中通过基于序列的聚类和结构多样化模板的合并增强了模型性能。我们的结果表明，结构引导学习可以从有限的训练数据中进行稳健的特异性预测，并且可以在连续获得的患者样本中进行概括。该框架为 TCR 特异性预测提供了一种可扩展的策略，在免疫治疗、疫苗设计和免疫监测方面具有潜在的应用。</w:t>
      </w:r>
    </w:p>
    <w:p>
      <w:pPr>
        <w:spacing w:before="0" w:after="200" w:lineRule="auto" w:line="276"/>
      </w:pPr>
      <w:r>
        <w:rPr>
          <w:b/>
        </w:rPr>
        <w:t xml:space="preserve">Abstract (EN): </w:t>
      </w:r>
      <w:r>
        <w:t>We develop and apply a dual experimental and computational framework to predict antigen specificity of TCR sequences in serial clinical samples. Our model integrates TCR primary sequences with previously reported and in silico-derived TCR-pMHC structural data. We apply this approach in the setting of hematopoietic stem cell transplant, focusing on a collection of HLA-A*02-restricted epitopes, including the Melan-A tumor associated antigen (ELAGIGILTV), Influenza A virus M158-66-derived peptide (GILGFVFTL), and human cytomegalovirus pp65-derived peptide (NLVPMVATV). We demonstrate accurate prediction of specificity for previously uncharacterized donor- and patient-derived TCRs, wherein model performance is enhanced through sequence-based clustering and incorporation of structurally diverse templates. Our results demonstrate that structure-guided learning enables robust specificity prediction from limited training data and can generalize across sequentially obtained patient samples. This framework provides a scalable strategy for TCR specificity prediction with potential applications in immunotherapy, vaccine design, and immune monitoring.</w:t>
      </w:r>
    </w:p>
    <w:p>
      <w:pPr>
        <w:spacing w:before="120" w:after="120"/>
      </w:pPr>
      <w:r>
        <w:rPr>
          <w:sz w:val="18"/>
        </w:rPr>
        <w:t>——————————————————————————————————————————————————————————————————————</w:t>
      </w:r>
    </w:p>
    <w:p>
      <w:pPr>
        <w:spacing w:before="160" w:after="40" w:line="240" w:lineRule="auto"/>
      </w:pPr>
      <w:r>
        <w:rPr>
          <w:b/>
        </w:rPr>
        <w:t xml:space="preserve">[128] </w:t>
      </w:r>
      <w:hyperlink r:id="rId507">
        <w:r>
          <w:rPr>
            <w:color w:val="1155CC"/>
            <w:u w:val="single"/>
          </w:rPr>
          <w:t>每日简报：美国宇航局将启动卫星救援任务</w:t>
        </w:r>
      </w:hyperlink>
    </w:p>
    <w:p>
      <w:pPr>
        <w:spacing w:before="0" w:after="80"/>
      </w:pPr>
      <w:r>
        <w:rPr>
          <w:i/>
          <w:sz w:val="20"/>
        </w:rPr>
        <w:t>EN: Daily briefing: NASA to launch satellite-rescue mission</w:t>
      </w:r>
    </w:p>
    <w:p>
      <w:pPr>
        <w:spacing w:before="0" w:after="120"/>
      </w:pPr>
      <w:r>
        <w:rPr>
          <w:b/>
        </w:rPr>
        <w:t xml:space="preserve">Source: </w:t>
      </w:r>
      <w:r>
        <w:t>Nature</w:t>
      </w:r>
      <w:r>
        <w:t xml:space="preserve">    </w:t>
      </w:r>
      <w:r>
        <w:rPr>
          <w:b/>
        </w:rPr>
        <w:t xml:space="preserve">Pub date: </w:t>
      </w:r>
      <w:r>
        <w:t>2026-06-23 00:00:00+00:00</w:t>
      </w:r>
      <w:r>
        <w:t xml:space="preserve">    </w:t>
      </w:r>
      <w:r>
        <w:rPr>
          <w:b/>
        </w:rPr>
        <w:t xml:space="preserve">DOI: </w:t>
      </w:r>
      <w:hyperlink r:id="rId508">
        <w:r>
          <w:rPr>
            <w:color w:val="1155CC"/>
            <w:u w:val="single"/>
          </w:rPr>
          <w:t>10.1038/d41586-026-02029-y</w:t>
        </w:r>
      </w:hyperlink>
    </w:p>
    <w:p>
      <w:pPr>
        <w:spacing w:before="0" w:after="120"/>
      </w:pPr>
      <w:r>
        <w:rPr>
          <w:b/>
        </w:rPr>
        <w:t xml:space="preserve">Notes: </w:t>
      </w:r>
      <w:r>
        <w:t>abstract_source=nature_html</w:t>
      </w:r>
    </w:p>
    <w:p>
      <w:pPr>
        <w:spacing w:before="0" w:after="80" w:lineRule="auto" w:line="276"/>
      </w:pPr>
      <w:r>
        <w:rPr>
          <w:b/>
        </w:rPr>
        <w:t xml:space="preserve">摘要（ZH）: </w:t>
      </w:r>
      <w:r>
        <w:t>航天局将把坠落卫星的轨道提升约 200 公里。此外，欧洲为挑战美国和中国作为科学超级大国的努力，以及想要取消远程工作的老板们的自恋。航天局将把坠落卫星的轨道提升约 200 公里。此外，欧洲为挑战美国和中国作为科学超级大国的努力，以及想要取消远程工作的老板们的自恋。</w:t>
      </w:r>
    </w:p>
    <w:p>
      <w:pPr>
        <w:spacing w:before="0" w:after="200" w:lineRule="auto" w:line="276"/>
      </w:pPr>
      <w:r>
        <w:rPr>
          <w:b/>
        </w:rPr>
        <w:t xml:space="preserve">Abstract (EN): </w:t>
      </w:r>
      <w:r>
        <w:t>The space agency will lift the orbit of a falling satellite by around 200 kilometres. Plus, Europe’s efforts to take on the US and China as a science superpower and the narcissism of bosses who want to nix remote working. The space agency will lift the orbit of a falling satellite by around 200 kilometres. Plus, Europe’s efforts to take on the US and China as a science superpower and the narcissism of bosses who want to nix remote working.</w:t>
      </w:r>
    </w:p>
    <w:p>
      <w:pPr>
        <w:spacing w:before="120" w:after="120"/>
      </w:pPr>
      <w:r>
        <w:rPr>
          <w:sz w:val="18"/>
        </w:rPr>
        <w:t>——————————————————————————————————————————————————————————————————————</w:t>
      </w:r>
    </w:p>
    <w:p>
      <w:pPr>
        <w:spacing w:before="160" w:after="40" w:line="240" w:lineRule="auto"/>
      </w:pPr>
      <w:r>
        <w:rPr>
          <w:b/>
        </w:rPr>
        <w:t xml:space="preserve">[129] </w:t>
      </w:r>
      <w:hyperlink r:id="rId509">
        <w:r>
          <w:rPr>
            <w:color w:val="1155CC"/>
            <w:u w:val="single"/>
          </w:rPr>
          <w:t>作者更正：树木死亡事件之前的干旱持续时间和强度都增加了，特别是在干燥的生物群落中</w:t>
        </w:r>
      </w:hyperlink>
    </w:p>
    <w:p>
      <w:pPr>
        <w:spacing w:before="0" w:after="80"/>
      </w:pPr>
      <w:r>
        <w:rPr>
          <w:i/>
          <w:sz w:val="20"/>
        </w:rPr>
        <w:t>EN: Author Correction: Droughts preceding tree mortality events have increased in duration and intensity, especially in dry biomes</w:t>
      </w:r>
    </w:p>
    <w:p>
      <w:pPr>
        <w:spacing w:before="0" w:after="120"/>
      </w:pPr>
      <w:r>
        <w:rPr>
          <w:b/>
        </w:rPr>
        <w:t xml:space="preserve">Source: </w:t>
      </w:r>
      <w:r>
        <w:t>Earth and environmental sciences : Nature Communications subject feeds</w:t>
      </w:r>
      <w:r>
        <w:t xml:space="preserve">    </w:t>
      </w:r>
      <w:r>
        <w:rPr>
          <w:b/>
        </w:rPr>
        <w:t xml:space="preserve">Pub date: </w:t>
      </w:r>
      <w:r>
        <w:t>2026-06-23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[130] </w:t>
      </w:r>
      <w:hyperlink r:id="rId510">
        <w:r>
          <w:rPr>
            <w:color w:val="1155CC"/>
            <w:u w:val="single"/>
          </w:rPr>
          <w:t>用于自适应光场成像的变焦阿尔瓦雷斯超透镜阵列</w:t>
        </w:r>
      </w:hyperlink>
    </w:p>
    <w:p>
      <w:pPr>
        <w:spacing w:before="0" w:after="80"/>
      </w:pPr>
      <w:r>
        <w:rPr>
          <w:i/>
          <w:sz w:val="20"/>
        </w:rPr>
        <w:t>EN: Varifocal Alvarez metalens array for adaptive light-field imaging</w:t>
      </w:r>
    </w:p>
    <w:p>
      <w:pPr>
        <w:spacing w:before="0" w:after="120"/>
      </w:pPr>
      <w:r>
        <w:rPr>
          <w:b/>
        </w:rPr>
        <w:t xml:space="preserve">Source: </w:t>
      </w:r>
      <w:r>
        <w:t>Physical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超透镜阵列由于其紧凑性和波前整形能力，在紧凑型光场成像系统中具有广阔的前景。然而，它们的固定焦距从根本上限制了景深调制和轴向扫描，限制了它们对不同光场成像场景的适应性。在这里，我们演示了使用变焦阿尔瓦雷斯超透镜阵列的自适应光场成像。该阵列由两个紧密结合的超表面组成，每个超表面均具有 24 × 20 立方相子区域的图案。通过相对横向位移，Alvarez超透镜阵列实现了从3.33毫米到4.50毫米的连续焦距调谐。所提出的超透镜阵列集成到全光成像系统中，可实现动态聚焦和扩展的深度范围。我们进一步引入了 MultiLensFusion 算法，该算法将这些多焦点捕获组合成高分辨率、全焦点渲染。这项工作为具有动态可调光学响应的​​下一代光场成像系统提供了一个紧凑且多功能的平台。</w:t>
      </w:r>
    </w:p>
    <w:p>
      <w:pPr>
        <w:spacing w:before="0" w:after="200" w:lineRule="auto" w:line="276"/>
      </w:pPr>
      <w:r>
        <w:rPr>
          <w:b/>
        </w:rPr>
        <w:t xml:space="preserve">Abstract (EN): </w:t>
      </w:r>
      <w:r>
        <w:t>Metalens arrays hold great promise for compact light-field imaging systems owing to their compactness and wavefront shaping capabilities. However, their fixed focal lengths fundamentally limit depth-of-field modulation and axial scanning, restricting their adaptability to diverse light-field imaging scenarios. Here, we demonstrate adaptive light-field imaging using a varifocal Alvarez metalens array. The array is composed of two closely bonded metasurfaces, each patterned with 24 × 20 cubic-phase sub-regions. Through relative lateral displacement, the Alvarez metalens array achieves continuous focal length tuning from 3.33 mm to 4.50 mm. Integrated into a plenoptic imaging system, the proposed metalens array enables dynamic focusing and an expanded depth range. We further introduce a MultiLensFusion algorithm that combines these multi-focus captures into high-resolution, all-in-focus renderings. This work offers a compact and versatile platform for next-generation light-field imaging systems with dynamically tunable optical response.</w:t>
      </w:r>
    </w:p>
    <w:p>
      <w:pPr>
        <w:spacing w:before="120" w:after="120"/>
      </w:pPr>
      <w:r>
        <w:rPr>
          <w:sz w:val="18"/>
        </w:rPr>
        <w:t>——————————————————————————————————————————————————————————————————————</w:t>
      </w:r>
    </w:p>
    <w:p>
      <w:pPr>
        <w:spacing w:before="160" w:after="40" w:line="240" w:lineRule="auto"/>
      </w:pPr>
      <w:r>
        <w:rPr>
          <w:b/>
        </w:rPr>
        <w:t xml:space="preserve">[131] </w:t>
      </w:r>
      <w:hyperlink r:id="rId511">
        <w:r>
          <w:rPr>
            <w:color w:val="1155CC"/>
            <w:u w:val="single"/>
          </w:rPr>
          <w:t>(反)铁电相竞争引起的岩盐阳离子有序材料的弛豫行为</w:t>
        </w:r>
      </w:hyperlink>
    </w:p>
    <w:p>
      <w:pPr>
        <w:spacing w:before="0" w:after="80"/>
      </w:pPr>
      <w:r>
        <w:rPr>
          <w:i/>
          <w:sz w:val="20"/>
        </w:rPr>
        <w:t>EN: Relaxor behavior in rocksalt cation-ordered material induced by (anti)ferroelectric phase competition</w:t>
      </w:r>
    </w:p>
    <w:p>
      <w:pPr>
        <w:spacing w:before="0" w:after="120"/>
      </w:pPr>
      <w:r>
        <w:rPr>
          <w:b/>
        </w:rPr>
        <w:t xml:space="preserve">Source: </w:t>
      </w:r>
      <w:r>
        <w:t>Physical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弛豫铁电体的特点是随温度变化的介电常数随频率的变化和增强的机电耦合。这些特性源自相关纳米域的动态极性响应，这些纳米域与原子尺度的成分无序密切相关，这破坏了长程铁电有序性并使得纳米域形成成为可能。在这里，我们报告了全阳离子有序反铁电 PbMg0.5W0.5O3 外延薄膜中自发低温相竞争产生的弛豫特性，包括新的低能极性相的识别。与典型弛豫剂不同，相干应变 PbMg0.5W0.5O3 薄膜中的 B 位阳离子表现出长程岩盐化学有序性。温度相关的极化研究揭示了与从顺电到反铁电再到铁电的相变相关的开关行为，并且特征介电弛豫归因于由温度和衬底钳位介导的极性相和反极性相之间的相竞争。这种相位竞争打破了长程偶极相关性并导致介电色散和弛豫行为。这些发现展示了通过工程阶段竞争设计弛豫材料特性的新范例。</w:t>
      </w:r>
    </w:p>
    <w:p>
      <w:pPr>
        <w:spacing w:before="0" w:after="200" w:lineRule="auto" w:line="276"/>
      </w:pPr>
      <w:r>
        <w:rPr>
          <w:b/>
        </w:rPr>
        <w:t xml:space="preserve">Abstract (EN): </w:t>
      </w:r>
      <w:r>
        <w:t>Relaxor ferroelectrics are characterized by dispersion of the temperature-dependent dielectric constant with frequency and enhanced electromechanical coupling. These properties arise from the dynamic polar response of correlated nanodomains that are strongly associated with atomic-scale compositional disorder, which disrupts long-range ferroelectric ordering and enables nanodomain formation. Here, we report relaxor properties originating from spontaneous low temperature phase competition in fully cation-ordered antiferroelectric PbMg0.5W0.5O3 epitaxial films, including the identification of a new low-energy polar phase. Unlike prototypical relaxors, the B-site cations in coherently strained PbMg0.5W0.5O3 films exhibit long-range rocksalt chemical ordering. Temperature-dependent polarization studies reveal the switching behaviors associated with the phase transitions from paraelectric to antiferroelectric to ferroelectric, and the characteristic dielectric relaxation is ascribed instead to phase competition between the polar and antipolar phases mediated by temperature and substrate clamping. This phase competition breaks long-range dipole correlation and leads to dielectric dispersion and relaxor behavior. These findings demonstrate a new paradigm for designing relaxor material properties through engineered phase competition.</w:t>
      </w:r>
    </w:p>
    <w:p>
      <w:pPr>
        <w:spacing w:before="120" w:after="120"/>
      </w:pPr>
      <w:r>
        <w:rPr>
          <w:sz w:val="18"/>
        </w:rPr>
        <w:t>——————————————————————————————————————————————————————————————————————</w:t>
      </w:r>
    </w:p>
    <w:p>
      <w:pPr>
        <w:spacing w:before="160" w:after="40" w:line="240" w:lineRule="auto"/>
      </w:pPr>
      <w:r>
        <w:rPr>
          <w:b/>
        </w:rPr>
        <w:t xml:space="preserve">[132] </w:t>
      </w:r>
      <w:hyperlink r:id="rId512">
        <w:r>
          <w:rPr>
            <w:color w:val="1155CC"/>
            <w:u w:val="single"/>
          </w:rPr>
          <w:t>来自富含流体的钻石的纳米矿物包裹体：识别、结构以及对地球深处的影响</w:t>
        </w:r>
      </w:hyperlink>
    </w:p>
    <w:p>
      <w:pPr>
        <w:spacing w:before="0" w:after="80"/>
      </w:pPr>
      <w:r>
        <w:rPr>
          <w:i/>
          <w:sz w:val="20"/>
        </w:rPr>
        <w:t>EN: Nanometric mineral inclusions from a fluid-rich diamond: identification, structure, and implications for deep Earth</w:t>
      </w:r>
    </w:p>
    <w:p>
      <w:pPr>
        <w:spacing w:before="0" w:after="120"/>
      </w:pPr>
      <w:r>
        <w:rPr>
          <w:b/>
        </w:rPr>
        <w:t xml:space="preserve">Source: </w:t>
      </w:r>
      <w:r>
        <w:t>Earth and environmental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富含流体（云状/纤维状）的钻石含有数百万个微米流体包裹体，可以揭示钻石形成介质的性质。富含流体的钻石中的矿物包裹体是纳米到微米级的，这使得不同相的结构和化学表征变得困难。因此，确定此类夹杂物形成的压力、温度和深度的工作非常有限。这些条件与富含流体的钻石形成条件之间的关系仍不清楚。我们报告了使用微电子衍射法来识别和各向异性细化产自南非的富含流体的钻石中的纳米阿克曼石内含物的结构。检测到额外的纳米 Ba/Sr 碳酸盐夹杂物。 FTIR 分析揭示了一个高度聚集的宝石级核心，周围环绕着富含高密度流体 (HDF) 包裹体的边缘，阿克曼石从中结晶。 Åkermanite 是在金伯利岩喷发或折返 HDF 减压过程中形成的。在后一种情况下，阿克曼石将金刚石的形成限制在约 140 公里深度（约 4.6 GPa）的最低温度 1000 °C。 HDF 分析揭示了低镁碳酸岩至硅质成分。钻石的高 BaO 和 Cl 以及 δ13C 值（-5.72 至 -7.84 ‰）归因于盐水流体渗透到榴辉岩中而形成，与碳化蚀变洋壳的俯冲有关。</w:t>
      </w:r>
    </w:p>
    <w:p>
      <w:pPr>
        <w:spacing w:before="0" w:after="200" w:lineRule="auto" w:line="276"/>
      </w:pPr>
      <w:r>
        <w:rPr>
          <w:b/>
        </w:rPr>
        <w:t xml:space="preserve">Abstract (EN): </w:t>
      </w:r>
      <w:r>
        <w:t>Fluid-rich (cloudy/fibrous) diamonds host millions of micrometric fluid inclusions that can reveal the nature of diamond-forming media. Mineral inclusions in fluid-rich diamonds are nano to micrometric making structural and chemical characterization of the different phases difficult. Consequently, limited work has been done determining the pressures, temperatures and depths at which such inclusions form. The relationship between such conditions and those of fluid-rich diamond formation remains unclear. We report the use of micro-electron diffractometry to identify and anisotropically refine the structure of a nanometric åkermanite inclusion in a fluid-rich diamond from South Africa. Additional nanometric Ba/Sr-carbonate inclusions were detected. FTIR analyses revealed a highly aggregated, gem-quality core surrounded by a rim rich in high-density fluid (HDF) inclusions from which åkermanite crystallized. Åkermanite formed during HDF depressurization due to kimberlite eruption or exhumation. In the latter scenario, åkermanite constrained diamond formation to a minimum temperature of 1000 °C at ∼140 km depth (~4.6 GPa). Analysis of the HDFs reveal low-Mg carbonatitic to silicic compositions. The high BaO and Cl and the δ13C values of the diamond (−5.72 to −7.84 ‰) are attributed to formation via penetration of saline fluid into an eclogite, related to subduction of carbonated altered oceanic crust.</w:t>
      </w:r>
    </w:p>
    <w:p>
      <w:pPr>
        <w:spacing w:before="120" w:after="120"/>
      </w:pPr>
      <w:r>
        <w:rPr>
          <w:sz w:val="18"/>
        </w:rPr>
        <w:t>——————————————————————————————————————————————————————————————————————</w:t>
      </w:r>
    </w:p>
    <w:p>
      <w:pPr>
        <w:spacing w:before="160" w:after="40" w:line="240" w:lineRule="auto"/>
      </w:pPr>
      <w:r>
        <w:rPr>
          <w:b/>
        </w:rPr>
        <w:t xml:space="preserve">[133] </w:t>
      </w:r>
      <w:hyperlink r:id="rId513">
        <w:r>
          <w:rPr>
            <w:color w:val="1155CC"/>
            <w:u w:val="single"/>
          </w:rPr>
          <w:t>迁徙中的头奖个体促进了银河系鱼类生态型的快速转变</w:t>
        </w:r>
      </w:hyperlink>
    </w:p>
    <w:p>
      <w:pPr>
        <w:spacing w:before="0" w:after="80"/>
      </w:pPr>
      <w:r>
        <w:rPr>
          <w:i/>
          <w:sz w:val="20"/>
        </w:rPr>
        <w:t>EN: Migratory jackpot individuals fuel rapid ecotype shifts in Galaxias fishes</w:t>
      </w:r>
    </w:p>
    <w:p>
      <w:pPr>
        <w:spacing w:before="0" w:after="120"/>
      </w:pPr>
      <w:r>
        <w:rPr>
          <w:b/>
        </w:rPr>
        <w:t xml:space="preserve">Source: </w:t>
      </w:r>
      <w:r>
        <w:t>Earth and environmental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适应被认为对于面临环境变化的物种至关重要，但我们对复杂生态类型进化的理解仍然有限。我们表明，大量共同适应等位基因的基因组簇反复推动了鱼类复杂的生活史转变。具体来说，支持以前海洋迁徙的 Galaxias 谱系重复内陆锁定的大多数强离群基因座都位于同一条染色体上。表型、行为和基因组比较揭示了八个独立内陆种群的多性状生态型转变（渗透调节、肌肉组织、运动、繁殖）的强大平行基础。至关重要的是，迁徙种群中的“头奖”个体携带着快速多性状生活史转换所必需的完整序列。观察到这些迁徙的头奖携带者的高频率解释了新西兰最近发生的灾难性山体滑坡所隔离的星系种群中发现的快速生态型转变。这些发现代表了复杂生态型进化的完整例子，强调了模块化基因组变异在促进快速适应性变化中的关键作用。</w:t>
      </w:r>
    </w:p>
    <w:p>
      <w:pPr>
        <w:spacing w:before="0" w:after="200" w:lineRule="auto" w:line="276"/>
      </w:pPr>
      <w:r>
        <w:rPr>
          <w:b/>
        </w:rPr>
        <w:t xml:space="preserve">Abstract (EN): </w:t>
      </w:r>
      <w:r>
        <w:t>Adaptation is considered essential for species facing environmental change, but our understanding of the evolution of complex ecotypes remains limited. We show that a substantial genomic cluster of co-adapted alleles has repeatedly fuelled complex life-history shifts in fishes. Specifically, the majority of strong outlier loci underpinning repeated landlocking of formerly marine-migratory Galaxias lineages are co-located on a single chromosome. Phenotypic, behavioural and genomic comparisons reveal a strong parallel basis for multi-trait ecotype shifts (osmoregulation; musculature; locomotion; reproduction) across eight independently landlocked populations. Critically, migratory populations house ‘jackpot’ individuals carrying intact sequences essential for rapid multi-trait life-history switches. The observed high frequencies of these migratory jackpot carriers explain the rapid ecotype shifts detected in Galaxias populations isolated by recent catastrophic landslides in New Zealand. These findings represent a complete example of complex ecotype evolution, highlighting the key role of modular genomic variation in facilitating rapid adaptive change.</w:t>
      </w:r>
    </w:p>
    <w:p>
      <w:pPr>
        <w:spacing w:before="120" w:after="120"/>
      </w:pPr>
      <w:r>
        <w:rPr>
          <w:sz w:val="18"/>
        </w:rPr>
        <w:t>——————————————————————————————————————————————————————————————————————</w:t>
      </w:r>
    </w:p>
    <w:p>
      <w:pPr>
        <w:spacing w:before="160" w:after="40" w:line="240" w:lineRule="auto"/>
      </w:pPr>
      <w:r>
        <w:rPr>
          <w:b/>
        </w:rPr>
        <w:t xml:space="preserve">[134] </w:t>
      </w:r>
      <w:hyperlink r:id="rId514">
        <w:r>
          <w:rPr>
            <w:color w:val="1155CC"/>
            <w:u w:val="single"/>
          </w:rPr>
          <w:t>气候和植物性状导致跨大陆大气汞吸收不平衡</w:t>
        </w:r>
      </w:hyperlink>
    </w:p>
    <w:p>
      <w:pPr>
        <w:spacing w:before="0" w:after="80"/>
      </w:pPr>
      <w:r>
        <w:rPr>
          <w:i/>
          <w:sz w:val="20"/>
        </w:rPr>
        <w:t>EN: Climate and plant traits drive a cross-continental imbalance in atmospheric Hg uptake</w:t>
      </w:r>
    </w:p>
    <w:p>
      <w:pPr>
        <w:spacing w:before="0" w:after="120"/>
      </w:pPr>
      <w:r>
        <w:rPr>
          <w:b/>
        </w:rPr>
        <w:t xml:space="preserve">Source: </w:t>
      </w:r>
      <w:r>
        <w:t>Earth and environmental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热带雨林，尤其是亚马逊雨林，起着地球之肺的作用，同时吸收世界范围内排放的汞 (Hg)。通过将气候驱动的叶功能性状变化引入全球森林汞吸收模型，我们发现了汞源和汇之间的洲际空间脱钩。出乎意料的是，南美和非洲工业化程度最低的雨林却展现出世界上最高的大气汞积累率和最大的生物量，从而不成比例地封存了工业化地区释放的汞。这种不平衡是由气候特定的叶子特征引起的，这些特征增强了低纬度地区的汞固定。该模型将全球森林汞吸收量限制在 1155 ± 422 Mg yr–1，大幅降低了先前的不确定性 (320–3138 Mg yr–1)，并与全球凋落物沉积量 (1180 ± 710 Mg yr–1) 接近平衡。这些发现敦促重新评估《水俣公约》的有效性，并强调热带森林对人为汞输入以及气候引起的植被和陆地汞库变化的脆弱性。</w:t>
      </w:r>
    </w:p>
    <w:p>
      <w:pPr>
        <w:spacing w:before="0" w:after="200" w:lineRule="auto" w:line="276"/>
      </w:pPr>
      <w:r>
        <w:rPr>
          <w:b/>
        </w:rPr>
        <w:t xml:space="preserve">Abstract (EN): </w:t>
      </w:r>
      <w:r>
        <w:t>Tropical rainforests, particularly the Amazon, function as the Earth’s lungs yet absorb mercury (Hg) emitted worldwide. By introducing climate-driven variations in foliar functional traits into a global model of forest Hg uptake, we uncovered an inter-continental spatial decoupling between Hg sources and sinks. Unexpectedly, the minimally industrialized rainforests of South America and Africa exhibit the world’s highest atmospheric Hg accumulation rates and greatest biomass, thus disproportionately sequestering Hg released from industrialized regions. This imbalance arises from climate-specific leaf traits that enhance Hg fixation towards lower latitudes. The model constrains global forest Hg uptake to 1155 ± 422 Mg yr–1, sharply reducing prior uncertainties (320–3138 Mg yr–1) and nearly equilibrating with global litterfall deposition (1180 ± 710 Mg yr–1). These findings urge a re-assessment of the Minamata Convention’s effectiveness and highlight the vulnerability of tropical forests to anthropogenic Hg inputs and to climate-induced shifts in vegetation and terrestrial Hg reservoirs.</w:t>
      </w:r>
    </w:p>
    <w:p>
      <w:pPr>
        <w:spacing w:before="120" w:after="120"/>
      </w:pPr>
      <w:r>
        <w:rPr>
          <w:sz w:val="18"/>
        </w:rPr>
        <w:t>——————————————————————————————————————————————————————————————————————</w:t>
      </w:r>
    </w:p>
    <w:p>
      <w:pPr>
        <w:spacing w:before="160" w:after="40" w:line="240" w:lineRule="auto"/>
      </w:pPr>
      <w:r>
        <w:rPr>
          <w:b/>
        </w:rPr>
        <w:t xml:space="preserve">[135] </w:t>
      </w:r>
      <w:hyperlink r:id="rId515">
        <w:r>
          <w:rPr>
            <w:color w:val="1155CC"/>
            <w:u w:val="single"/>
          </w:rPr>
          <w:t>小鼠大脑单细胞和单核图谱中的簇可复制性</w:t>
        </w:r>
      </w:hyperlink>
    </w:p>
    <w:p>
      <w:pPr>
        <w:spacing w:before="0" w:after="80"/>
      </w:pPr>
      <w:r>
        <w:rPr>
          <w:i/>
          <w:sz w:val="20"/>
        </w:rPr>
        <w:t>EN: Cluster replicability in single-cell and single-nucleus atlases of the mouse brain</w:t>
      </w:r>
    </w:p>
    <w:p>
      <w:pPr>
        <w:spacing w:before="0" w:after="120"/>
      </w:pPr>
      <w:r>
        <w:rPr>
          <w:b/>
        </w:rPr>
        <w:t xml:space="preserve">Source: </w:t>
      </w:r>
      <w:r>
        <w:t>Biological sciences : Nature Communications subject feeds</w:t>
      </w:r>
      <w:r>
        <w:t xml:space="preserve">    </w:t>
      </w:r>
      <w:r>
        <w:rPr>
          <w:b/>
        </w:rPr>
        <w:t xml:space="preserve">Pub date: </w:t>
      </w:r>
      <w:r>
        <w:t>2026-06-23 00:00:00+00:00</w:t>
      </w:r>
    </w:p>
    <w:p>
      <w:pPr>
        <w:spacing w:before="0" w:after="120"/>
      </w:pPr>
      <w:r>
        <w:rPr>
          <w:b/>
        </w:rPr>
        <w:t xml:space="preserve">Notes: </w:t>
      </w:r>
      <w:r>
        <w:t>abstract_source=nature_html</w:t>
      </w:r>
    </w:p>
    <w:p>
      <w:pPr>
        <w:spacing w:before="0" w:after="80" w:lineRule="auto" w:line="276"/>
      </w:pPr>
      <w:r>
        <w:rPr>
          <w:b/>
        </w:rPr>
        <w:t xml:space="preserve">摘要（ZH）: </w:t>
      </w:r>
      <w:r>
        <w:t>单细胞 RNA 测序增进了我们对细胞异质性的理解。确保已识别的细胞簇在研究中的可重复性对于确定其生物稳健性至关重要。我们评估了在两个大型小鼠大脑图谱中识别出的细胞簇的可复制性，一个是使用单细胞 RNA 测序生成的，另一个是单核的。两者都分析了超过 400 万个细胞，并将它们分为超过 5,000 个簇。使用转录组范围内的邻居投票，我们识别出 2,009 个相互匹配的簇对，这些簇对具有一致的空间定位和协调的基因表达，这也在多个物种的数据集中观察到。互惠簇在小脑中丰富，其中较低的多样性有助于可复制性，而下丘脑的异质性限制了一致性。区分紧密的簇比将簇与大多数其他簇区分开来更具挑战性，尤其是在使用标记基因时。通过合并可复制性数据，我们为研究图谱定义的簇及其生物学意义提供了更坚实的基础。</w:t>
      </w:r>
    </w:p>
    <w:p>
      <w:pPr>
        <w:spacing w:before="0" w:after="200" w:lineRule="auto" w:line="276"/>
      </w:pPr>
      <w:r>
        <w:rPr>
          <w:b/>
        </w:rPr>
        <w:t xml:space="preserve">Abstract (EN): </w:t>
      </w:r>
      <w:r>
        <w:t>Single-cell RNA sequencing has advanced our understanding of cellular heterogeneity. Ensuring the replicability of identified cell clusters across studies is essential for determining their biological robustness. We assess the replicability of cell clusters identified in two large mouse brain atlases, one generated using single-cell RNA sequencing and the other with single nuclei. Both profile over 4 million cells and group them into over 5,000 clusters. Using transcriptome-wide neighbor voting, we identify 2,009 reciprocally matched cluster pairs with consistent spatial localization and coordinated gene expression, which were also observed in datasets from multiple species. Reciprocal clusters are enriched in the cerebellum, where lower diversity aids replicability, while the hypothalamus’s heterogeneity limits agreement. Distinguishing close clusters is much more challenging than differentiating a cluster from most others, especially when using marker genes. By incorporating replicability data, we provide a stronger foundation for investigating the atlas-defined clusters and their biological meaning.</w:t>
      </w:r>
    </w:p>
    <w:p>
      <w:pPr>
        <w:spacing w:before="120" w:after="120"/>
      </w:pPr>
      <w:r>
        <w:rPr>
          <w:sz w:val="18"/>
        </w:rPr>
        <w:t>——————————————————————————————————————————————————————————————————————</w:t>
      </w:r>
    </w:p>
    <w:p>
      <w:pPr>
        <w:spacing w:before="160" w:after="40" w:line="240" w:lineRule="auto"/>
      </w:pPr>
      <w:r>
        <w:rPr>
          <w:b/>
        </w:rPr>
        <w:t xml:space="preserve">[136] </w:t>
      </w:r>
      <w:hyperlink r:id="rId516">
        <w:r>
          <w:rPr>
            <w:color w:val="1155CC"/>
            <w:u w:val="single"/>
          </w:rPr>
          <w:t>学术上的成功仍然需要不间断的职业生涯</w:t>
        </w:r>
      </w:hyperlink>
    </w:p>
    <w:p>
      <w:pPr>
        <w:spacing w:before="0" w:after="80"/>
      </w:pPr>
      <w:r>
        <w:rPr>
          <w:i/>
          <w:sz w:val="20"/>
        </w:rPr>
        <w:t>EN: Academic success still assumes uninterrupted careers</w:t>
      </w:r>
    </w:p>
    <w:p>
      <w:pPr>
        <w:spacing w:before="0" w:after="120"/>
      </w:pPr>
      <w:r>
        <w:rPr>
          <w:b/>
        </w:rPr>
        <w:t xml:space="preserve">Source: </w:t>
      </w:r>
      <w:r>
        <w:t>Nature</w:t>
      </w:r>
      <w:r>
        <w:t xml:space="preserve">    </w:t>
      </w:r>
      <w:r>
        <w:rPr>
          <w:b/>
        </w:rPr>
        <w:t xml:space="preserve">Pub date: </w:t>
      </w:r>
      <w:r>
        <w:t>2026-06-23 00:00:00+00:00</w:t>
      </w:r>
      <w:r>
        <w:t xml:space="preserve">    </w:t>
      </w:r>
      <w:r>
        <w:rPr>
          <w:b/>
        </w:rPr>
        <w:t xml:space="preserve">DOI: </w:t>
      </w:r>
      <w:hyperlink r:id="rId517">
        <w:r>
          <w:rPr>
            <w:color w:val="1155CC"/>
            <w:u w:val="single"/>
          </w:rPr>
          <w:t>10.1038/d41586-026-01971-1</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[137] </w:t>
      </w:r>
      <w:hyperlink r:id="rId518">
        <w:r>
          <w:rPr>
            <w:color w:val="1155CC"/>
            <w:u w:val="single"/>
          </w:rPr>
          <w:t>全球贸易破坏了物质平等</w:t>
        </w:r>
      </w:hyperlink>
    </w:p>
    <w:p>
      <w:pPr>
        <w:spacing w:before="0" w:after="80"/>
      </w:pPr>
      <w:r>
        <w:rPr>
          <w:i/>
          <w:sz w:val="20"/>
        </w:rPr>
        <w:t>EN: Material equality undermined by global trade</w:t>
      </w:r>
    </w:p>
    <w:p>
      <w:pPr>
        <w:spacing w:before="0" w:after="120"/>
      </w:pPr>
      <w:r>
        <w:rPr>
          <w:b/>
        </w:rPr>
        <w:t xml:space="preserve">Source: </w:t>
      </w:r>
      <w:r>
        <w:t>Nature Sustainability</w:t>
      </w:r>
      <w:r>
        <w:t xml:space="preserve">    </w:t>
      </w:r>
      <w:r>
        <w:rPr>
          <w:b/>
        </w:rPr>
        <w:t xml:space="preserve">Pub date: </w:t>
      </w:r>
      <w:r>
        <w:t>2026-06-23 00:00:00+00:00</w:t>
      </w:r>
      <w:r>
        <w:t xml:space="preserve">    </w:t>
      </w:r>
      <w:r>
        <w:rPr>
          <w:b/>
        </w:rPr>
        <w:t xml:space="preserve">DOI: </w:t>
      </w:r>
      <w:hyperlink r:id="rId519">
        <w:r>
          <w:rPr>
            <w:color w:val="1155CC"/>
            <w:u w:val="single"/>
          </w:rPr>
          <w:t>10.1038/s41893-026-01838-3</w:t>
        </w:r>
      </w:hyperlink>
    </w:p>
    <w:p>
      <w:pPr>
        <w:spacing w:before="0" w:after="120"/>
      </w:pPr>
      <w:r>
        <w:rPr>
          <w:b/>
        </w:rPr>
        <w:t xml:space="preserve">Notes: </w:t>
      </w:r>
      <w:r>
        <w:t>abstract_source=nature_html</w:t>
      </w:r>
    </w:p>
    <w:p>
      <w:pPr>
        <w:spacing w:before="0" w:after="80" w:lineRule="auto" w:line="276"/>
      </w:pPr>
      <w:r>
        <w:rPr>
          <w:b/>
        </w:rPr>
        <w:t xml:space="preserve">摘要（ZH）: </w:t>
      </w:r>
      <w:r>
        <w:t>以公正和可持续的方式满足全球人口对水、能源和粮食日益增长的需求是一项紧迫的挑战。现在的一项研究描绘了如何在国际贸易中利用这些重要的、相互依赖的系统，量化各国之间的实物和虚拟流动。</w:t>
      </w:r>
    </w:p>
    <w:p>
      <w:pPr>
        <w:spacing w:before="0" w:after="200" w:lineRule="auto" w:line="276"/>
      </w:pPr>
      <w:r>
        <w:rPr>
          <w:b/>
        </w:rPr>
        <w:t xml:space="preserve">Abstract (EN): </w:t>
      </w:r>
      <w:r>
        <w:t>Meeting the increasing demand for water, energy and food of the global population in a just and sustainable manner is an urgent challenge. A study now maps how these essential, interdependent systems are leveraged in international trade, quantifying both physical and virtual flows across countries.</w:t>
      </w:r>
    </w:p>
    <w:p>
      <w:pPr>
        <w:spacing w:before="120" w:after="120"/>
      </w:pPr>
      <w:r>
        <w:rPr>
          <w:sz w:val="18"/>
        </w:rPr>
        <w:t>——————————————————————————————————————————————————————————————————————</w:t>
      </w:r>
    </w:p>
    <w:p>
      <w:pPr>
        <w:spacing w:before="160" w:after="40" w:line="240" w:lineRule="auto"/>
      </w:pPr>
      <w:r>
        <w:rPr>
          <w:b/>
        </w:rPr>
        <w:t xml:space="preserve">[138] </w:t>
      </w:r>
      <w:hyperlink r:id="rId520">
        <w:r>
          <w:rPr>
            <w:color w:val="1155CC"/>
            <w:u w:val="single"/>
          </w:rPr>
          <w:t>作者更正：淡水纤毛虫的磁感受源于内共生</w:t>
        </w:r>
      </w:hyperlink>
    </w:p>
    <w:p>
      <w:pPr>
        <w:spacing w:before="0" w:after="80"/>
      </w:pPr>
      <w:r>
        <w:rPr>
          <w:i/>
          <w:sz w:val="20"/>
        </w:rPr>
        <w:t>EN: Author Correction: Magnetoreception in a freshwater ciliate arises from endosymbiosis</w:t>
      </w:r>
    </w:p>
    <w:p>
      <w:pPr>
        <w:spacing w:before="0" w:after="120"/>
      </w:pPr>
      <w:r>
        <w:rPr>
          <w:b/>
        </w:rPr>
        <w:t xml:space="preserve">Source: </w:t>
      </w:r>
      <w:r>
        <w:t>Biological sciences : Nature Communications subject feeds</w:t>
      </w:r>
      <w:r>
        <w:t xml:space="preserve">    </w:t>
      </w:r>
      <w:r>
        <w:rPr>
          <w:b/>
        </w:rPr>
        <w:t xml:space="preserve">Pub date: </w:t>
      </w:r>
      <w:r>
        <w:t>2026-06-23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[139] </w:t>
      </w:r>
      <w:hyperlink r:id="rId521">
        <w:r>
          <w:rPr>
            <w:color w:val="1155CC"/>
            <w:u w:val="single"/>
          </w:rPr>
          <w:t>堆叠硅晶体管的一种方法</w:t>
        </w:r>
      </w:hyperlink>
    </w:p>
    <w:p>
      <w:pPr>
        <w:spacing w:before="0" w:after="80"/>
      </w:pPr>
      <w:r>
        <w:rPr>
          <w:i/>
          <w:sz w:val="20"/>
        </w:rPr>
        <w:t>EN: One way to stack silicon transistors</w:t>
      </w:r>
    </w:p>
    <w:p>
      <w:pPr>
        <w:spacing w:before="0" w:after="120"/>
      </w:pPr>
      <w:r>
        <w:rPr>
          <w:b/>
        </w:rPr>
        <w:t xml:space="preserve">Source: </w:t>
      </w:r>
      <w:r>
        <w:t>Nature Electronics</w:t>
      </w:r>
      <w:r>
        <w:t xml:space="preserve">    </w:t>
      </w:r>
      <w:r>
        <w:rPr>
          <w:b/>
        </w:rPr>
        <w:t xml:space="preserve">Pub date: </w:t>
      </w:r>
      <w:r>
        <w:t>2026-06-23 00:00:00+00:00</w:t>
      </w:r>
      <w:r>
        <w:t xml:space="preserve">    </w:t>
      </w:r>
      <w:r>
        <w:rPr>
          <w:b/>
        </w:rPr>
        <w:t xml:space="preserve">DOI: </w:t>
      </w:r>
      <w:hyperlink r:id="rId522">
        <w:r>
          <w:rPr>
            <w:color w:val="1155CC"/>
            <w:u w:val="single"/>
          </w:rPr>
          <w:t>10.1038/s41928-026-01666-5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[140] </w:t>
      </w:r>
      <w:hyperlink r:id="rId523">
        <w:r>
          <w:rPr>
            <w:color w:val="1155CC"/>
            <w:u w:val="single"/>
          </w:rPr>
          <w:t>全年海洋极端高温在升温 1.5°C 的第一年严重影响海洋生物</w:t>
        </w:r>
      </w:hyperlink>
    </w:p>
    <w:p>
      <w:pPr>
        <w:spacing w:before="0" w:after="80"/>
      </w:pPr>
      <w:r>
        <w:rPr>
          <w:i/>
          <w:sz w:val="20"/>
        </w:rPr>
        <w:t>EN: Year-round marine heat extremes severely impact marine life during the first year at 1.5°C warming</w:t>
      </w:r>
    </w:p>
    <w:p>
      <w:pPr>
        <w:spacing w:before="0" w:after="120"/>
      </w:pPr>
      <w:r>
        <w:rPr>
          <w:b/>
        </w:rPr>
        <w:t xml:space="preserve">Source: </w:t>
      </w:r>
      <w:r>
        <w:t>One Earth</w:t>
      </w:r>
      <w:r>
        <w:t xml:space="preserve">    </w:t>
      </w:r>
      <w:r>
        <w:rPr>
          <w:b/>
        </w:rPr>
        <w:t xml:space="preserve">Pub date: </w:t>
      </w:r>
      <w:r>
        <w:t>2026-06-23 00:00:00+00:00</w:t>
      </w:r>
      <w:r>
        <w:t xml:space="preserve">    </w:t>
      </w:r>
      <w:r>
        <w:rPr>
          <w:b/>
        </w:rPr>
        <w:t xml:space="preserve">DOI: </w:t>
      </w:r>
      <w:hyperlink r:id="rId524">
        <w:r>
          <w:rPr>
            <w:color w:val="1155CC"/>
            <w:u w:val="single"/>
          </w:rPr>
          <w:t>10.1016/j.oneear.2026.101746</w:t>
        </w:r>
      </w:hyperlink>
    </w:p>
    <w:p>
      <w:pPr>
        <w:spacing w:before="0" w:after="120"/>
      </w:pPr>
      <w:r>
        <w:rPr>
          <w:b/>
        </w:rPr>
        <w:t xml:space="preserve">Notes: </w:t>
      </w:r>
      <w:r>
        <w:t>abstract_source=openalex</w:t>
      </w:r>
    </w:p>
    <w:p>
      <w:pPr>
        <w:spacing w:before="0" w:after="80" w:lineRule="auto" w:line="276"/>
      </w:pPr>
      <w:r>
        <w:rPr>
          <w:b/>
        </w:rPr>
        <w:t xml:space="preserve">摘要（ZH）: </w:t>
      </w:r>
      <w:r>
        <w:t>海洋异常高温时期变得更加强烈和持久，对生物多样性、粮食系统和沿海恢复力产生影响。然而，海洋影响评估往往强调夏季，从而造成季节性偏差，从而低估了海洋极端高温的全年后果。 2023年至2024年，海洋表面变暖比工业化前水平高出1.0°C以上，与大部分海洋全年海洋极端高温相吻合。在此，我们对这一特殊年份的海洋影响进行了快速的全球评估。我们发现夏季影响频繁且严重，但 29% 的非热带影响发生在较冷的季节。涉及复合危害的事件跨季节发生，但其发生时间因危害类型而异。因此，仅夏季评估不足以了解海洋热量何时、何地以及如何威胁海洋生态系统。需要进行快速、全年的评估，以了解异常高温如何影响海洋生态系统和相关社会，同时为未来不可避免的极端事件提供准备计划。</w:t>
      </w:r>
    </w:p>
    <w:p>
      <w:pPr>
        <w:spacing w:before="0" w:after="200" w:lineRule="auto" w:line="276"/>
      </w:pPr>
      <w:r>
        <w:rPr>
          <w:b/>
        </w:rPr>
        <w:t xml:space="preserve">Abstract (EN): </w:t>
      </w:r>
      <w:r>
        <w:t>Periods of anomalous ocean heat are becoming more intense and persistent, with consequences for biodiversity, food systems, and coastal resilience. Yet ocean impact assessments often emphasize summer, creating a seasonal bias that can underrepresent the year-round consequences of marine heat extremes. In 2023–2024, ocean surface warming exceeded 1.0°C above pre-industrial levels, coinciding with year-round marine heat extremes across much of the ocean. Here, we provide a rapid global assessment of marine impacts during this exceptional year. We show that summer impacts were frequent and severe, but 29% of non-tropical impacts occurred in cooler seasons. Events involving compound hazards occurred across seasons, though their timing varied by hazard type. Summer assessments alone are therefore insufficient to capture when, where, and how ocean heat threatens marine ecosystems. Rapid, year-round assessments are needed to understand how anomalous heat affects marine ecosystems and dependent societies, while informing preparedness plans for inevitable future extremes.</w:t>
      </w:r>
    </w:p>
    <w:p>
      <w:pPr>
        <w:spacing w:before="120" w:after="120"/>
      </w:pPr>
      <w:r>
        <w:rPr>
          <w:sz w:val="18"/>
        </w:rPr>
        <w:t>——————————————————————————————————————————————————————————————————————</w:t>
      </w:r>
    </w:p>
    <w:p>
      <w:pPr>
        <w:spacing w:before="160" w:after="40" w:line="240" w:lineRule="auto"/>
      </w:pPr>
      <w:r>
        <w:rPr>
          <w:b/>
        </w:rPr>
        <w:t xml:space="preserve">[141] </w:t>
      </w:r>
      <w:hyperlink r:id="rId525">
        <w:r>
          <w:rPr>
            <w:color w:val="1155CC"/>
            <w:u w:val="single"/>
          </w:rPr>
          <w:t>重新审视需求增长与电价之间的关系</w:t>
        </w:r>
      </w:hyperlink>
    </w:p>
    <w:p>
      <w:pPr>
        <w:spacing w:before="0" w:after="80"/>
      </w:pPr>
      <w:r>
        <w:rPr>
          <w:i/>
          <w:sz w:val="20"/>
        </w:rPr>
        <w:t>EN: Revisiting the relationship between demand growth and electricity prices</w:t>
      </w:r>
    </w:p>
    <w:p>
      <w:pPr>
        <w:spacing w:before="0" w:after="120"/>
      </w:pPr>
      <w:r>
        <w:rPr>
          <w:b/>
        </w:rPr>
        <w:t xml:space="preserve">Source: </w:t>
      </w:r>
      <w:r>
        <w:t>Joule</w:t>
      </w:r>
      <w:r>
        <w:t xml:space="preserve">    </w:t>
      </w:r>
      <w:r>
        <w:rPr>
          <w:b/>
        </w:rPr>
        <w:t xml:space="preserve">Pub date: </w:t>
      </w:r>
      <w:r>
        <w:t>2026-06-23 00:00:00+00:00</w:t>
      </w:r>
      <w:r>
        <w:t xml:space="preserve">    </w:t>
      </w:r>
      <w:r>
        <w:rPr>
          <w:b/>
        </w:rPr>
        <w:t xml:space="preserve">DOI: </w:t>
      </w:r>
      <w:hyperlink r:id="rId526">
        <w:r>
          <w:rPr>
            <w:color w:val="1155CC"/>
            <w:u w:val="single"/>
          </w:rPr>
          <w:t>10.1016/j.joule.2026.102528</w:t>
        </w:r>
      </w:hyperlink>
    </w:p>
    <w:p>
      <w:pPr>
        <w:spacing w:before="0" w:after="120"/>
      </w:pPr>
      <w:r>
        <w:rPr>
          <w:b/>
        </w:rPr>
        <w:t xml:space="preserve">Notes: </w:t>
      </w:r>
      <w:r>
        <w:t>abstract_source=rss_cell</w:t>
      </w:r>
    </w:p>
    <w:p>
      <w:pPr>
        <w:spacing w:before="0" w:after="80" w:lineRule="auto" w:line="276"/>
      </w:pPr>
      <w:r>
        <w:rPr>
          <w:b/>
        </w:rPr>
        <w:t xml:space="preserve">摘要（ZH）: </w:t>
      </w:r>
      <w:r>
        <w:t>在这篇评论中，作者描述了美国电力需求与零售电价之间的关系。作者解释了为什么需求增长通常与电价下跌相关，并探讨了未来需求增长可能导致电价上涨的论点。</w:t>
      </w:r>
    </w:p>
    <w:p>
      <w:pPr>
        <w:spacing w:before="0" w:after="200" w:lineRule="auto" w:line="276"/>
      </w:pPr>
      <w:r>
        <w:rPr>
          <w:b/>
        </w:rPr>
        <w:t xml:space="preserve">Abstract (EN): </w:t>
      </w:r>
      <w:r>
        <w:t>In this commentary, the authors describe the relationship between electricity demand and retail electricity prices in the United States. The authors explain why demand growth has generally been associated with falling electricity prices and explore arguments that future demand growth may increase prices.</w:t>
      </w:r>
    </w:p>
    <w:p>
      <w:pPr>
        <w:spacing w:before="120" w:after="120"/>
      </w:pPr>
      <w:r>
        <w:rPr>
          <w:sz w:val="18"/>
        </w:rPr>
        <w:t>——————————————————————————————————————————————————————————————————————</w:t>
      </w:r>
    </w:p>
    <w:p>
      <w:pPr>
        <w:spacing w:before="160" w:after="40" w:line="240" w:lineRule="auto"/>
      </w:pPr>
      <w:r>
        <w:rPr>
          <w:b/>
        </w:rPr>
        <w:t xml:space="preserve">[142] </w:t>
      </w:r>
      <w:hyperlink r:id="rId527">
        <w:r>
          <w:rPr>
            <w:color w:val="1155CC"/>
            <w:u w:val="single"/>
          </w:rPr>
          <w:t>使用区块链的分布式电动汽车智能充电调度方法</w:t>
        </w:r>
      </w:hyperlink>
    </w:p>
    <w:p>
      <w:pPr>
        <w:spacing w:before="0" w:after="80"/>
      </w:pPr>
      <w:r>
        <w:rPr>
          <w:i/>
          <w:sz w:val="20"/>
        </w:rPr>
        <w:t>EN: A distributed approach for electric vehicle smart charging scheduling using blockchain</w:t>
      </w:r>
    </w:p>
    <w:p>
      <w:pPr>
        <w:spacing w:before="0" w:after="120"/>
      </w:pPr>
      <w:r>
        <w:rPr>
          <w:b/>
        </w:rPr>
        <w:t xml:space="preserve">Source: </w:t>
      </w:r>
      <w:r>
        <w:t>ScienceDirect Publication: Applied Energy</w:t>
      </w:r>
      <w:r>
        <w:t xml:space="preserve">    </w:t>
      </w:r>
      <w:r>
        <w:rPr>
          <w:b/>
        </w:rPr>
        <w:t xml:space="preserve">Pub date: </w:t>
      </w:r>
      <w:r>
        <w:t>2026-06-23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[143] </w:t>
      </w:r>
      <w:hyperlink r:id="rId528">
        <w:r>
          <w:rPr>
            <w:color w:val="1155CC"/>
            <w:u w:val="single"/>
          </w:rPr>
          <w:t>范德华异质结构中铁电隧道效应的静电放大</w:t>
        </w:r>
      </w:hyperlink>
    </w:p>
    <w:p>
      <w:pPr>
        <w:spacing w:before="0" w:after="80"/>
      </w:pPr>
      <w:r>
        <w:rPr>
          <w:i/>
          <w:sz w:val="20"/>
        </w:rPr>
        <w:t>EN: Electrostatic amplification of ferroelectric tunneling in van der Waals heterostructures</w:t>
      </w:r>
    </w:p>
    <w:p>
      <w:pPr>
        <w:spacing w:before="0" w:after="120"/>
      </w:pPr>
      <w:r>
        <w:rPr>
          <w:b/>
        </w:rPr>
        <w:t xml:space="preserve">Source: </w:t>
      </w:r>
      <w:r>
        <w:t>Matter</w:t>
      </w:r>
      <w:r>
        <w:t xml:space="preserve">    </w:t>
      </w:r>
      <w:r>
        <w:rPr>
          <w:b/>
        </w:rPr>
        <w:t xml:space="preserve">Pub date: </w:t>
      </w:r>
      <w:r>
        <w:t>2026-06-23 00:00:00+00:00</w:t>
      </w:r>
      <w:r>
        <w:t xml:space="preserve">    </w:t>
      </w:r>
      <w:r>
        <w:rPr>
          <w:b/>
        </w:rPr>
        <w:t xml:space="preserve">DOI: </w:t>
      </w:r>
      <w:hyperlink r:id="rId529">
        <w:r>
          <w:rPr>
            <w:color w:val="1155CC"/>
            <w:u w:val="single"/>
          </w:rPr>
          <w:t>10.1016/j.matt.2026.102878</w:t>
        </w:r>
      </w:hyperlink>
    </w:p>
    <w:p>
      <w:pPr>
        <w:spacing w:before="0" w:after="120"/>
      </w:pPr>
      <w:r>
        <w:rPr>
          <w:b/>
        </w:rPr>
        <w:t xml:space="preserve">Notes: </w:t>
      </w:r>
      <w:r>
        <w:t>abstract_source=rss_cell</w:t>
      </w:r>
    </w:p>
    <w:p>
      <w:pPr>
        <w:spacing w:before="0" w:after="80" w:lineRule="auto" w:line="276"/>
      </w:pPr>
      <w:r>
        <w:rPr>
          <w:b/>
        </w:rPr>
        <w:t xml:space="preserve">摘要（ZH）: </w:t>
      </w:r>
      <w:r>
        <w:t>郭等人。识别分层铁电存储器中的不完全屏蔽静电状态。通过结合 Bi2O2Se、氮化硼和石墨烯，它们将偏振控制、隧道和屏蔽分开，实现超低漏电和大电阻，同时揭示石墨烯厚度依赖的屏蔽规则。</w:t>
      </w:r>
    </w:p>
    <w:p>
      <w:pPr>
        <w:spacing w:before="0" w:after="200" w:lineRule="auto" w:line="276"/>
      </w:pPr>
      <w:r>
        <w:rPr>
          <w:b/>
        </w:rPr>
        <w:t xml:space="preserve">Abstract (EN): </w:t>
      </w:r>
      <w:r>
        <w:t>Kuo et al. identify an incomplete screening electrostatic regime in a layered ferroelectric memory. By combining Bi2O2Se, boron nitride, and graphene, they separate polarization control, tunneling, and screening, achieving ultra-low leakage and large electroresistance, while revealing a graphene-thickness-dependent screening rule.</w:t>
      </w:r>
    </w:p>
    <w:p>
      <w:pPr>
        <w:spacing w:before="120" w:after="120"/>
      </w:pPr>
      <w:r>
        <w:rPr>
          <w:sz w:val="18"/>
        </w:rPr>
        <w:t>——————————————————————————————————————————————————————————————————————</w:t>
      </w:r>
    </w:p>
    <w:p>
      <w:pPr>
        <w:spacing w:before="160" w:after="40" w:line="240" w:lineRule="auto"/>
      </w:pPr>
      <w:r>
        <w:rPr>
          <w:b/>
        </w:rPr>
        <w:t xml:space="preserve">[144] </w:t>
      </w:r>
      <w:hyperlink r:id="rId530">
        <w:r>
          <w:rPr>
            <w:color w:val="1155CC"/>
            <w:u w:val="single"/>
          </w:rPr>
          <w:t>我应该如何应对实验室中基于种族的排斥？</w:t>
        </w:r>
      </w:hyperlink>
    </w:p>
    <w:p>
      <w:pPr>
        <w:spacing w:before="0" w:after="80"/>
      </w:pPr>
      <w:r>
        <w:rPr>
          <w:i/>
          <w:sz w:val="20"/>
        </w:rPr>
        <w:t>EN: How should I respond to race-based exclusion in my lab?</w:t>
      </w:r>
    </w:p>
    <w:p>
      <w:pPr>
        <w:spacing w:before="0" w:after="120"/>
      </w:pPr>
      <w:r>
        <w:rPr>
          <w:b/>
        </w:rPr>
        <w:t xml:space="preserve">Source: </w:t>
      </w:r>
      <w:r>
        <w:t>Nature</w:t>
      </w:r>
      <w:r>
        <w:t xml:space="preserve">    </w:t>
      </w:r>
      <w:r>
        <w:rPr>
          <w:b/>
        </w:rPr>
        <w:t xml:space="preserve">Pub date: </w:t>
      </w:r>
      <w:r>
        <w:t>2026-06-23 00:00:00+00:00</w:t>
      </w:r>
      <w:r>
        <w:t xml:space="preserve">    </w:t>
      </w:r>
      <w:r>
        <w:rPr>
          <w:b/>
        </w:rPr>
        <w:t xml:space="preserve">DOI: </w:t>
      </w:r>
      <w:hyperlink r:id="rId531">
        <w:r>
          <w:rPr>
            <w:color w:val="1155CC"/>
            <w:u w:val="single"/>
          </w:rPr>
          <w:t>10.1038/d41586-026-01130-6</w:t>
        </w:r>
      </w:hyperlink>
    </w:p>
    <w:p>
      <w:pPr>
        <w:spacing w:before="0" w:after="120"/>
      </w:pPr>
      <w:r>
        <w:rPr>
          <w:b/>
        </w:rPr>
        <w:t xml:space="preserve">Notes: </w:t>
      </w:r>
      <w:r>
        <w:t>abstract_source=nature_html</w:t>
      </w:r>
    </w:p>
    <w:p>
      <w:pPr>
        <w:spacing w:before="0" w:after="80" w:lineRule="auto" w:line="276"/>
      </w:pPr>
      <w:r>
        <w:rPr>
          <w:b/>
        </w:rPr>
        <w:t xml:space="preserve">摘要（ZH）: </w:t>
      </w:r>
      <w:r>
        <w:t>欧洲的一位研究人员感觉自己被排除在自己的团队之外，并且与同事有着不同的标准。他们如何在不危及自己地位的情况下挑战排斥？欧洲的一位研究人员感觉自己被排除在自己的团队之外，并且与同事有着不同的标准。他们如何在不危及自己地位的情况下挑战排斥？</w:t>
      </w:r>
    </w:p>
    <w:p>
      <w:pPr>
        <w:spacing w:before="0" w:after="200" w:lineRule="auto" w:line="276"/>
      </w:pPr>
      <w:r>
        <w:rPr>
          <w:b/>
        </w:rPr>
        <w:t xml:space="preserve">Abstract (EN): </w:t>
      </w:r>
      <w:r>
        <w:t>A researcher in Europe feels left out of their team and held to different standards from their colleagues. How can they challenge exclusion without risking their position? A researcher in Europe feels left out of their team and held to different standards from their colleagues. How can they challenge exclusion without risking their position?</w:t>
      </w:r>
    </w:p>
    <w:p>
      <w:pPr>
        <w:spacing w:before="120" w:after="120"/>
      </w:pPr>
      <w:r>
        <w:rPr>
          <w:sz w:val="18"/>
        </w:rPr>
        <w:t>——————————————————————————————————————————————————————————————————————</w:t>
      </w:r>
    </w:p>
    <w:p>
      <w:pPr>
        <w:spacing w:before="160" w:after="40" w:line="240" w:lineRule="auto"/>
      </w:pPr>
      <w:r>
        <w:rPr>
          <w:b/>
        </w:rPr>
        <w:t xml:space="preserve">[145] </w:t>
      </w:r>
      <w:hyperlink r:id="rId532">
        <w:r>
          <w:rPr>
            <w:color w:val="1155CC"/>
            <w:u w:val="single"/>
          </w:rPr>
          <w:t>将样本放大十亿倍，让简单的显微镜能够精确定位氨基酸</w:t>
        </w:r>
      </w:hyperlink>
    </w:p>
    <w:p>
      <w:pPr>
        <w:spacing w:before="0" w:after="80"/>
      </w:pPr>
      <w:r>
        <w:rPr>
          <w:i/>
          <w:sz w:val="20"/>
        </w:rPr>
        <w:t>EN: Making samples one billion times bigger lets simple microscopes pinpoint amino acids</w:t>
      </w:r>
    </w:p>
    <w:p>
      <w:pPr>
        <w:spacing w:before="0" w:after="120"/>
      </w:pPr>
      <w:r>
        <w:rPr>
          <w:b/>
        </w:rPr>
        <w:t xml:space="preserve">Source: </w:t>
      </w:r>
      <w:r>
        <w:t>Nature</w:t>
      </w:r>
      <w:r>
        <w:t xml:space="preserve">    </w:t>
      </w:r>
      <w:r>
        <w:rPr>
          <w:b/>
        </w:rPr>
        <w:t xml:space="preserve">Pub date: </w:t>
      </w:r>
      <w:r>
        <w:t>2026-06-23 00:00:00+00:00</w:t>
      </w:r>
      <w:r>
        <w:t xml:space="preserve">    </w:t>
      </w:r>
      <w:r>
        <w:rPr>
          <w:b/>
        </w:rPr>
        <w:t xml:space="preserve">DOI: </w:t>
      </w:r>
      <w:hyperlink r:id="rId533">
        <w:r>
          <w:rPr>
            <w:color w:val="1155CC"/>
            <w:u w:val="single"/>
          </w:rPr>
          <w:t>10.1038/d41586-026-01842-9</w:t>
        </w:r>
      </w:hyperlink>
    </w:p>
    <w:p>
      <w:pPr>
        <w:spacing w:before="0" w:after="120"/>
      </w:pPr>
      <w:r>
        <w:rPr>
          <w:b/>
        </w:rPr>
        <w:t xml:space="preserve">Notes: </w:t>
      </w:r>
      <w:r>
        <w:t>abstract_source=nature_html</w:t>
      </w:r>
    </w:p>
    <w:p>
      <w:pPr>
        <w:spacing w:before="0" w:after="80" w:lineRule="auto" w:line="276"/>
      </w:pPr>
      <w:r>
        <w:rPr>
          <w:b/>
        </w:rPr>
        <w:t xml:space="preserve">摘要（ZH）: </w:t>
      </w:r>
      <w:r>
        <w:t>向各个方向拉伸蛋白质样品会将分子拉得更远，从而仅使用光学显微镜即可观察到它们。向各个方向拉伸蛋白质样品会将分子拉得更远，从而仅使用光学显微镜即可观察到它们。</w:t>
      </w:r>
    </w:p>
    <w:p>
      <w:pPr>
        <w:spacing w:before="0" w:after="200" w:lineRule="auto" w:line="276"/>
      </w:pPr>
      <w:r>
        <w:rPr>
          <w:b/>
        </w:rPr>
        <w:t xml:space="preserve">Abstract (EN): </w:t>
      </w:r>
      <w:r>
        <w:t>Stretching protein samples in all directions pulls molecules farther apart, allowing them to be visualized using only light microscopy. Stretching protein samples in all directions pulls molecules farther apart, allowing them to be visualized using only light microscopy.</w:t>
      </w:r>
    </w:p>
    <w:p>
      <w:pPr>
        <w:spacing w:before="120" w:after="120"/>
      </w:pPr>
      <w:r>
        <w:rPr>
          <w:sz w:val="18"/>
        </w:rPr>
        <w:t>——————————————————————————————————————————————————————————————————————</w:t>
      </w:r>
    </w:p>
    <w:p>
      <w:pPr>
        <w:spacing w:before="160" w:after="40" w:line="240" w:lineRule="auto"/>
      </w:pPr>
      <w:r>
        <w:rPr>
          <w:b/>
        </w:rPr>
        <w:t xml:space="preserve">[146] </w:t>
      </w:r>
      <w:hyperlink r:id="rId534">
        <w:r>
          <w:rPr>
            <w:color w:val="1155CC"/>
            <w:u w:val="single"/>
          </w:rPr>
          <w:t>欧洲必须抓住时机引领自由开放的科学</w:t>
        </w:r>
      </w:hyperlink>
    </w:p>
    <w:p>
      <w:pPr>
        <w:spacing w:before="0" w:after="80"/>
      </w:pPr>
      <w:r>
        <w:rPr>
          <w:i/>
          <w:sz w:val="20"/>
        </w:rPr>
        <w:t>EN: Europe must seize the moment to lead on free and open science</w:t>
      </w:r>
    </w:p>
    <w:p>
      <w:pPr>
        <w:spacing w:before="0" w:after="120"/>
      </w:pPr>
      <w:r>
        <w:rPr>
          <w:b/>
        </w:rPr>
        <w:t xml:space="preserve">Source: </w:t>
      </w:r>
      <w:r>
        <w:t>Nature</w:t>
      </w:r>
      <w:r>
        <w:t xml:space="preserve">    </w:t>
      </w:r>
      <w:r>
        <w:rPr>
          <w:b/>
        </w:rPr>
        <w:t xml:space="preserve">Pub date: </w:t>
      </w:r>
      <w:r>
        <w:t>2026-06-23 00:00:00+00:00</w:t>
      </w:r>
      <w:r>
        <w:t xml:space="preserve">    </w:t>
      </w:r>
      <w:r>
        <w:rPr>
          <w:b/>
        </w:rPr>
        <w:t xml:space="preserve">DOI: </w:t>
      </w:r>
      <w:hyperlink r:id="rId535">
        <w:r>
          <w:rPr>
            <w:color w:val="1155CC"/>
            <w:u w:val="single"/>
          </w:rPr>
          <w:t>10.1038/d41586-026-01953-3</w:t>
        </w:r>
      </w:hyperlink>
    </w:p>
    <w:p>
      <w:pPr>
        <w:spacing w:before="0" w:after="120"/>
      </w:pPr>
      <w:r>
        <w:rPr>
          <w:b/>
        </w:rPr>
        <w:t xml:space="preserve">Notes: </w:t>
      </w:r>
      <w:r>
        <w:t>abstract_source=nature_html</w:t>
      </w:r>
    </w:p>
    <w:p>
      <w:pPr>
        <w:spacing w:before="0" w:after="80" w:lineRule="auto" w:line="276"/>
      </w:pPr>
      <w:r>
        <w:rPr>
          <w:b/>
        </w:rPr>
        <w:t xml:space="preserve">摘要（ZH）: </w:t>
      </w:r>
      <w:r>
        <w:t>作为一个被低估的研究强国，欧洲有责任捍卫全世界所有研究人才都能接触到的民主科学。作为一个被低估的研究强国，欧洲有责任捍卫全世界所有研究人才都能接触到的民主科学。</w:t>
      </w:r>
    </w:p>
    <w:p>
      <w:pPr>
        <w:spacing w:before="0" w:after="200" w:lineRule="auto" w:line="276"/>
      </w:pPr>
      <w:r>
        <w:rPr>
          <w:b/>
        </w:rPr>
        <w:t xml:space="preserve">Abstract (EN): </w:t>
      </w:r>
      <w:r>
        <w:t>An under-appreciated research powerhouse, Europe has a responsibility to champion democratic science that is accessible to all the world’s research talent. An under-appreciated research powerhouse, Europe has a responsibility to champion democratic science that is accessible to all the world’s research talent.</w:t>
      </w:r>
    </w:p>
    <w:p>
      <w:pPr>
        <w:spacing w:before="120" w:after="120"/>
      </w:pPr>
      <w:r>
        <w:rPr>
          <w:sz w:val="18"/>
        </w:rPr>
        <w:t>——————————————————————————————————————————————————————————————————————</w:t>
      </w:r>
    </w:p>
    <w:p>
      <w:pPr>
        <w:spacing w:before="160" w:after="40" w:line="240" w:lineRule="auto"/>
      </w:pPr>
      <w:r>
        <w:rPr>
          <w:b/>
        </w:rPr>
        <w:t xml:space="preserve">[147] </w:t>
      </w:r>
      <w:hyperlink r:id="rId536">
        <w:r>
          <w:rPr>
            <w:color w:val="1155CC"/>
            <w:u w:val="single"/>
          </w:rPr>
          <w:t>欧洲作为科学超级大国：如何才能与美国和中国抗衡</w:t>
        </w:r>
      </w:hyperlink>
    </w:p>
    <w:p>
      <w:pPr>
        <w:spacing w:before="0" w:after="80"/>
      </w:pPr>
      <w:r>
        <w:rPr>
          <w:i/>
          <w:sz w:val="20"/>
        </w:rPr>
        <w:t>EN: Europe as science superpower: what it will take to rival the US and China</w:t>
      </w:r>
    </w:p>
    <w:p>
      <w:pPr>
        <w:spacing w:before="0" w:after="120"/>
      </w:pPr>
      <w:r>
        <w:rPr>
          <w:b/>
        </w:rPr>
        <w:t xml:space="preserve">Source: </w:t>
      </w:r>
      <w:r>
        <w:t>Nature</w:t>
      </w:r>
      <w:r>
        <w:t xml:space="preserve">    </w:t>
      </w:r>
      <w:r>
        <w:rPr>
          <w:b/>
        </w:rPr>
        <w:t xml:space="preserve">Pub date: </w:t>
      </w:r>
      <w:r>
        <w:t>2026-06-23 00:00:00+00:00</w:t>
      </w:r>
      <w:r>
        <w:t xml:space="preserve">    </w:t>
      </w:r>
      <w:r>
        <w:rPr>
          <w:b/>
        </w:rPr>
        <w:t xml:space="preserve">DOI: </w:t>
      </w:r>
      <w:hyperlink r:id="rId537">
        <w:r>
          <w:rPr>
            <w:color w:val="1155CC"/>
            <w:u w:val="single"/>
          </w:rPr>
          <w:t>10.1038/d41586-026-01955-1</w:t>
        </w:r>
      </w:hyperlink>
    </w:p>
    <w:p>
      <w:pPr>
        <w:spacing w:before="0" w:after="120"/>
      </w:pPr>
      <w:r>
        <w:rPr>
          <w:b/>
        </w:rPr>
        <w:t xml:space="preserve">Notes: </w:t>
      </w:r>
      <w:r>
        <w:t>abstract_source=nature_html</w:t>
      </w:r>
    </w:p>
    <w:p>
      <w:pPr>
        <w:spacing w:before="0" w:after="80" w:lineRule="auto" w:line="276"/>
      </w:pPr>
      <w:r>
        <w:rPr>
          <w:b/>
        </w:rPr>
        <w:t xml:space="preserve">摘要（ZH）: </w:t>
      </w:r>
      <w:r>
        <w:t>在美国科学界的混乱和地缘政治动荡中，欧洲希望将自己定位为研究天堂，但资金和创新方面的问题仍然存在。在美国科学界的混乱和地缘政治动荡中，欧洲希望将自己定位为研究天堂，但资金和创新方面的问题仍然存在。</w:t>
      </w:r>
    </w:p>
    <w:p>
      <w:pPr>
        <w:spacing w:before="0" w:after="200" w:lineRule="auto" w:line="276"/>
      </w:pPr>
      <w:r>
        <w:rPr>
          <w:b/>
        </w:rPr>
        <w:t xml:space="preserve">Abstract (EN): </w:t>
      </w:r>
      <w:r>
        <w:t>Amid chaos in US science and geopolitical turmoil, Europe wants to position itself as a research haven — but questions about funding and innovation remain. Amid chaos in US science and geopolitical turmoil, Europe wants to position itself as a research haven — but questions about funding and innovation remain.</w:t>
      </w:r>
    </w:p>
    <w:p>
      <w:pPr>
        <w:spacing w:before="120" w:after="120"/>
      </w:pPr>
      <w:r>
        <w:rPr>
          <w:sz w:val="18"/>
        </w:rPr>
        <w:t>——————————————————————————————————————————————————————————————————————</w:t>
      </w:r>
    </w:p>
    <w:p>
      <w:pPr>
        <w:spacing w:before="160" w:after="40" w:line="240" w:lineRule="auto"/>
      </w:pPr>
      <w:r>
        <w:rPr>
          <w:b/>
        </w:rPr>
        <w:t xml:space="preserve">[148] </w:t>
      </w:r>
      <w:hyperlink r:id="rId538">
        <w:r>
          <w:rPr>
            <w:color w:val="1155CC"/>
            <w:u w:val="single"/>
          </w:rPr>
          <w:t>硅谷的全球人工智能愿景存在缺陷：每个国家都需要自己的蓝图</w:t>
        </w:r>
      </w:hyperlink>
    </w:p>
    <w:p>
      <w:pPr>
        <w:spacing w:before="0" w:after="80"/>
      </w:pPr>
      <w:r>
        <w:rPr>
          <w:i/>
          <w:sz w:val="20"/>
        </w:rPr>
        <w:t>EN: Silicon Valley’s vision for global AI is flawed: each country needs its own blueprint</w:t>
      </w:r>
    </w:p>
    <w:p>
      <w:pPr>
        <w:spacing w:before="0" w:after="120"/>
      </w:pPr>
      <w:r>
        <w:rPr>
          <w:b/>
        </w:rPr>
        <w:t xml:space="preserve">Source: </w:t>
      </w:r>
      <w:r>
        <w:t>Nature</w:t>
      </w:r>
      <w:r>
        <w:t xml:space="preserve">    </w:t>
      </w:r>
      <w:r>
        <w:rPr>
          <w:b/>
        </w:rPr>
        <w:t xml:space="preserve">Pub date: </w:t>
      </w:r>
      <w:r>
        <w:t>2026-06-23 00:00:00+00:00</w:t>
      </w:r>
      <w:r>
        <w:t xml:space="preserve">    </w:t>
      </w:r>
      <w:r>
        <w:rPr>
          <w:b/>
        </w:rPr>
        <w:t xml:space="preserve">DOI: </w:t>
      </w:r>
      <w:hyperlink r:id="rId539">
        <w:r>
          <w:rPr>
            <w:color w:val="1155CC"/>
            <w:u w:val="single"/>
          </w:rPr>
          <w:t>10.1038/d41586-026-01951-5</w:t>
        </w:r>
      </w:hyperlink>
    </w:p>
    <w:p>
      <w:pPr>
        <w:spacing w:before="0" w:after="120"/>
      </w:pPr>
      <w:r>
        <w:rPr>
          <w:b/>
        </w:rPr>
        <w:t xml:space="preserve">Notes: </w:t>
      </w:r>
      <w:r>
        <w:t>abstract_source=nature_html</w:t>
      </w:r>
    </w:p>
    <w:p>
      <w:pPr>
        <w:spacing w:before="0" w:after="80" w:lineRule="auto" w:line="276"/>
      </w:pPr>
      <w:r>
        <w:rPr>
          <w:b/>
        </w:rPr>
        <w:t xml:space="preserve">摘要（ZH）: </w:t>
      </w:r>
      <w:r>
        <w:t>从能源网络到语言性能，随着当今人工智能战略在全球范围内的扩张，新兴经济体正在暴露出其局限性。从能源网络到语言性能，随着当今人工智能战略在全球范围内的扩张，新兴经济体正在暴露出其局限性。</w:t>
      </w:r>
    </w:p>
    <w:p>
      <w:pPr>
        <w:spacing w:before="0" w:after="200" w:lineRule="auto" w:line="276"/>
      </w:pPr>
      <w:r>
        <w:rPr>
          <w:b/>
        </w:rPr>
        <w:t xml:space="preserve">Abstract (EN): </w:t>
      </w:r>
      <w:r>
        <w:t>From energy grids to language performance, emerging economies are exposing the limits of today’s artificial-intelligence strategy as it expands globally. From energy grids to language performance, emerging economies are exposing the limits of today’s artificial-intelligence strategy as it expands globally.</w:t>
      </w:r>
    </w:p>
    <w:p>
      <w:pPr>
        <w:spacing w:before="120" w:after="120"/>
      </w:pPr>
      <w:r>
        <w:rPr>
          <w:sz w:val="18"/>
        </w:rPr>
        <w:t>——————————————————————————————————————————————————————————————————————</w:t>
      </w:r>
    </w:p>
    <w:p>
      <w:pPr>
        <w:spacing w:before="160" w:after="40" w:line="240" w:lineRule="auto"/>
      </w:pPr>
      <w:r>
        <w:rPr>
          <w:b/>
        </w:rPr>
        <w:t xml:space="preserve">[149] </w:t>
      </w:r>
      <w:hyperlink r:id="rId540">
        <w:r>
          <w:rPr>
            <w:color w:val="1155CC"/>
            <w:u w:val="single"/>
          </w:rPr>
          <w:t>一项 20 世纪 70 年代的专利改变了商业生物技术的进程</w:t>
        </w:r>
      </w:hyperlink>
    </w:p>
    <w:p>
      <w:pPr>
        <w:spacing w:before="0" w:after="80"/>
      </w:pPr>
      <w:r>
        <w:rPr>
          <w:i/>
          <w:sz w:val="20"/>
        </w:rPr>
        <w:t>EN: A 1970s patent that changed the course of commercial biotechnology</w:t>
      </w:r>
    </w:p>
    <w:p>
      <w:pPr>
        <w:spacing w:before="0" w:after="120"/>
      </w:pPr>
      <w:r>
        <w:rPr>
          <w:b/>
        </w:rPr>
        <w:t xml:space="preserve">Source: </w:t>
      </w:r>
      <w:r>
        <w:t>Nature</w:t>
      </w:r>
      <w:r>
        <w:t xml:space="preserve">    </w:t>
      </w:r>
      <w:r>
        <w:rPr>
          <w:b/>
        </w:rPr>
        <w:t xml:space="preserve">Pub date: </w:t>
      </w:r>
      <w:r>
        <w:t>2026-06-23 00:00:00+00:00</w:t>
      </w:r>
      <w:r>
        <w:t xml:space="preserve">    </w:t>
      </w:r>
      <w:r>
        <w:rPr>
          <w:b/>
        </w:rPr>
        <w:t xml:space="preserve">DOI: </w:t>
      </w:r>
      <w:hyperlink r:id="rId541">
        <w:r>
          <w:rPr>
            <w:color w:val="1155CC"/>
            <w:u w:val="single"/>
          </w:rPr>
          <w:t>10.1038/d41586-026-01812-1</w:t>
        </w:r>
      </w:hyperlink>
    </w:p>
    <w:p>
      <w:pPr>
        <w:spacing w:before="0" w:after="120"/>
      </w:pPr>
      <w:r>
        <w:rPr>
          <w:b/>
        </w:rPr>
        <w:t xml:space="preserve">Notes: </w:t>
      </w:r>
      <w:r>
        <w:t>abstract_source=nature_html</w:t>
      </w:r>
    </w:p>
    <w:p>
      <w:pPr>
        <w:spacing w:before="0" w:after="80" w:lineRule="auto" w:line="276"/>
      </w:pPr>
      <w:r>
        <w:rPr>
          <w:b/>
        </w:rPr>
        <w:t xml:space="preserve">摘要（ZH）: </w:t>
      </w:r>
      <w:r>
        <w:t>在我们每周查阅《自然》杂志的档案中，科学界正在等待重组 DNA 技术的专利，以及马勃麻醉剂的实验。大自然过去的片段。</w:t>
      </w:r>
    </w:p>
    <w:p>
      <w:pPr>
        <w:spacing w:before="0" w:after="200" w:lineRule="auto" w:line="276"/>
      </w:pPr>
      <w:r>
        <w:rPr>
          <w:b/>
        </w:rPr>
        <w:t xml:space="preserve">Abstract (EN): </w:t>
      </w:r>
      <w:r>
        <w:t>The scientific community awaits a patent for recombinant DNA technology, and experimentation with an anaesthetic from puffballs, in our weekly dip into Nature’s archive. Snippets from Nature’s past.</w:t>
      </w:r>
    </w:p>
    <w:p>
      <w:pPr>
        <w:spacing w:before="120" w:after="120"/>
      </w:pPr>
      <w:r>
        <w:rPr>
          <w:sz w:val="18"/>
        </w:rPr>
        <w:t>——————————————————————————————————————————————————————————————————————</w:t>
      </w:r>
    </w:p>
    <w:p>
      <w:pPr>
        <w:spacing w:before="160" w:after="40" w:line="240" w:lineRule="auto"/>
      </w:pPr>
      <w:r>
        <w:rPr>
          <w:b/>
        </w:rPr>
        <w:t xml:space="preserve">[150] </w:t>
      </w:r>
      <w:hyperlink r:id="rId542">
        <w:r>
          <w:rPr>
            <w:color w:val="1155CC"/>
            <w:u w:val="single"/>
          </w:rPr>
          <w:t>不要将真菌排除在影响评估之外</w:t>
        </w:r>
      </w:hyperlink>
    </w:p>
    <w:p>
      <w:pPr>
        <w:spacing w:before="0" w:after="80"/>
      </w:pPr>
      <w:r>
        <w:rPr>
          <w:i/>
          <w:sz w:val="20"/>
        </w:rPr>
        <w:t>EN: Do not leave fungi out of impact assessments</w:t>
      </w:r>
    </w:p>
    <w:p>
      <w:pPr>
        <w:spacing w:before="0" w:after="120"/>
      </w:pPr>
      <w:r>
        <w:rPr>
          <w:b/>
        </w:rPr>
        <w:t xml:space="preserve">Source: </w:t>
      </w:r>
      <w:r>
        <w:t>Nature</w:t>
      </w:r>
      <w:r>
        <w:t xml:space="preserve">    </w:t>
      </w:r>
      <w:r>
        <w:rPr>
          <w:b/>
        </w:rPr>
        <w:t xml:space="preserve">Pub date: </w:t>
      </w:r>
      <w:r>
        <w:t>2026-06-23 00:00:00+00:00</w:t>
      </w:r>
      <w:r>
        <w:t xml:space="preserve">    </w:t>
      </w:r>
      <w:r>
        <w:rPr>
          <w:b/>
        </w:rPr>
        <w:t xml:space="preserve">DOI: </w:t>
      </w:r>
      <w:hyperlink r:id="rId543">
        <w:r>
          <w:rPr>
            <w:color w:val="1155CC"/>
            <w:u w:val="single"/>
          </w:rPr>
          <w:t>10.1038/d41586-026-01972-0</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[151] </w:t>
      </w:r>
      <w:hyperlink r:id="rId544">
        <w:r>
          <w:rPr>
            <w:color w:val="1155CC"/>
            <w:u w:val="single"/>
          </w:rPr>
          <w:t>光环效应：学术等级制度如何破坏同行评审并导致欺诈</w:t>
        </w:r>
      </w:hyperlink>
    </w:p>
    <w:p>
      <w:pPr>
        <w:spacing w:before="0" w:after="80"/>
      </w:pPr>
      <w:r>
        <w:rPr>
          <w:i/>
          <w:sz w:val="20"/>
        </w:rPr>
        <w:t>EN: The halo effect: how academic hierarchy undermines peer review and enables fraud</w:t>
      </w:r>
    </w:p>
    <w:p>
      <w:pPr>
        <w:spacing w:before="0" w:after="120"/>
      </w:pPr>
      <w:r>
        <w:rPr>
          <w:b/>
        </w:rPr>
        <w:t xml:space="preserve">Source: </w:t>
      </w:r>
      <w:r>
        <w:t>Nature</w:t>
      </w:r>
      <w:r>
        <w:t xml:space="preserve">    </w:t>
      </w:r>
      <w:r>
        <w:rPr>
          <w:b/>
        </w:rPr>
        <w:t xml:space="preserve">Pub date: </w:t>
      </w:r>
      <w:r>
        <w:t>2026-06-23 00:00:00+00:00</w:t>
      </w:r>
      <w:r>
        <w:t xml:space="preserve">    </w:t>
      </w:r>
      <w:r>
        <w:rPr>
          <w:b/>
        </w:rPr>
        <w:t xml:space="preserve">DOI: </w:t>
      </w:r>
      <w:hyperlink r:id="rId545">
        <w:r>
          <w:rPr>
            <w:color w:val="1155CC"/>
            <w:u w:val="single"/>
          </w:rPr>
          <w:t>10.1038/d41586-026-01969-9</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[152] </w:t>
      </w:r>
      <w:hyperlink r:id="rId546">
        <w:r>
          <w:rPr>
            <w:color w:val="1155CC"/>
            <w:u w:val="single"/>
          </w:rPr>
          <w:t>尼泊尔新科学部必须加强科学能力</w:t>
        </w:r>
      </w:hyperlink>
    </w:p>
    <w:p>
      <w:pPr>
        <w:spacing w:before="0" w:after="80"/>
      </w:pPr>
      <w:r>
        <w:rPr>
          <w:i/>
          <w:sz w:val="20"/>
        </w:rPr>
        <w:t>EN: Nepal’s new science ministry must strengthen scientific capacity</w:t>
      </w:r>
    </w:p>
    <w:p>
      <w:pPr>
        <w:spacing w:before="0" w:after="120"/>
      </w:pPr>
      <w:r>
        <w:rPr>
          <w:b/>
        </w:rPr>
        <w:t xml:space="preserve">Source: </w:t>
      </w:r>
      <w:r>
        <w:t>Nature</w:t>
      </w:r>
      <w:r>
        <w:t xml:space="preserve">    </w:t>
      </w:r>
      <w:r>
        <w:rPr>
          <w:b/>
        </w:rPr>
        <w:t xml:space="preserve">Pub date: </w:t>
      </w:r>
      <w:r>
        <w:t>2026-06-23 00:00:00+00:00</w:t>
      </w:r>
      <w:r>
        <w:t xml:space="preserve">    </w:t>
      </w:r>
      <w:r>
        <w:rPr>
          <w:b/>
        </w:rPr>
        <w:t xml:space="preserve">DOI: </w:t>
      </w:r>
      <w:hyperlink r:id="rId547">
        <w:r>
          <w:rPr>
            <w:color w:val="1155CC"/>
            <w:u w:val="single"/>
          </w:rPr>
          <w:t>10.1038/d41586-026-01970-2</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[153] </w:t>
      </w:r>
      <w:hyperlink r:id="rId548">
        <w:r>
          <w:rPr>
            <w:color w:val="1155CC"/>
            <w:u w:val="single"/>
          </w:rPr>
          <w:t>撤回说明：快速无线电突发中的亚秒级周期性</w:t>
        </w:r>
      </w:hyperlink>
    </w:p>
    <w:p>
      <w:pPr>
        <w:spacing w:before="0" w:after="80"/>
      </w:pPr>
      <w:r>
        <w:rPr>
          <w:i/>
          <w:sz w:val="20"/>
        </w:rPr>
        <w:t>EN: Retraction Note: Sub-second periodicity in a fast radio burst</w:t>
      </w:r>
    </w:p>
    <w:p>
      <w:pPr>
        <w:spacing w:before="0" w:after="120"/>
      </w:pPr>
      <w:r>
        <w:rPr>
          <w:b/>
        </w:rPr>
        <w:t xml:space="preserve">Source: </w:t>
      </w:r>
      <w:r>
        <w:t>Nature</w:t>
      </w:r>
      <w:r>
        <w:t xml:space="preserve">    </w:t>
      </w:r>
      <w:r>
        <w:rPr>
          <w:b/>
        </w:rPr>
        <w:t xml:space="preserve">Pub date: </w:t>
      </w:r>
      <w:r>
        <w:t>2026-06-23 00:00:00+00:00</w:t>
      </w:r>
      <w:r>
        <w:t xml:space="preserve">    </w:t>
      </w:r>
      <w:r>
        <w:rPr>
          <w:b/>
        </w:rPr>
        <w:t xml:space="preserve">DOI: </w:t>
      </w:r>
      <w:hyperlink r:id="rId549">
        <w:r>
          <w:rPr>
            <w:color w:val="1155CC"/>
            <w:u w:val="single"/>
          </w:rPr>
          <w:t>10.1038/s41586-026-10799-8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[154] </w:t>
      </w:r>
      <w:hyperlink r:id="rId550">
        <w:r>
          <w:rPr>
            <w:color w:val="1155CC"/>
            <w:u w:val="single"/>
          </w:rPr>
          <w:t>可见光引导利用一氧化碳的羰基化走向多样化和实用化</w:t>
        </w:r>
      </w:hyperlink>
    </w:p>
    <w:p>
      <w:pPr>
        <w:spacing w:before="0" w:after="80"/>
      </w:pPr>
      <w:r>
        <w:rPr>
          <w:i/>
          <w:sz w:val="20"/>
        </w:rPr>
        <w:t>EN: Visible light steers carbonylation utilizing carbon monoxide toward diversification and practicalization</w:t>
      </w:r>
    </w:p>
    <w:p>
      <w:pPr>
        <w:spacing w:before="0" w:after="120"/>
      </w:pPr>
      <w:r>
        <w:rPr>
          <w:b/>
        </w:rPr>
        <w:t xml:space="preserve">Source: </w:t>
      </w:r>
      <w:r>
        <w:t>Chem</w:t>
      </w:r>
      <w:r>
        <w:t xml:space="preserve">    </w:t>
      </w:r>
      <w:r>
        <w:rPr>
          <w:b/>
        </w:rPr>
        <w:t xml:space="preserve">Pub date: </w:t>
      </w:r>
      <w:r>
        <w:t>2026-06-23 00:00:00+00:00</w:t>
      </w:r>
      <w:r>
        <w:t xml:space="preserve">    </w:t>
      </w:r>
      <w:r>
        <w:rPr>
          <w:b/>
        </w:rPr>
        <w:t xml:space="preserve">DOI: </w:t>
      </w:r>
      <w:hyperlink r:id="rId551">
        <w:r>
          <w:rPr>
            <w:color w:val="1155CC"/>
            <w:u w:val="single"/>
          </w:rPr>
          <w:t>10.1016/j.chempr.2026.103070</w:t>
        </w:r>
      </w:hyperlink>
    </w:p>
    <w:p>
      <w:pPr>
        <w:spacing w:before="0" w:after="120"/>
      </w:pPr>
      <w:r>
        <w:rPr>
          <w:b/>
        </w:rPr>
        <w:t xml:space="preserve">Notes: </w:t>
      </w:r>
      <w:r>
        <w:t>abstract_source=rss_cell</w:t>
      </w:r>
    </w:p>
    <w:p>
      <w:pPr>
        <w:spacing w:before="0" w:after="80" w:lineRule="auto" w:line="276"/>
      </w:pPr>
      <w:r>
        <w:rPr>
          <w:b/>
        </w:rPr>
        <w:t xml:space="preserve">摘要（ZH）: </w:t>
      </w:r>
      <w:r>
        <w:t>本文综述了近年来可见光反应体系下羰基化的研究进展。内容根据激活底物的方法进行分类。最终，本综述旨在启发新型可见光诱导羰基化的设计，并促进可持续有机合成中二氧化碳利用的进步。</w:t>
      </w:r>
    </w:p>
    <w:p>
      <w:pPr>
        <w:spacing w:before="0" w:after="200" w:lineRule="auto" w:line="276"/>
      </w:pPr>
      <w:r>
        <w:rPr>
          <w:b/>
        </w:rPr>
        <w:t xml:space="preserve">Abstract (EN): </w:t>
      </w:r>
      <w:r>
        <w:t>This review summarizes recent research progress on carbonylation under visible-light reaction systems. The contents are categorized according to methods for activating substrates. Ultimately, this review aims to inspire the design of novel visible-light-induced carbonylation and promote the advancement of CO utilization in sustainable organic synthesis.</w:t>
      </w:r>
    </w:p>
    <w:p>
      <w:pPr>
        <w:spacing w:before="120" w:after="120"/>
      </w:pPr>
      <w:r>
        <w:rPr>
          <w:sz w:val="18"/>
        </w:rPr>
        <w:t>——————————————————————————————————————————————————————————————————————</w:t>
      </w:r>
    </w:p>
    <w:p>
      <w:pPr>
        <w:spacing w:before="160" w:after="40" w:line="240" w:lineRule="auto"/>
      </w:pPr>
      <w:r>
        <w:rPr>
          <w:b/>
        </w:rPr>
        <w:t xml:space="preserve">[155] </w:t>
      </w:r>
      <w:hyperlink r:id="rId552">
        <w:r>
          <w:rPr>
            <w:color w:val="1155CC"/>
            <w:u w:val="single"/>
          </w:rPr>
          <w:t>作者更正：声学超材料驱动的透皮给药，用于快速、按需管理急性疾病</w:t>
        </w:r>
      </w:hyperlink>
    </w:p>
    <w:p>
      <w:pPr>
        <w:spacing w:before="0" w:after="80"/>
      </w:pPr>
      <w:r>
        <w:rPr>
          <w:i/>
          <w:sz w:val="20"/>
        </w:rPr>
        <w:t>EN: Author Correction: Acoustic metamaterials-driven transdermal drug delivery for rapid and on-demand management of acute disease</w:t>
      </w:r>
    </w:p>
    <w:p>
      <w:pPr>
        <w:spacing w:before="0" w:after="120"/>
      </w:pPr>
      <w:r>
        <w:rPr>
          <w:b/>
        </w:rPr>
        <w:t xml:space="preserve">Source: </w:t>
      </w:r>
      <w:r>
        <w:t>Biological sciences : Nature Communications subject feeds</w:t>
      </w:r>
      <w:r>
        <w:t xml:space="preserve">    </w:t>
      </w:r>
      <w:r>
        <w:rPr>
          <w:b/>
        </w:rPr>
        <w:t xml:space="preserve">Pub date: </w:t>
      </w:r>
      <w:r>
        <w:t>2026-06-23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[156] </w:t>
      </w:r>
      <w:hyperlink r:id="rId553">
        <w:r>
          <w:rPr>
            <w:color w:val="1155CC"/>
            <w:u w:val="single"/>
          </w:rPr>
          <w:t>通过在耐药病原体中积累的可激活光敏剂对表达 β-内酰胺酶的细菌进行反选择</w:t>
        </w:r>
      </w:hyperlink>
    </w:p>
    <w:p>
      <w:pPr>
        <w:spacing w:before="0" w:after="80"/>
      </w:pPr>
      <w:r>
        <w:rPr>
          <w:i/>
          <w:sz w:val="20"/>
        </w:rPr>
        <w:t>EN: Counterselection against β-lactamase-expressing bacteria via an activatable photosensitizer that accumulates in resistant pathogens</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54">
        <w:r>
          <w:rPr>
            <w:color w:val="1155CC"/>
            <w:u w:val="single"/>
          </w:rPr>
          <w:t>10.1073/pnas.2536405123</w:t>
        </w:r>
      </w:hyperlink>
    </w:p>
    <w:p>
      <w:pPr>
        <w:spacing w:before="0" w:after="120"/>
      </w:pPr>
      <w:r>
        <w:rPr>
          <w:b/>
        </w:rPr>
        <w:t xml:space="preserve">Notes: </w:t>
      </w:r>
      <w:r>
        <w:t>abstract_source=crossref</w:t>
      </w:r>
    </w:p>
    <w:p>
      <w:pPr>
        <w:spacing w:before="0" w:after="80" w:lineRule="auto" w:line="276"/>
      </w:pPr>
      <w:r>
        <w:rPr>
          <w:b/>
        </w:rPr>
        <w:t xml:space="preserve">摘要（ZH）: </w:t>
      </w:r>
      <w:r>
        <w:t>通过 β-内酰胺酶 (bla) 导致的抗菌药物耐药性在全球迅速蔓延，需要采取有针对性的策略，选择性地消除耐药病原体而不加剧耐药性。在此，我们报道</w:t>
      </w:r>
      <w:r>
        <w:t xml:space="preserve"> </w:t>
      </w:r>
      <w:r>
        <w:t>BIN-3I</w:t>
      </w:r>
      <w:r>
        <w:t xml:space="preserve"> </w:t>
      </w:r>
      <w:r>
        <w:t>，一种光敏剂 (PS)，能够选择性激活 bla，更重要的是，能够在耐药细菌内实现共价保留和积累，从而能够有效地光动力消灭表达 bla 的病原体并施加反选择压力。</w:t>
      </w:r>
      <w:r>
        <w:t xml:space="preserve"> </w:t>
      </w:r>
      <w:r>
        <w:t>BIN-3I</w:t>
      </w:r>
      <w:r>
        <w:t xml:space="preserve"> </w:t>
      </w:r>
      <w:r>
        <w:t>采用酶触发的“一对多”设计：bla水解后，会经历亲水性到疏水性以及从低到高渗透性的转变，促进吸收并生成与细胞内蛋白质共价结合的活性醌甲基化物中间体，导致耐药细菌内积累超过2,000倍，硫醇耗尽并产生光触发活性氧。在体外，</w:t>
      </w:r>
      <w:r>
        <w:t xml:space="preserve"> </w:t>
      </w:r>
      <w:r>
        <w:t>BIN-3I</w:t>
      </w:r>
      <w:r>
        <w:t xml:space="preserve"> </w:t>
      </w:r>
      <w:r>
        <w:t>证明了 bla 特异性激活、表达 bla 的 MRSA 的选择性富集和有效的光动力杀伤（&gt;99.999% 减少），优于相应的非笼养光敏剂。至关重要的是，它选择性地根除混合群体中产生 bla 的 MRSA，对耐药菌株施加反选择压力。 PS 也在表达 bla 的革兰氏阴性菌中激活并积累</w:t>
      </w:r>
      <w:r>
        <w:t xml:space="preserve"> </w:t>
      </w:r>
      <w:r>
        <w:t>阴沟肠杆菌</w:t>
      </w:r>
      <w:r>
        <w:t xml:space="preserve"> </w:t>
      </w:r>
      <w:r>
        <w:t>，尽管与革兰氏阳性菌相比杀灭效率降低。在体内，它表现出延长</w:t>
      </w:r>
    </w:p>
    <w:p>
      <w:pPr>
        <w:spacing w:before="0" w:after="200" w:lineRule="auto" w:line="276"/>
      </w:pPr>
      <w:r>
        <w:rPr>
          <w:b/>
        </w:rPr>
        <w:t xml:space="preserve">Abstract (EN): </w:t>
      </w:r>
      <w:r>
        <w:t>The rapid global spread of antimicrobial resistance via β-lactamase (bla) demands targeted strategies that selectively eliminate resistant pathogens without exacerbating resistance. Herein, we report</w:t>
      </w:r>
      <w:r>
        <w:t xml:space="preserve"> </w:t>
      </w:r>
      <w:r>
        <w:t>BIN-3I</w:t>
      </w:r>
      <w:r>
        <w:t xml:space="preserve"> </w:t>
      </w:r>
      <w:r>
        <w:t>, a photosensitizer (PS) that enables bla-selective activation and—more importantly—covalent retention and accumulation within resistant bacteria, allowing potent photodynamic eradication of bla-expressing pathogens and exerting counter-selection pressure.</w:t>
      </w:r>
      <w:r>
        <w:t xml:space="preserve"> </w:t>
      </w:r>
      <w:r>
        <w:t>BIN-3I</w:t>
      </w:r>
      <w:r>
        <w:t xml:space="preserve"> </w:t>
      </w:r>
      <w:r>
        <w:t>adopts an enzyme-triggered "one-to-multi" design: Upon bla hydrolysis, it undergoes a hydrophilic-to-hydrophobic and low-to-high permeability transition, facilitating uptake and generating a reactive quinone methide intermediate that covalently binds intracellular proteins, leading to &amp;gt;2,000-fold accumulation within resistant bacteria, thiol depletion and light-triggered reactive oxygen species generation. In vitro,</w:t>
      </w:r>
      <w:r>
        <w:t xml:space="preserve"> </w:t>
      </w:r>
      <w:r>
        <w:t>BIN-3I</w:t>
      </w:r>
      <w:r>
        <w:t xml:space="preserve"> </w:t>
      </w:r>
      <w:r>
        <w:t>demonstrated bla-specific activation, selective enrichment in bla-expressing MRSA, and potent photodynamic killing (&amp;gt;99.999% reduction), outperforming the corresponding uncaged photosensitizer. Crucially, it selectively eradicates bla-producing MRSA within mixed populations, exerting counter-selection pressure against resistant strains. The PS also activates and accumulates in bla-expressing Gram-negative</w:t>
      </w:r>
      <w:r>
        <w:t xml:space="preserve"> </w:t>
      </w:r>
      <w:r>
        <w:t>Enterobacter cloacae</w:t>
      </w:r>
      <w:r>
        <w:t xml:space="preserve"> </w:t>
      </w:r>
      <w:r>
        <w:t>, albeit with reduced killing efficiency compared to Gram-positive bacteria. In vivo, it exhibited prolonged retention at infection sites and targeted imaging capability in murine myositis and abscess models. Notably,</w:t>
      </w:r>
      <w:r>
        <w:t xml:space="preserve"> </w:t>
      </w:r>
      <w:r>
        <w:t>BIN-3I</w:t>
      </w:r>
      <w:r>
        <w:t xml:space="preserve"> </w:t>
      </w:r>
      <w:r>
        <w:t>-mediated photodynamic therapy effectively cleared MRSA infections across multiple models—including thigh infection, wound, and biofilm-associated infections—achieving &amp;gt;5-log reduction in bacterial load and surpassing vancomycin in efficacy. This work presents a targeted antimicrobial platform that exploits bacterial resistance mechanisms to achieve species-specific eradication, offering a promising strategy to combat multidrug-resistant infections and alleviate the selection pressure that drives the enrichment of resistant strains.</w:t>
      </w:r>
    </w:p>
    <w:p>
      <w:pPr>
        <w:spacing w:before="120" w:after="120"/>
      </w:pPr>
      <w:r>
        <w:rPr>
          <w:sz w:val="18"/>
        </w:rPr>
        <w:t>——————————————————————————————————————————————————————————————————————</w:t>
      </w:r>
    </w:p>
    <w:p>
      <w:pPr>
        <w:spacing w:before="160" w:after="40" w:line="240" w:lineRule="auto"/>
      </w:pPr>
      <w:r>
        <w:rPr>
          <w:b/>
        </w:rPr>
        <w:t xml:space="preserve">[157] </w:t>
      </w:r>
      <w:hyperlink r:id="rId555">
        <w:r>
          <w:rPr>
            <w:color w:val="1155CC"/>
            <w:u w:val="single"/>
          </w:rPr>
          <w:t>淋病奈瑟菌菌毛抗原变异需要限制性修饰系统</w:t>
        </w:r>
      </w:hyperlink>
    </w:p>
    <w:p>
      <w:pPr>
        <w:spacing w:before="0" w:after="80"/>
      </w:pPr>
      <w:r>
        <w:rPr>
          <w:i/>
          <w:sz w:val="20"/>
        </w:rPr>
        <w:t>EN: Restriction–modification systems are required for Neisseria gonorrhoeae pilin antigenic variation</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56">
        <w:r>
          <w:rPr>
            <w:color w:val="1155CC"/>
            <w:u w:val="single"/>
          </w:rPr>
          <w:t>10.1073/pnas.2602688123</w:t>
        </w:r>
      </w:hyperlink>
    </w:p>
    <w:p>
      <w:pPr>
        <w:spacing w:before="0" w:after="120"/>
      </w:pPr>
      <w:r>
        <w:rPr>
          <w:b/>
        </w:rPr>
        <w:t xml:space="preserve">Notes: </w:t>
      </w:r>
      <w:r>
        <w:t>abstract_source=crossref</w:t>
      </w:r>
    </w:p>
    <w:p>
      <w:pPr>
        <w:spacing w:before="0" w:after="80" w:lineRule="auto" w:line="276"/>
      </w:pPr>
      <w:r>
        <w:rPr>
          <w:b/>
        </w:rPr>
        <w:t xml:space="preserve">摘要（ZH）: </w:t>
      </w:r>
      <w:r>
        <w:t>淋病奈瑟菌</w:t>
      </w:r>
      <w:r>
        <w:t xml:space="preserve"> </w:t>
      </w:r>
      <w:r>
        <w:t>(Gc) 菌毛蛋白抗原变异是一种多样性生成系统，利用基因转换产生大量 PilE 蛋白变体，即 IV 型菌毛 (T4p) 的主要亚基。菌毛抗原变异使细菌能够通过表达变异但有功能的菌毛来逃避免疫监视，并且还可以改变 T4p 表达。虽然菌毛蛋白抗原变异需要许多保守的同源重组和DNA修复因子，但导致菌毛蛋白抗原变异的序列变化模式类似于退火反应，而不是同源重组中通常发现的预期的长重组束。我们证明了两个旁系同源的限制性修饰模块在表达和沉默的菌毛蛋白基因座内切割特定的、未修饰的序列，并且切割是菌毛蛋白抗原变异的重要过程。此外，这些限制活性在细菌群体子集中的表达会影响适应性。这些发现部分解释了菌毛蛋白抗原变体的拼凑重组模式，并显示了产生多样性的独特机制。</w:t>
      </w:r>
    </w:p>
    <w:p>
      <w:pPr>
        <w:spacing w:before="0" w:after="200" w:lineRule="auto" w:line="276"/>
      </w:pPr>
      <w:r>
        <w:rPr>
          <w:b/>
        </w:rPr>
        <w:t xml:space="preserve">Abstract (EN): </w:t>
      </w:r>
      <w:r>
        <w:t>Neisseria gonorrhoeae</w:t>
      </w:r>
      <w:r>
        <w:t xml:space="preserve"> </w:t>
      </w:r>
      <w:r>
        <w:t>(Gc) pilin antigenic variation is a diversity-generating system that uses gene conversion to produce numerous PilE protein variants, the major subunit of the Type IV pilus (T4p). Pilin antigenic variation allows the bacteria to escape immune surveillance by expressing a variant but functional pilus, and can also alter T4p expression. While pilin antigenic variation requires many conserved homologous recombination and DNA repair factors, the pattern of sequence changes leading to pilin antigenic variants resembles that of an annealing reaction, rather than the expected long recombination tracts usually found in homologous recombination. We demonstrate that two paralogous restriction–modification modules cleave specific, unmodified sequences within the expressed and silent pilin loci and that cleavage is an important process for pilin antigenic variation. Moreover, expression of these restriction activities in a subset of the bacterial population affects the fitness. These findings partially explain the patchwork recombination patterns of pilin antigenic variants and show a unique mechanism for generating diversity.</w:t>
      </w:r>
    </w:p>
    <w:p>
      <w:pPr>
        <w:spacing w:before="120" w:after="120"/>
      </w:pPr>
      <w:r>
        <w:rPr>
          <w:sz w:val="18"/>
        </w:rPr>
        <w:t>——————————————————————————————————————————————————————————————————————</w:t>
      </w:r>
    </w:p>
    <w:p>
      <w:pPr>
        <w:spacing w:before="160" w:after="40" w:line="240" w:lineRule="auto"/>
      </w:pPr>
      <w:r>
        <w:rPr>
          <w:b/>
        </w:rPr>
        <w:t xml:space="preserve">[158] </w:t>
      </w:r>
      <w:hyperlink r:id="rId557">
        <w:r>
          <w:rPr>
            <w:color w:val="1155CC"/>
            <w:u w:val="single"/>
          </w:rPr>
          <w:t>高温危机期间海洋变温动物体型变化的独特指纹</w:t>
        </w:r>
      </w:hyperlink>
    </w:p>
    <w:p>
      <w:pPr>
        <w:spacing w:before="0" w:after="80"/>
      </w:pPr>
      <w:r>
        <w:rPr>
          <w:i/>
          <w:sz w:val="20"/>
        </w:rPr>
        <w:t>EN: Unique fingerprint of marine ectotherm body size change during hyperthermal crises</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58">
        <w:r>
          <w:rPr>
            <w:color w:val="1155CC"/>
            <w:u w:val="single"/>
          </w:rPr>
          <w:t>10.1073/pnas.2505564123</w:t>
        </w:r>
      </w:hyperlink>
    </w:p>
    <w:p>
      <w:pPr>
        <w:spacing w:before="0" w:after="120"/>
      </w:pPr>
      <w:r>
        <w:rPr>
          <w:b/>
        </w:rPr>
        <w:t xml:space="preserve">Notes: </w:t>
      </w:r>
      <w:r>
        <w:t>abstract_source=crossref</w:t>
      </w:r>
    </w:p>
    <w:p>
      <w:pPr>
        <w:spacing w:before="0" w:after="80" w:lineRule="auto" w:line="276"/>
      </w:pPr>
      <w:r>
        <w:rPr>
          <w:b/>
        </w:rPr>
        <w:t xml:space="preserve">摘要（ZH）: </w:t>
      </w:r>
      <w:r>
        <w:t>“小人国效应”一词描述了地球历史上重大环境扰动期间化石组合平均体型的大幅减小，许多古生物学研究都报道了这一点。然而，大多数研究的区域、时间和分类学焦点有限，引发了对其普遍性的讨论。此外，尽管在最近的海洋变温中已经确定了变暖与体型之间的负相关关系，但小人国效应的环境和机械驱动因素仍然存在争议。我们从化石、历史和现代体型研究中收集了近 9,000 个体型变化，以表明体型减小确实是海洋变温动物对环境危机的普遍反应。在高温事件期间，物种层面体型变化的幅度和时间变异性显着高于非高温事件，这表明体型减小的不同机制取决于环境压力源。我们的研究结果进一步表明，古代环境扰动与较高程度的变暖与更大的矮化有关。这意味着变暖是整个显生宙高温事件期间体型减小的主要驱动因素，未来的变暖将影响现代海洋变温动物目前体型减小的轨迹。</w:t>
      </w:r>
    </w:p>
    <w:p>
      <w:pPr>
        <w:spacing w:before="0" w:after="200" w:lineRule="auto" w:line="276"/>
      </w:pPr>
      <w:r>
        <w:rPr>
          <w:b/>
        </w:rPr>
        <w:t xml:space="preserve">Abstract (EN): </w:t>
      </w:r>
      <w:r>
        <w:t>The term “Lilliput Effect” describes a substantial decrease in the average body size of fossil assemblages during major environmental perturbations in Earth’s history, which is reported in many paleontological studies. The limited regional, temporal and taxonomic focus of most studies, however, has sparked discussions concerning its generality. Additionally, even though a negative relationship between warming and body size has been established in recent marine ectotherms, the environmental and mechanistic drivers of the Lilliput effect are still debated. We compiled close to 9,000 body size changes from fossil, historical, and modern body size studies, to show that a decrease in body size is indeed a general response of marine ectotherms to environmental crises. The magnitude and temporal variability of size changes at the species-level are significantly higher during hyperthermal than nonhyperthermal events, suggesting differing mechanisms of body size decrease depending on the environmental stressor. Our results further show that ancient environmental perturbations with a higher magnitude of warming were associated with a greater dwarfing. This implies that warming was a major driver of body size decreases during hyperthermal events throughout the Phanerozoic, and future warming will impact current trajectories of body size reduction in modern marine ectotherms.</w:t>
      </w:r>
    </w:p>
    <w:p>
      <w:pPr>
        <w:spacing w:before="120" w:after="120"/>
      </w:pPr>
      <w:r>
        <w:rPr>
          <w:sz w:val="18"/>
        </w:rPr>
        <w:t>——————————————————————————————————————————————————————————————————————</w:t>
      </w:r>
    </w:p>
    <w:p>
      <w:pPr>
        <w:spacing w:before="160" w:after="40" w:line="240" w:lineRule="auto"/>
      </w:pPr>
      <w:r>
        <w:rPr>
          <w:b/>
        </w:rPr>
        <w:t xml:space="preserve">[159] </w:t>
      </w:r>
      <w:hyperlink r:id="rId559">
        <w:r>
          <w:rPr>
            <w:color w:val="1155CC"/>
            <w:u w:val="single"/>
          </w:rPr>
          <w:t>本期</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60">
        <w:r>
          <w:rPr>
            <w:color w:val="1155CC"/>
            <w:u w:val="single"/>
          </w:rPr>
          <w:t>10.1073/iti2526123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[160] </w:t>
      </w:r>
      <w:hyperlink r:id="rId561">
        <w:r>
          <w:rPr>
            <w:color w:val="1155CC"/>
            <w:u w:val="single"/>
          </w:rPr>
          <w:t>广泛保守的革兰氏阳性脂蛋白调节细胞伸长</w:t>
        </w:r>
      </w:hyperlink>
    </w:p>
    <w:p>
      <w:pPr>
        <w:spacing w:before="0" w:after="80"/>
      </w:pPr>
      <w:r>
        <w:rPr>
          <w:i/>
          <w:sz w:val="20"/>
        </w:rPr>
        <w:t>EN: A broadly conserved gram-positive lipoprotein regulates cell elongation</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62">
        <w:r>
          <w:rPr>
            <w:color w:val="1155CC"/>
            <w:u w:val="single"/>
          </w:rPr>
          <w:t>10.1073/pnas.2610431123</w:t>
        </w:r>
      </w:hyperlink>
    </w:p>
    <w:p>
      <w:pPr>
        <w:spacing w:before="0" w:after="120"/>
      </w:pPr>
      <w:r>
        <w:rPr>
          <w:b/>
        </w:rPr>
        <w:t xml:space="preserve">Notes: </w:t>
      </w:r>
      <w:r>
        <w:t>abstract_source=crossref</w:t>
      </w:r>
    </w:p>
    <w:p>
      <w:pPr>
        <w:spacing w:before="0" w:after="80" w:lineRule="auto" w:line="276"/>
      </w:pPr>
      <w:r>
        <w:rPr>
          <w:b/>
        </w:rPr>
        <w:t xml:space="preserve">摘要（ZH）: </w:t>
      </w:r>
      <w:r>
        <w:t>细胞壁肽聚糖 (PG) 可以保护几乎所有细菌免遭渗透裂解并指定细胞形状。这种外骨骼的合成是通过聚合聚糖链的酶和将它们交联到现有细胞壁基质中的转肽酶来进行的。在许多细菌中，一种广泛保守的细胞壁合成复合物，称为杆复合物或延长体，在细胞生长中发挥着重要作用。为了研究是否存在未发现的 Rod 复合体成分，我们将高通量遗传学与 AlphaFold-Multimer 筛选相结合。这两种方法集中在脂蛋白 ClcR（以前称为 YerH 或 CamS）上。 ClcR 在革兰氏阳性细菌中广泛保守，预计会与 Rod 复合物转肽酶相互作用。我们发现 ClcR 有助于细胞壁的正确合成</w:t>
      </w:r>
      <w:r>
        <w:t xml:space="preserve"> </w:t>
      </w:r>
      <w:r>
        <w:t>枯草芽孢杆菌</w:t>
      </w:r>
      <w:r>
        <w:t xml:space="preserve"> </w:t>
      </w:r>
      <w:r>
        <w:t>和</w:t>
      </w:r>
      <w:r>
        <w:t xml:space="preserve"> </w:t>
      </w:r>
      <w:r>
        <w:t>金黄色葡萄球菌</w:t>
      </w:r>
      <w:r>
        <w:t xml:space="preserve"> </w:t>
      </w:r>
      <w:r>
        <w:t>对于适当的伸长和细胞形状至关重要</w:t>
      </w:r>
      <w:r>
        <w:t xml:space="preserve"> </w:t>
      </w:r>
      <w:r>
        <w:t>炭疽杆菌</w:t>
      </w:r>
      <w:r>
        <w:t xml:space="preserve"> </w:t>
      </w:r>
      <w:r>
        <w:t>。我们证明 ClcR 直向同源物与其同源转肽酶相互作用，并以与已知调节剂 MreCD 不同的途径作为 Rod 复合物活性的正调节剂发挥作用。总而言之，我们的数据定义了细胞壁伸长机制的广泛保守的组成部分。作为本研究的一部分，我们构建了一个网络工具来促进转座子测序数据的可视化和分析</w:t>
      </w:r>
    </w:p>
    <w:p>
      <w:pPr>
        <w:spacing w:before="0" w:after="200" w:lineRule="auto" w:line="276"/>
      </w:pPr>
      <w:r>
        <w:rPr>
          <w:b/>
        </w:rPr>
        <w:t xml:space="preserve">Abstract (EN): </w:t>
      </w:r>
      <w:r>
        <w:t>The cell wall peptidoglycan (PG) protects virtually all bacteria from osmotic lysis and specifies cell shape. Synthesis of this exoskeleton is carried out by enzymes that polymerize glycan strands and transpeptidases that crosslink them into the existing cell wall matrix. In many bacteria, a broadly conserved cell wall synthesis complex known as the Rod complex or elongasome plays an essential role in cell growth. To investigate whether there are undiscovered Rod complex components, we combined high-throughput genetics with AlphaFold-Multimer screens. The two approaches converged on the lipoprotein ClcR (formerly, YerH or CamS). ClcR is broadly conserved among gram-positive bacteria and is predicted to interact with the Rod complex transpeptidases. We find that ClcR contributes to proper cell wall synthesis in</w:t>
      </w:r>
      <w:r>
        <w:t xml:space="preserve"> </w:t>
      </w:r>
      <w:r>
        <w:t>Bacillus subtilis</w:t>
      </w:r>
      <w:r>
        <w:t xml:space="preserve"> </w:t>
      </w:r>
      <w:r>
        <w:t>and</w:t>
      </w:r>
      <w:r>
        <w:t xml:space="preserve"> </w:t>
      </w:r>
      <w:r>
        <w:t>Staphylococcus aureus</w:t>
      </w:r>
      <w:r>
        <w:t xml:space="preserve"> </w:t>
      </w:r>
      <w:r>
        <w:t>and is essential for proper elongation and cell shape in</w:t>
      </w:r>
      <w:r>
        <w:t xml:space="preserve"> </w:t>
      </w:r>
      <w:r>
        <w:t>Bacillus anthracis</w:t>
      </w:r>
      <w:r>
        <w:t xml:space="preserve"> </w:t>
      </w:r>
      <w:r>
        <w:t>. We show that ClcR orthologs interact with their cognate transpeptidases and function as positive regulators of Rod complex activity in a distinct pathway from that of the known regulators MreCD. Altogether, our data define a broadly conserved component of the cell wall elongation machinery. As part of this study, we built a webtool to facilitate visualization and analysis of transposon-sequencing datasets. Our findings and accompanying resources provide a framework for uncovering biologically relevant protein–protein interactions that pairs genetic and in silico approaches.</w:t>
      </w:r>
    </w:p>
    <w:p>
      <w:pPr>
        <w:spacing w:before="120" w:after="120"/>
      </w:pPr>
      <w:r>
        <w:rPr>
          <w:sz w:val="18"/>
        </w:rPr>
        <w:t>——————————————————————————————————————————————————————————————————————</w:t>
      </w:r>
    </w:p>
    <w:p>
      <w:pPr>
        <w:spacing w:before="160" w:after="40" w:line="240" w:lineRule="auto"/>
      </w:pPr>
      <w:r>
        <w:rPr>
          <w:b/>
        </w:rPr>
        <w:t xml:space="preserve">[161] </w:t>
      </w:r>
      <w:hyperlink r:id="rId563">
        <w:r>
          <w:rPr>
            <w:color w:val="1155CC"/>
            <w:u w:val="single"/>
          </w:rPr>
          <w:t>MDM2 通过与 5' mRNA 翻译调控序列结合来抑制 c-Myc 合成</w:t>
        </w:r>
      </w:hyperlink>
    </w:p>
    <w:p>
      <w:pPr>
        <w:spacing w:before="0" w:after="80"/>
      </w:pPr>
      <w:r>
        <w:rPr>
          <w:i/>
          <w:sz w:val="20"/>
        </w:rPr>
        <w:t>EN: MDM2 suppresses c-Myc synthesis by binding to the 5’ mRNA translation regulatory sequence</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64">
        <w:r>
          <w:rPr>
            <w:color w:val="1155CC"/>
            <w:u w:val="single"/>
          </w:rPr>
          <w:t>10.1073/pnas.2611131123</w:t>
        </w:r>
      </w:hyperlink>
    </w:p>
    <w:p>
      <w:pPr>
        <w:spacing w:before="0" w:after="120"/>
      </w:pPr>
      <w:r>
        <w:rPr>
          <w:b/>
        </w:rPr>
        <w:t xml:space="preserve">Notes: </w:t>
      </w:r>
      <w:r>
        <w:t>abstract_source=crossref</w:t>
      </w:r>
    </w:p>
    <w:p>
      <w:pPr>
        <w:spacing w:before="0" w:after="80" w:lineRule="auto" w:line="276"/>
      </w:pPr>
      <w:r>
        <w:rPr>
          <w:b/>
        </w:rPr>
        <w:t xml:space="preserve">摘要（ZH）: </w:t>
      </w:r>
      <w:r>
        <w:t>p53 肿瘤抑制基因和 c-Myc 癌基因是人类癌症中最常失调的基因，但这些途径之间的分子相互作用仍然知之甚少。 MDM2 是 p53 的关键负调节因子，也是旨在激活 p53 的新兴癌症疗法的靶点。同样，靶向 c-Myc 是癌症治疗中一个长期存在但具有挑战性的目标。在此，我们报道了小型 MDM2 结合药物 Milademetan 促进了 MDM2 与 MDM2 的 5' 非翻译区之间的相互作用。</w:t>
      </w:r>
      <w:r>
        <w:t xml:space="preserve"> </w:t>
      </w:r>
      <w:r>
        <w:t>c-Myc</w:t>
      </w:r>
      <w:r>
        <w:t xml:space="preserve"> </w:t>
      </w:r>
      <w:r>
        <w:t>mRNA，导致抑制</w:t>
      </w:r>
      <w:r>
        <w:t xml:space="preserve"> </w:t>
      </w:r>
      <w:r>
        <w:t>c-Myc</w:t>
      </w:r>
      <w:r>
        <w:t xml:space="preserve"> </w:t>
      </w:r>
      <w:r>
        <w:t>mRNA 翻译不影响 c-Myc RNA 水平。在没有药物存在的非增殖条件下，这种相互作用也会发生。 Milademetan 介导的 c-Myc 耗竭伴随着细胞凋亡的诱导和细胞增殖的抑制，并防止肿瘤生长，与 p53 状态无关。这些发现揭示了一种意想不到的机制，MDM2 通过该机制协调癌症中两条最常改变的途径，并为通过 MDM2 调节剂靶向 c-Myc 驱动的肿瘤（包括那些缺乏功能性 p53 的肿瘤）提供了理论基础。</w:t>
      </w:r>
    </w:p>
    <w:p>
      <w:pPr>
        <w:spacing w:before="0" w:after="200" w:lineRule="auto" w:line="276"/>
      </w:pPr>
      <w:r>
        <w:rPr>
          <w:b/>
        </w:rPr>
        <w:t xml:space="preserve">Abstract (EN): </w:t>
      </w:r>
      <w:r>
        <w:t>The p53 tumor suppressor and the c-Myc oncogene are among the most frequently deregulated genes in human cancers, yet the molecular cross talk between these pathways remains poorly understood. MDM2 is a key negative regulator of p53 and a target for emerging cancer therapies designed to activate p53. Likewise, targeting c-Myc is a long-standing but challenging goal in cancer therapy. Here, we report that the small MDM2-binding drug Milademetan promotes an interaction between MDM2 and the 5’ untranslated region of the</w:t>
      </w:r>
      <w:r>
        <w:t xml:space="preserve"> </w:t>
      </w:r>
      <w:r>
        <w:t>c-Myc</w:t>
      </w:r>
      <w:r>
        <w:t xml:space="preserve"> </w:t>
      </w:r>
      <w:r>
        <w:t>mRNA, causing a suppression of</w:t>
      </w:r>
      <w:r>
        <w:t xml:space="preserve"> </w:t>
      </w:r>
      <w:r>
        <w:t>c-Myc</w:t>
      </w:r>
      <w:r>
        <w:t xml:space="preserve"> </w:t>
      </w:r>
      <w:r>
        <w:t>mRNA translation without affecting c-Myc RNA levels. The interaction also occurs under nonproliferative conditions in the absence of drug. Milademetan-mediated c-Myc depletion is accompanied by the induction of apoptosis and suppression of cell proliferation and prevents tumor growth, independently of p53 status. These findings reveal an unexpected mechanism by which MDM2 coordinates two of the most frequently altered pathways in cancer and provide a rationale for targeting c-Myc-driven tumors, including those lacking functional p53, through MDM2 modulators.</w:t>
      </w:r>
    </w:p>
    <w:p>
      <w:pPr>
        <w:spacing w:before="120" w:after="120"/>
      </w:pPr>
      <w:r>
        <w:rPr>
          <w:sz w:val="18"/>
        </w:rPr>
        <w:t>——————————————————————————————————————————————————————————————————————</w:t>
      </w:r>
    </w:p>
    <w:p>
      <w:pPr>
        <w:spacing w:before="160" w:after="40" w:line="240" w:lineRule="auto"/>
      </w:pPr>
      <w:r>
        <w:rPr>
          <w:b/>
        </w:rPr>
        <w:t xml:space="preserve">[162] </w:t>
      </w:r>
      <w:hyperlink r:id="rId565">
        <w:r>
          <w:rPr>
            <w:color w:val="1155CC"/>
            <w:u w:val="single"/>
          </w:rPr>
          <w:t>大胆的人少，耐心的人多：分散觅食集体的劳动分工</w:t>
        </w:r>
      </w:hyperlink>
    </w:p>
    <w:p>
      <w:pPr>
        <w:spacing w:before="0" w:after="80"/>
      </w:pPr>
      <w:r>
        <w:rPr>
          <w:i/>
          <w:sz w:val="20"/>
        </w:rPr>
        <w:t>EN: Daring few, patient many: Division of labor in decentralized foraging collectives</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66">
        <w:r>
          <w:rPr>
            <w:color w:val="1155CC"/>
            <w:u w:val="single"/>
          </w:rPr>
          <w:t>10.1073/pnas.2605309123</w:t>
        </w:r>
      </w:hyperlink>
    </w:p>
    <w:p>
      <w:pPr>
        <w:spacing w:before="0" w:after="120"/>
      </w:pPr>
      <w:r>
        <w:rPr>
          <w:b/>
        </w:rPr>
        <w:t xml:space="preserve">Notes: </w:t>
      </w:r>
      <w:r>
        <w:t>abstract_source=crossref</w:t>
      </w:r>
    </w:p>
    <w:p>
      <w:pPr>
        <w:spacing w:before="0" w:after="80" w:lineRule="auto" w:line="276"/>
      </w:pPr>
      <w:r>
        <w:rPr>
          <w:b/>
        </w:rPr>
        <w:t xml:space="preserve">摘要（ZH）: </w:t>
      </w:r>
      <w:r>
        <w:t>在没有领导者的情况下，群居动物如何有效地分工觅食？有效的觅食需要平衡个人探索成本和集体信息收益，但没有中央协调。这种平衡必须来自团体成员的分布式决策。我们使用集体觅食模型来应对这一挑战，在该模型中，个体共享信息和奖励，但每个人都必须选择是承担探索成本还是保持闲置。我们表明，分散的集体可以通过分工与中央控制的团体的绩效相匹配，少数探索性的少数人承担在困难时期的觅食成本，不断收集信息以使大多数人同步利用有利的条件。这种分工本质上是适应性的，因为固定的个人阈值会产生灵活的集体行为，而无需集中调整角色。信息冗余导致最佳探索者数量随着群体规模呈对数增长，因此较大的群体需要相应较少的探索者。我们发现，群体异质性的理想水平在中等生态压力下最大化，而最佳群体在极端条件下是同质的。对环境变化的集体反应是不对称的，检测条件改善的速度比检测条件恶化的速度慢，因为发出恢复信号所需的少数探索者的维持成本高昂。因此，我们展示了基于简单的个人阈值规则的分工如何导致最佳的集体绩效</w:t>
      </w:r>
    </w:p>
    <w:p>
      <w:pPr>
        <w:spacing w:before="0" w:after="200" w:lineRule="auto" w:line="276"/>
      </w:pPr>
      <w:r>
        <w:rPr>
          <w:b/>
        </w:rPr>
        <w:t xml:space="preserve">Abstract (EN): </w:t>
      </w:r>
      <w:r>
        <w:t>How can social animals divide labor to forage effectively without a leader? Effective foraging requires balancing individual exploration costs against collective information gains, but without central coordination. This balance must emerge from the distributed decisions of group members. We address this challenge using a collective foraging model in which individuals share information and rewards but each must choose whether to bear the cost of exploring or to remain idle. We show that decentralized collectives can match the performance of centrally controlled groups through a division of labor with a small exploratory minority bearing the cost of foraging in lean times, continuously gathering information to enable a synchronized majority to exploit favorable conditions. This division of labor is inherently adaptive because fixed individual thresholds produce flexible collective behavior without central adjustment of roles. Information redundancy causes the optimal number of explorers to grow logarithmically with group size, so larger groups need proportionally fewer explorers. We find that the ideal level of group heterogeneity is maximized at intermediate ecological pressures, whereas optimal groups are homogeneous under extreme conditions. Collective responses to environmental changes are asymmetric and detecting improving conditions is slower than detecting deteriorating ones, as the exploratory minority needed to signal recovery is costly to maintain. We thus show how a division of labor based on simple individual threshold rules leads to optimal collective performance without central coordination, and predict when ecological pressures favor heterogeneous vs. uniform group composition.</w:t>
      </w:r>
    </w:p>
    <w:p>
      <w:pPr>
        <w:spacing w:before="120" w:after="120"/>
      </w:pPr>
      <w:r>
        <w:rPr>
          <w:sz w:val="18"/>
        </w:rPr>
        <w:t>——————————————————————————————————————————————————————————————————————</w:t>
      </w:r>
    </w:p>
    <w:p>
      <w:pPr>
        <w:spacing w:before="160" w:after="40" w:line="240" w:lineRule="auto"/>
      </w:pPr>
      <w:r>
        <w:rPr>
          <w:b/>
        </w:rPr>
        <w:t xml:space="preserve">[163] </w:t>
      </w:r>
      <w:hyperlink r:id="rId567">
        <w:r>
          <w:rPr>
            <w:color w:val="1155CC"/>
            <w:u w:val="single"/>
          </w:rPr>
          <w:t>漂浮油纳米膜中自发氧化的起源</w:t>
        </w:r>
      </w:hyperlink>
    </w:p>
    <w:p>
      <w:pPr>
        <w:spacing w:before="0" w:after="80"/>
      </w:pPr>
      <w:r>
        <w:rPr>
          <w:i/>
          <w:sz w:val="20"/>
        </w:rPr>
        <w:t>EN: The origin of spontaneous oxidation in a floating oil nanofilm</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68">
        <w:r>
          <w:rPr>
            <w:color w:val="1155CC"/>
            <w:u w:val="single"/>
          </w:rPr>
          <w:t>10.1073/pnas.2606865123</w:t>
        </w:r>
      </w:hyperlink>
    </w:p>
    <w:p>
      <w:pPr>
        <w:spacing w:before="0" w:after="120"/>
      </w:pPr>
      <w:r>
        <w:rPr>
          <w:b/>
        </w:rPr>
        <w:t xml:space="preserve">Notes: </w:t>
      </w:r>
      <w:r>
        <w:t>abstract_source=crossref</w:t>
      </w:r>
    </w:p>
    <w:p>
      <w:pPr>
        <w:spacing w:before="0" w:after="80" w:lineRule="auto" w:line="276"/>
      </w:pPr>
      <w:r>
        <w:rPr>
          <w:b/>
        </w:rPr>
        <w:t xml:space="preserve">摘要（ZH）: </w:t>
      </w:r>
      <w:r>
        <w:t>纳米级几何形状可以深刻地改变化学反应性，但隔离和控制这种状态的平台仍然主要限于微滴。在这里，我们介绍了一种简单的、无表面活性剂的方法，通过在不混溶的水相和有机相之间的界面捕获气泡来生成漂浮的油纳米膜。这种几何形状产生稳定的悬浮有机膜，厚度约为 100 nm，表面积与体积之比为 10</w:t>
      </w:r>
      <w:r>
        <w:rPr>
          <w:vertAlign w:val="subscript"/>
        </w:rPr>
        <w:t>7</w:t>
      </w:r>
      <w:r>
        <w:t>米</w:t>
      </w:r>
      <w:r>
        <w:t xml:space="preserve"> </w:t>
      </w:r>
      <w:r>
        <w:t>−1</w:t>
      </w:r>
      <w:r>
        <w:t xml:space="preserve"> </w:t>
      </w:r>
      <w:r>
        <w:t>，模拟半径为 300 nm 的液滴，在没有固体基质的情况下，由紧密间隔的气液界面界定。利用电化学与有限元建模相结合，我们定量地表征了纳米膜的厚度，并表明它能够实现与本体系统相比大大加速的自发氧化化学反应。十甲基二茂铁在几秒钟内就会在纳米膜内发生明显的氧化，而在本体液体/液体界面则需要 10 秒的时间。这种行为在无氧条件下不存在，并且可以通过跨界面的选择性离子转移来调节，这意味着电荷补偿是增强界面化学的重要因素。通过加速本体系统中缓慢或无法进行的氧化还原过程，漂浮的液体纳米膜建立了独特的界面反应机制，并为探测纳米级限制下的化学转变提供了一个通用平台。</w:t>
      </w:r>
    </w:p>
    <w:p>
      <w:pPr>
        <w:spacing w:before="0" w:after="200" w:lineRule="auto" w:line="276"/>
      </w:pPr>
      <w:r>
        <w:rPr>
          <w:b/>
        </w:rPr>
        <w:t xml:space="preserve">Abstract (EN): </w:t>
      </w:r>
      <w:r>
        <w:t>Nanoscale geometries can profoundly alter chemical reactivity, yet platforms that isolate and control this regime remain limited primarily to microdroplets. Here, we introduce a simple, surfactant-free method to generate a floating oil nanofilm by trapping a gas bubble at the interface between immiscible aqueous and organic phases. This geometry produces a stable, suspended organic film approximately 100 nm thick with a surface-area-to-volume ratio of 10</w:t>
      </w:r>
      <w:r>
        <w:rPr>
          <w:vertAlign w:val="subscript"/>
        </w:rPr>
        <w:t>7</w:t>
      </w:r>
      <w:r>
        <w:t>m</w:t>
      </w:r>
      <w:r>
        <w:t xml:space="preserve"> </w:t>
      </w:r>
      <w:r>
        <w:t>−1</w:t>
      </w:r>
      <w:r>
        <w:t xml:space="preserve"> </w:t>
      </w:r>
      <w:r>
        <w:t>, mimicking a droplet with a radius of 300 nm, bounded by closely spaced gas|liquid and liquid|liquid interfaces without a solid substrate. Using electrochemistry combined with finite-element modeling, we quantitatively characterize the nanofilm thickness and show that it enables spontaneous oxidation chemistry that is greatly accelerated compared to bulk systems. Decamethylferrocene undergoes pronounced oxidation within the nanofilm within seconds, in contrast to 10 s of hours required at bulk liquid|liquid interfaces. This behavior is absent under oxygen-free conditions and can be tuned by selective ion transfer across the interface, implicating charge compensation as an important factor in enhanced interfacial chemistry. By accelerating redox processes that are otherwise slow or inaccessible in bulk systems, the floating liquid nanofilm establishes a distinct regime of interfacial reactivity and provides a versatile platform for probing chemical transformations under nanoscale confinement.</w:t>
      </w:r>
    </w:p>
    <w:p>
      <w:pPr>
        <w:spacing w:before="120" w:after="120"/>
      </w:pPr>
      <w:r>
        <w:rPr>
          <w:sz w:val="18"/>
        </w:rPr>
        <w:t>——————————————————————————————————————————————————————————————————————</w:t>
      </w:r>
    </w:p>
    <w:p>
      <w:pPr>
        <w:spacing w:before="160" w:after="40" w:line="240" w:lineRule="auto"/>
      </w:pPr>
      <w:r>
        <w:rPr>
          <w:b/>
        </w:rPr>
        <w:t xml:space="preserve">[164] </w:t>
      </w:r>
      <w:hyperlink r:id="rId569">
        <w:r>
          <w:rPr>
            <w:color w:val="1155CC"/>
            <w:u w:val="single"/>
          </w:rPr>
          <w:t>皮肤毛细血管内皮细胞形成时空保守的 Ca2+ 活性网络</w:t>
        </w:r>
      </w:hyperlink>
    </w:p>
    <w:p>
      <w:pPr>
        <w:spacing w:before="0" w:after="80"/>
      </w:pPr>
      <w:r>
        <w:rPr>
          <w:i/>
          <w:sz w:val="20"/>
        </w:rPr>
        <w:t>EN: Skin capillary endothelial cells form a network of spatiotemporally conserved Ca2+ activity</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70">
        <w:r>
          <w:rPr>
            <w:color w:val="1155CC"/>
            <w:u w:val="single"/>
          </w:rPr>
          <w:t>10.1073/pnas.2519708123</w:t>
        </w:r>
      </w:hyperlink>
    </w:p>
    <w:p>
      <w:pPr>
        <w:spacing w:before="0" w:after="120"/>
      </w:pPr>
      <w:r>
        <w:rPr>
          <w:b/>
        </w:rPr>
        <w:t xml:space="preserve">Notes: </w:t>
      </w:r>
      <w:r>
        <w:t>abstract_source=crossref</w:t>
      </w:r>
    </w:p>
    <w:p>
      <w:pPr>
        <w:spacing w:before="0" w:after="80" w:lineRule="auto" w:line="276"/>
      </w:pPr>
      <w:r>
        <w:rPr>
          <w:b/>
        </w:rPr>
        <w:t xml:space="preserve">摘要（ZH）: </w:t>
      </w:r>
      <w:r>
        <w:t>钙</w:t>
      </w:r>
      <w:r>
        <w:t xml:space="preserve"> </w:t>
      </w:r>
      <w:r>
        <w:t>2+</w:t>
      </w:r>
      <w:r>
        <w:t xml:space="preserve"> </w:t>
      </w:r>
      <w:r>
        <w:t>信号传导及其调节对于内皮细胞 (EC) 功能和信号传导非常重要。然而，Ca 的时空组织</w:t>
      </w:r>
      <w:r>
        <w:t xml:space="preserve"> </w:t>
      </w:r>
      <w:r>
        <w:t>2+</w:t>
      </w:r>
      <w:r>
        <w:t xml:space="preserve"> </w:t>
      </w:r>
      <w:r>
        <w:t>在哺乳动物体内，人们对跨血管丛的活性及其调节知之甚少。为了克服这一知识差距，我们开发了一种活体成像方法来解决 Ca</w:t>
      </w:r>
      <w:r>
        <w:t xml:space="preserve"> </w:t>
      </w:r>
      <w:r>
        <w:t>2+</w:t>
      </w:r>
      <w:r>
        <w:t xml:space="preserve"> </w:t>
      </w:r>
      <w:r>
        <w:t>通过多光子显微镜观察成年小鼠皮肤血管系统的单细胞分辨率活性。在这里，我们追踪了数千名Ca</w:t>
      </w:r>
      <w:r>
        <w:t xml:space="preserve"> </w:t>
      </w:r>
      <w:r>
        <w:t>2+</w:t>
      </w:r>
      <w:r>
        <w:t xml:space="preserve"> </w:t>
      </w:r>
      <w:r>
        <w:t>稳态期间皮肤毛细血管丛的事件，并观察到 EC 之间的信号异质性，其中只有一半以上显示 Ca</w:t>
      </w:r>
      <w:r>
        <w:t xml:space="preserve"> </w:t>
      </w:r>
      <w:r>
        <w:t>2+</w:t>
      </w:r>
      <w:r>
        <w:t xml:space="preserve"> </w:t>
      </w:r>
      <w:r>
        <w:t>任何给定时间的活动。对相同小鼠的纵向追踪显示相同的毛细血管 EC 维持 Ca</w:t>
      </w:r>
      <w:r>
        <w:t xml:space="preserve"> </w:t>
      </w:r>
      <w:r>
        <w:t>2+</w:t>
      </w:r>
      <w:r>
        <w:t xml:space="preserve"> </w:t>
      </w:r>
      <w:r>
        <w:t>数天至数周的活动。有趣的是，活动动态，例如频率和事件持续时间，在单细胞水平上并不保守，而是在 EC 群体水平上保持不变。从分子角度来看，EC 中间隙连接蛋白 Connexin 43 (Cx43cKO) 的条件性删除导致 EC 的一个子集表现出持续的 Ca</w:t>
      </w:r>
      <w:r>
        <w:t xml:space="preserve"> </w:t>
      </w:r>
      <w:r>
        <w:t>2+</w:t>
      </w:r>
      <w:r>
        <w:t xml:space="preserve"> </w:t>
      </w:r>
      <w:r>
        <w:t>活动，将整个网络的信号动态偏向于随着时间的推移长期持续的活动。持续毛细血管钙</w:t>
      </w:r>
      <w:r>
        <w:t xml:space="preserve"> </w:t>
      </w:r>
      <w:r>
        <w:t>2+</w:t>
      </w:r>
      <w:r>
        <w:t xml:space="preserve"> </w:t>
      </w:r>
      <w:r>
        <w:t>活动导致血管通透性和血流失调。最后的，</w:t>
      </w:r>
    </w:p>
    <w:p>
      <w:pPr>
        <w:spacing w:before="0" w:after="200" w:lineRule="auto" w:line="276"/>
      </w:pPr>
      <w:r>
        <w:rPr>
          <w:b/>
        </w:rPr>
        <w:t xml:space="preserve">Abstract (EN): </w:t>
      </w:r>
      <w:r>
        <w:t>Ca</w:t>
      </w:r>
      <w:r>
        <w:t xml:space="preserve"> </w:t>
      </w:r>
      <w:r>
        <w:t>2+</w:t>
      </w:r>
      <w:r>
        <w:t xml:space="preserve"> </w:t>
      </w:r>
      <w:r>
        <w:t>signaling and its regulation are important for endothelial cell (EC) function and signaling. Yet, the spatiotemporal organization of Ca</w:t>
      </w:r>
      <w:r>
        <w:t xml:space="preserve"> </w:t>
      </w:r>
      <w:r>
        <w:t>2+</w:t>
      </w:r>
      <w:r>
        <w:t xml:space="preserve"> </w:t>
      </w:r>
      <w:r>
        <w:t>activity and its regulation across a vascular plexus is poorly understood in an in vivo mammalian context. To overcome this gap in knowledge, we developed an intravital imaging approach to resolve Ca</w:t>
      </w:r>
      <w:r>
        <w:t xml:space="preserve"> </w:t>
      </w:r>
      <w:r>
        <w:t>2+</w:t>
      </w:r>
      <w:r>
        <w:t xml:space="preserve"> </w:t>
      </w:r>
      <w:r>
        <w:t>activity with single-cell resolution in skin vasculature of adult mice via multiphoton microscopy. Here, we tracked thousands of Ca</w:t>
      </w:r>
      <w:r>
        <w:t xml:space="preserve"> </w:t>
      </w:r>
      <w:r>
        <w:t>2+</w:t>
      </w:r>
      <w:r>
        <w:t xml:space="preserve"> </w:t>
      </w:r>
      <w:r>
        <w:t>events in the skin capillary plexus during homeostasis and observed signaling heterogeneity between ECs, with just over half displaying Ca</w:t>
      </w:r>
      <w:r>
        <w:t xml:space="preserve"> </w:t>
      </w:r>
      <w:r>
        <w:t>2+</w:t>
      </w:r>
      <w:r>
        <w:t xml:space="preserve"> </w:t>
      </w:r>
      <w:r>
        <w:t>activity at any given time. Longitudinal tracking of the same mice revealed that the same capillary ECs maintain Ca</w:t>
      </w:r>
      <w:r>
        <w:t xml:space="preserve"> </w:t>
      </w:r>
      <w:r>
        <w:t>2+</w:t>
      </w:r>
      <w:r>
        <w:t xml:space="preserve"> </w:t>
      </w:r>
      <w:r>
        <w:t>activity over days to weeks. Interestingly, activity dynamics, such as frequency and event duration, are not conserved at a single-cell level but are maintained at an EC population level. Molecularly, conditional deletion of the gap junction protein Connexin 43 (Cx43cKO) in ECs leads to a subset of ECs displaying sustained Ca</w:t>
      </w:r>
      <w:r>
        <w:t xml:space="preserve"> </w:t>
      </w:r>
      <w:r>
        <w:t>2+</w:t>
      </w:r>
      <w:r>
        <w:t xml:space="preserve"> </w:t>
      </w:r>
      <w:r>
        <w:t>activity, biasing signaling dynamics of the whole network toward chronically persistent activity over time. Sustained capillary Ca</w:t>
      </w:r>
      <w:r>
        <w:t xml:space="preserve"> </w:t>
      </w:r>
      <w:r>
        <w:t>2+</w:t>
      </w:r>
      <w:r>
        <w:t xml:space="preserve"> </w:t>
      </w:r>
      <w:r>
        <w:t>activity results in vascular permeability and flow dysregulation. Last, through pharmacological targeting of known agonists/antagonists, we showed that inhibition of L-type Voltage Gated Ca</w:t>
      </w:r>
      <w:r>
        <w:t xml:space="preserve"> </w:t>
      </w:r>
      <w:r>
        <w:t>2+</w:t>
      </w:r>
      <w:r>
        <w:t xml:space="preserve"> </w:t>
      </w:r>
      <w:r>
        <w:t>channels non-cell-autonomously restores Ca</w:t>
      </w:r>
      <w:r>
        <w:t xml:space="preserve"> </w:t>
      </w:r>
      <w:r>
        <w:t>2+</w:t>
      </w:r>
      <w:r>
        <w:t xml:space="preserve"> </w:t>
      </w:r>
      <w:r>
        <w:t>activity, blood flow, and barrier function in Cx43cKO mice. Collectively, our work provides insight into the spatial and temporal characteristics, extent, and regulation of Ca</w:t>
      </w:r>
      <w:r>
        <w:t xml:space="preserve"> </w:t>
      </w:r>
      <w:r>
        <w:t>2+</w:t>
      </w:r>
      <w:r>
        <w:t xml:space="preserve"> </w:t>
      </w:r>
      <w:r>
        <w:t>activity in skin capillaries of live mice.</w:t>
      </w:r>
    </w:p>
    <w:p>
      <w:pPr>
        <w:spacing w:before="120" w:after="120"/>
      </w:pPr>
      <w:r>
        <w:rPr>
          <w:sz w:val="18"/>
        </w:rPr>
        <w:t>——————————————————————————————————————————————————————————————————————</w:t>
      </w:r>
    </w:p>
    <w:p>
      <w:pPr>
        <w:spacing w:before="160" w:after="40" w:line="240" w:lineRule="auto"/>
      </w:pPr>
      <w:r>
        <w:rPr>
          <w:b/>
        </w:rPr>
        <w:t xml:space="preserve">[165] </w:t>
      </w:r>
      <w:hyperlink r:id="rId571">
        <w:r>
          <w:rPr>
            <w:color w:val="1155CC"/>
            <w:u w:val="single"/>
          </w:rPr>
          <w:t>三个世纪的技术创新：机遇是发明之母</w:t>
        </w:r>
      </w:hyperlink>
    </w:p>
    <w:p>
      <w:pPr>
        <w:spacing w:before="0" w:after="80"/>
      </w:pPr>
      <w:r>
        <w:rPr>
          <w:i/>
          <w:sz w:val="20"/>
        </w:rPr>
        <w:t>EN: Three centuries of technological innovation: Opportunity is the mother of invention</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72">
        <w:r>
          <w:rPr>
            <w:color w:val="1155CC"/>
            <w:u w:val="single"/>
          </w:rPr>
          <w:t>10.1073/pnas.2525310123</w:t>
        </w:r>
      </w:hyperlink>
    </w:p>
    <w:p>
      <w:pPr>
        <w:spacing w:before="0" w:after="120"/>
      </w:pPr>
      <w:r>
        <w:rPr>
          <w:b/>
        </w:rPr>
        <w:t xml:space="preserve">Notes: </w:t>
      </w:r>
      <w:r>
        <w:t>abstract_source=crossref</w:t>
      </w:r>
    </w:p>
    <w:p>
      <w:pPr>
        <w:spacing w:before="0" w:after="80" w:lineRule="auto" w:line="276"/>
      </w:pPr>
      <w:r>
        <w:rPr>
          <w:b/>
        </w:rPr>
        <w:t xml:space="preserve">摘要（ZH）: </w:t>
      </w:r>
      <w:r>
        <w:t>哪些社会生态条件培育了变革性技术创新背后的独创性和协作互动？我们编制了 1690 年至 1990 年间 400 多项重大技术发明的数据集，涵盖七个类别（农业、军备、信息和通信、家庭、工业、医疗和交通），并进行归纳宏观生态分析，以了解发明者、团队及其社会和地理环境的属性如何促进改变人们生活方式的新技术创新。绝大多数发明都是由不同年龄的单一发明家完成的。 20 世纪，团队的频率、规模和文化多样性有所增加，女性和移民的发明比例也有所增加。各种各样的环境都充当了创新中心，包括农村地区以及专门机构和大城市。城市、农村地区和大多数类别的发明率（每个时期的发明数量）在 1800 年代达到顶峰，但随着时间的推移，制度环境以及医疗和通信技术的发明率持续增长。跨年龄、性别、团队属性、环境、技术类别和时间段的总体模式支持这样的结论：机会、独创性和环境在创新过程的创造性阶段中都发挥着关键作用：特定生态环境和社会环境中的创造性个体针对具体的实际问题提出了新颖的解决方案。类似我</w:t>
      </w:r>
    </w:p>
    <w:p>
      <w:pPr>
        <w:spacing w:before="0" w:after="200" w:lineRule="auto" w:line="276"/>
      </w:pPr>
      <w:r>
        <w:rPr>
          <w:b/>
        </w:rPr>
        <w:t xml:space="preserve">Abstract (EN): </w:t>
      </w:r>
      <w:r>
        <w:t>What socioecological conditions nurture the ingenuity and collaborative interactions underlying transformative technological innovations? We compiled a dataset on more than 400 major technological inventions from 1690 to 1990 spanning seven categories (agriculture, armaments, information and communication, household, industry, medical, and transportation) and performed inductive macroecological analyses to address how attributes of inventors, teams, and their social and geographic environments contributed to the innovation of new technologies that have changed the way people live. The vast majority of inventions were attributed to single inventors of various ages. The frequency, size, and cultural diversity of teams increased in the 20th Century, as did the proportion of inventions attributed to women and immigrants. A wide variety of environments acted as innovation hubs, including rural areas as well as specialized institutions and large cities. Invention rate (number of inventions per time period) peaked during the 1800s in cities, rural areas, and most categories but continued increasing over time in institutional environments and medical and communication technologies. The overall pattern across ages, genders, team attributes, environments, technological categories, and time periods supports the conclusion that opportunity, ingenuity, and environment all play key roles in the inventiveness phase of the innovation process: creative individuals in particular ecological environments and social settings come up with novel solutions to specific practical problems. Similar innovation patterns have been observed for tool use among nonhuman primates, highlighting unifying processes of innovation. Our macroecological approach offers valuable insights into the emergence and drivers of innovation and material culture.</w:t>
      </w:r>
    </w:p>
    <w:p>
      <w:pPr>
        <w:spacing w:before="120" w:after="120"/>
      </w:pPr>
      <w:r>
        <w:rPr>
          <w:sz w:val="18"/>
        </w:rPr>
        <w:t>——————————————————————————————————————————————————————————————————————</w:t>
      </w:r>
    </w:p>
    <w:p>
      <w:pPr>
        <w:spacing w:before="160" w:after="40" w:line="240" w:lineRule="auto"/>
      </w:pPr>
      <w:r>
        <w:rPr>
          <w:b/>
        </w:rPr>
        <w:t xml:space="preserve">[166] </w:t>
      </w:r>
      <w:hyperlink r:id="rId573">
        <w:r>
          <w:rPr>
            <w:color w:val="1155CC"/>
            <w:u w:val="single"/>
          </w:rPr>
          <w:t>证明媒介种群消除的建模框架：乍得的采采蝇消除</w:t>
        </w:r>
      </w:hyperlink>
    </w:p>
    <w:p>
      <w:pPr>
        <w:spacing w:before="0" w:after="80"/>
      </w:pPr>
      <w:r>
        <w:rPr>
          <w:i/>
          <w:sz w:val="20"/>
        </w:rPr>
        <w:t>EN: Modeling framework to demonstrate elimination of a vector population: Tsetse elimination in Chad</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74">
        <w:r>
          <w:rPr>
            <w:color w:val="1155CC"/>
            <w:u w:val="single"/>
          </w:rPr>
          <w:t>10.1073/pnas.2524729123</w:t>
        </w:r>
      </w:hyperlink>
    </w:p>
    <w:p>
      <w:pPr>
        <w:spacing w:before="0" w:after="120"/>
      </w:pPr>
      <w:r>
        <w:rPr>
          <w:b/>
        </w:rPr>
        <w:t xml:space="preserve">Notes: </w:t>
      </w:r>
      <w:r>
        <w:t>abstract_source=crossref</w:t>
      </w:r>
    </w:p>
    <w:p>
      <w:pPr>
        <w:spacing w:before="0" w:after="80" w:lineRule="auto" w:line="276"/>
      </w:pPr>
      <w:r>
        <w:rPr>
          <w:b/>
        </w:rPr>
        <w:t xml:space="preserve">摘要（ZH）: </w:t>
      </w:r>
      <w:r>
        <w:t>全世界每年有超过 70 万人，特别是五岁以下儿童死于媒介传播的疾病。有效控制地方病并预防新的疫情暴发需要采取综合方法，以消除病媒和疾病。在过去的二十年中，综合医疗干预和病媒控制已显着降低了冈比亚人类非洲锥虫病 (g-HAT) 的发病率，世界卫生组织确认八个国家已消除该疾病这一公共卫生问题。然而，采采蝇媒介的消除尚未得到证实，因此仍有重新出现的可能性。我们开发了一个六步建模框架，通过计算来评估矢量消除：i）矢量捕获的概率； ii) 即使没有实际消除，观察到一系列零捕获的概率； iii) 自然淘汰的概率； iv) 未能检测到反弹的概率； v) 再入侵风险； vi) 敏感性分析。我们的案例研究是乍得 Mandoul 的 g-HAT，以及消除</w:t>
      </w:r>
      <w:r>
        <w:t xml:space="preserve"> </w:t>
      </w:r>
      <w:r>
        <w:t>舌藻 fuscipes。</w:t>
      </w:r>
      <w:r>
        <w:t xml:space="preserve"> </w:t>
      </w:r>
      <w:r>
        <w:t>我们从 2014 年到 2025 年进行了病媒控制，自 2018 年以来没有检测到采采蝇。我们还不能以超过 90% 的置信度得出采采蝇已从 Mandoul 中消灭的结论，也不能断定任何残余种群将被自然消灭。然而，由于病媒控制于 2025 年 4 月停止，我们估计，通过在未来 2 年继续采样，并且没有检测到采采蝇，可以以 99% 的置信度证明消除。我们的</w:t>
      </w:r>
    </w:p>
    <w:p>
      <w:pPr>
        <w:spacing w:before="0" w:after="200" w:lineRule="auto" w:line="276"/>
      </w:pPr>
      <w:r>
        <w:rPr>
          <w:b/>
        </w:rPr>
        <w:t xml:space="preserve">Abstract (EN): </w:t>
      </w:r>
      <w:r>
        <w:t>Every year, over 700,000 people, particularly children under five, die from vector-borne diseases worldwide. Effectively controlling endemics and preventing new outbreaks requires an integrated approach that can lead to the elimination of both vectors and diseases. In the last two decades, integrating medical interventions and vector control has significantly reduced the incidence of Gambian Human African Trypanosomiasis (g-HAT), with the World Health Organization validating eight countries as having eliminated the disease as a public health problem. However, elimination of the tsetse vector has not been confirmed, leaving the possibility of re-emergence. We developed a six-step modeling framework to assess vector elimination by calculating: i) the probability of vector capture; ii) the probability of observing a series of zero catches, even without actual elimination; iii) the probability of natural elimination; iv) the probability of failing to detect a rebound; v) the reinvasion risk; and vi) the sensitivity analysis. Our case study is g-HAT in Mandoul, Chad, and the elimination of</w:t>
      </w:r>
      <w:r>
        <w:t xml:space="preserve"> </w:t>
      </w:r>
      <w:r>
        <w:t>Glossina fuscipes fuscipes.</w:t>
      </w:r>
      <w:r>
        <w:t xml:space="preserve"> </w:t>
      </w:r>
      <w:r>
        <w:t>We used vector control from 2014 to 2025 with no tsetse detected since 2018. We cannot yet conclude, with over 90% confidence, that tsetse has been eliminated from Mandoul, nor that any remnant population will be naturally eliminated. However, since vector control stopped in April 2025, we estimate that with continued sampling over the next 2 y, and no tsetse detected, elimination could be demonstrated with 99% confidence. Our multistep modeling framework can be applied to other vectors, providing policymakers with guidelines for ongoing and future efforts.</w:t>
      </w:r>
    </w:p>
    <w:p>
      <w:pPr>
        <w:spacing w:before="120" w:after="120"/>
      </w:pPr>
      <w:r>
        <w:rPr>
          <w:sz w:val="18"/>
        </w:rPr>
        <w:t>——————————————————————————————————————————————————————————————————————</w:t>
      </w:r>
    </w:p>
    <w:p>
      <w:pPr>
        <w:spacing w:before="160" w:after="40" w:line="240" w:lineRule="auto"/>
      </w:pPr>
      <w:r>
        <w:rPr>
          <w:b/>
        </w:rPr>
        <w:t xml:space="preserve">[167] </w:t>
      </w:r>
      <w:hyperlink r:id="rId575">
        <w:r>
          <w:rPr>
            <w:color w:val="1155CC"/>
            <w:u w:val="single"/>
          </w:rPr>
          <w:t>CTS1的自然变异赋予水稻耐寒性和抗稻瘟病性</w:t>
        </w:r>
      </w:hyperlink>
    </w:p>
    <w:p>
      <w:pPr>
        <w:spacing w:before="0" w:after="80"/>
      </w:pPr>
      <w:r>
        <w:rPr>
          <w:i/>
          <w:sz w:val="20"/>
        </w:rPr>
        <w:t>EN: Natural variation of CTS1 confers cold tolerance and blast resistance in rice</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76">
        <w:r>
          <w:rPr>
            <w:color w:val="1155CC"/>
            <w:u w:val="single"/>
          </w:rPr>
          <w:t>10.1073/pnas.2529950123</w:t>
        </w:r>
      </w:hyperlink>
    </w:p>
    <w:p>
      <w:pPr>
        <w:spacing w:before="0" w:after="120"/>
      </w:pPr>
      <w:r>
        <w:rPr>
          <w:b/>
        </w:rPr>
        <w:t xml:space="preserve">Notes: </w:t>
      </w:r>
      <w:r>
        <w:t>abstract_source=crossref</w:t>
      </w:r>
    </w:p>
    <w:p>
      <w:pPr>
        <w:spacing w:before="0" w:after="80" w:lineRule="auto" w:line="276"/>
      </w:pPr>
      <w:r>
        <w:rPr>
          <w:b/>
        </w:rPr>
        <w:t xml:space="preserve">摘要（ZH）: </w:t>
      </w:r>
      <w:r>
        <w:t>提高作物的多重胁迫恢复能力对于可持续农业至关重要，但协调非生物和生物胁迫反应的遗传机制仍然知之甚少。这项研究确定</w:t>
      </w:r>
      <w:r>
        <w:t xml:space="preserve"> </w:t>
      </w:r>
      <w:r>
        <w:t>CTS1</w:t>
      </w:r>
      <w:r>
        <w:t xml:space="preserve"> </w:t>
      </w:r>
      <w:r>
        <w:t>（</w:t>
      </w:r>
      <w:r>
        <w:t xml:space="preserve"> </w:t>
      </w:r>
      <w:r>
        <w:t>苗期耐寒性1</w:t>
      </w:r>
      <w:r>
        <w:t xml:space="preserve"> </w:t>
      </w:r>
      <w:r>
        <w:t>），编码转录因子 OsWRKY74，作为介导水稻耐冷性和稻瘟病抗性的关键多效性调节因子。通过全基因组关联研究，我们发现</w:t>
      </w:r>
      <w:r>
        <w:t xml:space="preserve"> </w:t>
      </w:r>
      <w:r>
        <w:t>CTS1</w:t>
      </w:r>
      <w:r>
        <w:t xml:space="preserve"> </w:t>
      </w:r>
      <w:r>
        <w:t>苗期的耐寒性负调节。自然等位基因</w:t>
      </w:r>
      <w:r>
        <w:t xml:space="preserve"> </w:t>
      </w:r>
      <w:r>
        <w:t>CTS1</w:t>
      </w:r>
      <w:r>
        <w:t xml:space="preserve"> </w:t>
      </w:r>
      <w:r>
        <w:t>哈普1</w:t>
      </w:r>
      <w:r>
        <w:t xml:space="preserve"> </w:t>
      </w:r>
      <w:r>
        <w:t>比其他产品具有更高的耐寒性</w:t>
      </w:r>
      <w:r>
        <w:t xml:space="preserve"> </w:t>
      </w:r>
      <w:r>
        <w:t>CTS1</w:t>
      </w:r>
      <w:r>
        <w:t xml:space="preserve"> </w:t>
      </w:r>
      <w:r>
        <w:t>哈普2</w:t>
      </w:r>
      <w:r>
        <w:t xml:space="preserve"> </w:t>
      </w:r>
      <w:r>
        <w:t>通过温和地抑制表达</w:t>
      </w:r>
      <w:r>
        <w:t xml:space="preserve"> </w:t>
      </w:r>
      <w:r>
        <w:t>CTB2</w:t>
      </w:r>
      <w:r>
        <w:t xml:space="preserve"> </w:t>
      </w:r>
      <w:r>
        <w:t>，从而维持甾醇糖苷稳态和膜稳定性。此外，期间</w:t>
      </w:r>
      <w:r>
        <w:t xml:space="preserve"> </w:t>
      </w:r>
      <w:r>
        <w:t>稻瘟病菌</w:t>
      </w:r>
      <w:r>
        <w:t xml:space="preserve"> </w:t>
      </w:r>
      <w:r>
        <w:t>感染后，CTS1 激活表达</w:t>
      </w:r>
      <w:r>
        <w:t xml:space="preserve"> </w:t>
      </w:r>
      <w:r>
        <w:t>奥氏热休克蛋白90</w:t>
      </w:r>
      <w:r>
        <w:t xml:space="preserve"> </w:t>
      </w:r>
      <w:r>
        <w:t>并上调发病相关基因，从而增强稻瘟病抗性。我们的研究结果揭示了双重功能机制</w:t>
      </w:r>
      <w:r>
        <w:t xml:space="preserve"> </w:t>
      </w:r>
      <w:r>
        <w:t>CTS1</w:t>
      </w:r>
      <w:r>
        <w:t xml:space="preserve"> </w:t>
      </w:r>
      <w:r>
        <w:t>胁迫适应，并为选育抗多重胁迫的水稻品种提供有价值的等位基因。</w:t>
      </w:r>
    </w:p>
    <w:p>
      <w:pPr>
        <w:spacing w:before="0" w:after="200" w:lineRule="auto" w:line="276"/>
      </w:pPr>
      <w:r>
        <w:rPr>
          <w:b/>
        </w:rPr>
        <w:t xml:space="preserve">Abstract (EN): </w:t>
      </w:r>
      <w:r>
        <w:t>Improving multistress resilience in crops is essential for sustainable agriculture, yet the genetic mechanisms coordinating abiotic and biotic stress responses remain poorly understood. This study identifies</w:t>
      </w:r>
      <w:r>
        <w:t xml:space="preserve"> </w:t>
      </w:r>
      <w:r>
        <w:t>CTS1</w:t>
      </w:r>
      <w:r>
        <w:t xml:space="preserve"> </w:t>
      </w:r>
      <w:r>
        <w:t>(</w:t>
      </w:r>
      <w:r>
        <w:t xml:space="preserve"> </w:t>
      </w:r>
      <w:r>
        <w:t>Cold Tolerance at the Seedling stage1</w:t>
      </w:r>
      <w:r>
        <w:t xml:space="preserve"> </w:t>
      </w:r>
      <w:r>
        <w:t>), encoding the transcription factor OsWRKY74, as a key pleiotropic regulator that mediates both cold tolerance and blast resistance in rice. Through genome-wide association study, we found that</w:t>
      </w:r>
      <w:r>
        <w:t xml:space="preserve"> </w:t>
      </w:r>
      <w:r>
        <w:t>CTS1</w:t>
      </w:r>
      <w:r>
        <w:t xml:space="preserve"> </w:t>
      </w:r>
      <w:r>
        <w:t>negatively regulates cold tolerance at the seedling stage. The natural allele</w:t>
      </w:r>
      <w:r>
        <w:t xml:space="preserve"> </w:t>
      </w:r>
      <w:r>
        <w:t>CTS1</w:t>
      </w:r>
      <w:r>
        <w:t xml:space="preserve"> </w:t>
      </w:r>
      <w:r>
        <w:t>Hap1</w:t>
      </w:r>
      <w:r>
        <w:t xml:space="preserve"> </w:t>
      </w:r>
      <w:r>
        <w:t>confers greater cold tolerance than</w:t>
      </w:r>
      <w:r>
        <w:t xml:space="preserve"> </w:t>
      </w:r>
      <w:r>
        <w:t>CTS1</w:t>
      </w:r>
      <w:r>
        <w:t xml:space="preserve"> </w:t>
      </w:r>
      <w:r>
        <w:t>Hap2</w:t>
      </w:r>
      <w:r>
        <w:t xml:space="preserve"> </w:t>
      </w:r>
      <w:r>
        <w:t>by mildly repressing the expression of</w:t>
      </w:r>
      <w:r>
        <w:t xml:space="preserve"> </w:t>
      </w:r>
      <w:r>
        <w:t>CTB2</w:t>
      </w:r>
      <w:r>
        <w:t xml:space="preserve"> </w:t>
      </w:r>
      <w:r>
        <w:t>, thereby maintaining sterol glycoside homeostasis and membrane stability. Furthermore, during</w:t>
      </w:r>
      <w:r>
        <w:t xml:space="preserve"> </w:t>
      </w:r>
      <w:r>
        <w:t>Magnaporthe oryzae</w:t>
      </w:r>
      <w:r>
        <w:t xml:space="preserve"> </w:t>
      </w:r>
      <w:r>
        <w:t>infection, CTS1 activates the expression of</w:t>
      </w:r>
      <w:r>
        <w:t xml:space="preserve"> </w:t>
      </w:r>
      <w:r>
        <w:t>OsHSP90</w:t>
      </w:r>
      <w:r>
        <w:t xml:space="preserve"> </w:t>
      </w:r>
      <w:r>
        <w:t>and upregulates pathogenesis-related genes, thereby enhancing blast resistance. Our findings reveal a dual-function mechanism of</w:t>
      </w:r>
      <w:r>
        <w:t xml:space="preserve"> </w:t>
      </w:r>
      <w:r>
        <w:t>CTS1</w:t>
      </w:r>
      <w:r>
        <w:t xml:space="preserve"> </w:t>
      </w:r>
      <w:r>
        <w:t>in stress adaptation and provide valuable alleles for breeding multistress resilient rice varieties.</w:t>
      </w:r>
    </w:p>
    <w:p>
      <w:pPr>
        <w:spacing w:before="120" w:after="120"/>
      </w:pPr>
      <w:r>
        <w:rPr>
          <w:sz w:val="18"/>
        </w:rPr>
        <w:t>——————————————————————————————————————————————————————————————————————</w:t>
      </w:r>
    </w:p>
    <w:p>
      <w:pPr>
        <w:spacing w:before="160" w:after="40" w:line="240" w:lineRule="auto"/>
      </w:pPr>
      <w:r>
        <w:rPr>
          <w:b/>
        </w:rPr>
        <w:t xml:space="preserve">[168] </w:t>
      </w:r>
      <w:hyperlink r:id="rId577">
        <w:r>
          <w:rPr>
            <w:color w:val="1155CC"/>
            <w:u w:val="single"/>
          </w:rPr>
          <w:t>有序膜域的蛋白质增强小分子破坏剂</w:t>
        </w:r>
      </w:hyperlink>
    </w:p>
    <w:p>
      <w:pPr>
        <w:spacing w:before="0" w:after="80"/>
      </w:pPr>
      <w:r>
        <w:rPr>
          <w:i/>
          <w:sz w:val="20"/>
        </w:rPr>
        <w:t>EN: Protein-enhanced small molecule disruptors of ordered membrane domains</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78">
        <w:r>
          <w:rPr>
            <w:color w:val="1155CC"/>
            <w:u w:val="single"/>
          </w:rPr>
          <w:t>10.1073/pnas.2530579123</w:t>
        </w:r>
      </w:hyperlink>
    </w:p>
    <w:p>
      <w:pPr>
        <w:spacing w:before="0" w:after="120"/>
      </w:pPr>
      <w:r>
        <w:rPr>
          <w:b/>
        </w:rPr>
        <w:t xml:space="preserve">Notes: </w:t>
      </w:r>
      <w:r>
        <w:t>abstract_source=crossref</w:t>
      </w:r>
    </w:p>
    <w:p>
      <w:pPr>
        <w:spacing w:before="0" w:after="80" w:lineRule="auto" w:line="276"/>
      </w:pPr>
      <w:r>
        <w:rPr>
          <w:b/>
        </w:rPr>
        <w:t xml:space="preserve">摘要（ZH）: </w:t>
      </w:r>
      <w:r>
        <w:t>膜秩序和流动性影响许多生物过程。然而，在生理条件下操纵膜的工具是有限的。在高通量筛选能够改变四跨膜蛋白外周髓磷脂蛋白 22 (PMP22) 有序和无序膜相之间相分配的分子的过程中，我们鉴定了两种化学上相似的化合物 VU0615562 和 VU0619195，它们将 PMP22 移向无序相并破坏“脂筏”样有序相的稳定性。后续实验表明，与直觉相反，后一种活性因 PMP22 的存在而增强，PMP22 通常稳定有序相。生物物理学研究表明，这些化合物通过一种涉及与蛋白质直接相互作用和破坏脂质堆积的机制来降低筏稳定性。我们进一步观察到，用 VU0619195 对活细胞进行急性处理可调节膜流动性和 TRPM8 通道功能，而两种化合物都改变 KCNQ1 通道活性，为这些化合物的实际应用提供了示例。这些蛋白质增强的筏调节剂揭示了不同的基于脂质和蛋白质的力，这些力破坏了膜秩序的稳定，并且可以用作操纵和探测细胞中有序膜域的生物学作用的药理学工具。</w:t>
      </w:r>
    </w:p>
    <w:p>
      <w:pPr>
        <w:spacing w:before="0" w:after="200" w:lineRule="auto" w:line="276"/>
      </w:pPr>
      <w:r>
        <w:rPr>
          <w:b/>
        </w:rPr>
        <w:t xml:space="preserve">Abstract (EN): </w:t>
      </w:r>
      <w:r>
        <w:t>Membrane order and fluidity influence many biological processes. However, tools to manipulate membranes under physiological conditions have been limited. In the process of high-throughput screening for molecules that shift the phase partitioning between ordered and disordered membrane phases of the tetraspan membrane protein peripheral myelin protein 22 (PMP22), we identified two chemically similar compounds, VU0615562 and VU0619195, that shift PMP22 toward the disordered phase and destabilize the “lipid raft”-like ordered phase. Follow-up experiments showed that this latter activity is, counterintuitively, enhanced by the presence of PMP22, which normally stabilizes the ordered phase. Biophysical studies indicate that these compounds reduce raft stability through a mechanism that involves both direct interactions with proteins and the disruption of lipid packing. We further observed that acute treatment of live cells with VU0619195 modulated membrane fluidity and TRPM8 channel function while both compounds altered KCNQ1 channel activity, providing examples of practical applications for these compounds. These protein-enhanced raft modulators reveal distinct lipid and protein-based forces that destabilize membrane order and may be useful as pharmacological tools for manipulating and probing the biological roles of ordered membrane domains in cells.</w:t>
      </w:r>
    </w:p>
    <w:p>
      <w:pPr>
        <w:spacing w:before="120" w:after="120"/>
      </w:pPr>
      <w:r>
        <w:rPr>
          <w:sz w:val="18"/>
        </w:rPr>
        <w:t>——————————————————————————————————————————————————————————————————————</w:t>
      </w:r>
    </w:p>
    <w:p>
      <w:pPr>
        <w:spacing w:before="160" w:after="40" w:line="240" w:lineRule="auto"/>
      </w:pPr>
      <w:r>
        <w:rPr>
          <w:b/>
        </w:rPr>
        <w:t xml:space="preserve">[169] </w:t>
      </w:r>
      <w:hyperlink r:id="rId579">
        <w:r>
          <w:rPr>
            <w:color w:val="1155CC"/>
            <w:u w:val="single"/>
          </w:rPr>
          <w:t>通过器官靶向脂质纳米颗粒进行全长抗体的细胞内递送</w:t>
        </w:r>
      </w:hyperlink>
    </w:p>
    <w:p>
      <w:pPr>
        <w:spacing w:before="0" w:after="80"/>
      </w:pPr>
      <w:r>
        <w:rPr>
          <w:i/>
          <w:sz w:val="20"/>
        </w:rPr>
        <w:t>EN: Intracellular delivery of full-length antibodies via organ-targeted lipid nanoparticles</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80">
        <w:r>
          <w:rPr>
            <w:color w:val="1155CC"/>
            <w:u w:val="single"/>
          </w:rPr>
          <w:t>10.1073/pnas.2531649123</w:t>
        </w:r>
      </w:hyperlink>
    </w:p>
    <w:p>
      <w:pPr>
        <w:spacing w:before="0" w:after="120"/>
      </w:pPr>
      <w:r>
        <w:rPr>
          <w:b/>
        </w:rPr>
        <w:t xml:space="preserve">Notes: </w:t>
      </w:r>
      <w:r>
        <w:t>abstract_source=crossref</w:t>
      </w:r>
    </w:p>
    <w:p>
      <w:pPr>
        <w:spacing w:before="0" w:after="80" w:lineRule="auto" w:line="276"/>
      </w:pPr>
      <w:r>
        <w:rPr>
          <w:b/>
        </w:rPr>
        <w:t xml:space="preserve">摘要（ZH）: </w:t>
      </w:r>
      <w:r>
        <w:t>抗体是一种蛋白质，因其能够以极高的亲和力和特异性与细胞外抗原结合而受到重视。这些特征促使研究人员利用抗体-抗原结合来抑制蛋白质组中的细胞内疾病靶点，但将抗体递送到细胞胞浆中长期以来一直是一个相当大的挑战。在这里，我们概述了脂质纳米颗粒（LNP）平台的开发，该平台用于将抗体递送到细胞中以选择性抑制与疾病相关的胞质靶标。这种方法有效地将各种治疗抗体传递到多种癌细胞系中，抑制炎症和癌症信号传导途径中的关键转录因子。我们进一步证明了在疾病模型中系统性递送治疗性抗体，包括使用靶向 LNP 制剂治疗帕金森病的 α-突触核蛋白特异性抗体和治疗急性肺损伤的 RelA 特异性免疫球蛋白。这项工作建立了一种有前途的方法，使用 LNP 在细胞内递送抗体和抗体衍生疗法来治疗众多蛋白质组靶点。</w:t>
      </w:r>
    </w:p>
    <w:p>
      <w:pPr>
        <w:spacing w:before="0" w:after="200" w:lineRule="auto" w:line="276"/>
      </w:pPr>
      <w:r>
        <w:rPr>
          <w:b/>
        </w:rPr>
        <w:t xml:space="preserve">Abstract (EN): </w:t>
      </w:r>
      <w:r>
        <w:t>Antibodies are proteins prized for their ability to bind to extracellular antigens with exceptionally high affinities and specificities. These features have motivated researchers to utilize antibody–antigen binding to inhibit intracellular disease targets in the proteome, yet delivery of antibodies into the cytosol of cells has long been a considerable challenge. Here, we outline the development of a lipid nanoparticle (LNP) platform for delivering antibodies into cells to selectively inhibit disease-relevant cytosolic targets. This approach efficiently delivers various therapeutic antibodies into multiple cancer cell lines, inhibiting key transcription factors in inflammatory and cancer signaling pathways. We further demonstrate systemic delivery of therapeutic antibodies in disease models, including α-synuclein-specific antibodies for Parkinson’s disease and RelA-specific Immunoglobulins for acute lung injury using targeted LNP formulations. This work establishes a promising method for using LNPs for the delivery of antibody and antibody-derived therapeutics intracellularly to treat numerous proteome targets.</w:t>
      </w:r>
    </w:p>
    <w:p>
      <w:pPr>
        <w:spacing w:before="120" w:after="120"/>
      </w:pPr>
      <w:r>
        <w:rPr>
          <w:sz w:val="18"/>
        </w:rPr>
        <w:t>——————————————————————————————————————————————————————————————————————</w:t>
      </w:r>
    </w:p>
    <w:p>
      <w:pPr>
        <w:spacing w:before="160" w:after="40" w:line="240" w:lineRule="auto"/>
      </w:pPr>
      <w:r>
        <w:rPr>
          <w:b/>
        </w:rPr>
        <w:t xml:space="preserve">[170] </w:t>
      </w:r>
      <w:hyperlink r:id="rId581">
        <w:r>
          <w:rPr>
            <w:color w:val="1155CC"/>
            <w:u w:val="single"/>
          </w:rPr>
          <w:t>使用海底光缆检测沉默的鲸鱼</w:t>
        </w:r>
      </w:hyperlink>
    </w:p>
    <w:p>
      <w:pPr>
        <w:spacing w:before="0" w:after="80"/>
      </w:pPr>
      <w:r>
        <w:rPr>
          <w:i/>
          <w:sz w:val="20"/>
        </w:rPr>
        <w:t>EN: Detecting silent whales using seabed fiber-optic cables</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82">
        <w:r>
          <w:rPr>
            <w:color w:val="1155CC"/>
            <w:u w:val="single"/>
          </w:rPr>
          <w:t>10.1073/pnas.2603077123</w:t>
        </w:r>
      </w:hyperlink>
    </w:p>
    <w:p>
      <w:pPr>
        <w:spacing w:before="0" w:after="120"/>
      </w:pPr>
      <w:r>
        <w:rPr>
          <w:b/>
        </w:rPr>
        <w:t xml:space="preserve">Notes: </w:t>
      </w:r>
      <w:r>
        <w:t>abstract_source=crossref</w:t>
      </w:r>
    </w:p>
    <w:p>
      <w:pPr>
        <w:spacing w:before="0" w:after="80" w:lineRule="auto" w:line="276"/>
      </w:pPr>
      <w:r>
        <w:rPr>
          <w:b/>
        </w:rPr>
        <w:t xml:space="preserve">摘要（ZH）: </w:t>
      </w:r>
      <w:r>
        <w:t>分布式声学传感 (DAS) 已成为被动鲸鱼监测的强大工具，可以检测发声并同时跟踪多个个体。然而，被动声学监测的一个根本限制是，大多数方法都依赖于声学数据，而这些数据只有在鲸鱼发声时才可用。这清楚地表明需要能够检测沉默鲸鱼的新传感方法。在本文中，我们检测鲸鱼运动引起的低频 DAS 数据中的流体动力压力和速度场，并开发分析这些信号的方法。首先，我们使用船舶作为代理来演示和校准所提出的方法。然后，我们展示了一个简单的流体力学模型可以用来理解如何使用 DAS 检测和分析鲸鱼游泳。我们同时检测到多只沉默鲸，估计它们的特征，并表明鲸鱼运动信号随着距离的三次方而衰减。此外，我们还证明，我们可以在 413 m 水深、距光缆 550 m 的范围内观测游轮的流体动力压力和速度信号。相比之下，在光缆 40 m 范围内潜水时可以观察到较小的蓝鲸。这种传感方法可以监测世界上最濒危的物种之一。</w:t>
      </w:r>
    </w:p>
    <w:p>
      <w:pPr>
        <w:spacing w:before="0" w:after="200" w:lineRule="auto" w:line="276"/>
      </w:pPr>
      <w:r>
        <w:rPr>
          <w:b/>
        </w:rPr>
        <w:t xml:space="preserve">Abstract (EN): </w:t>
      </w:r>
      <w:r>
        <w:t>Distributed acoustic sensing (DAS) has emerged as a powerful tool for passive whale monitoring, enabling both the detection of vocalizations and the simultaneous tracking of multiple individuals. However, a fundamental limitation of passive acoustic monitoring is that most methods rely on acoustic data, which is only available when whales vocalize. This clearly demonstrates the need for new sensing methods that can detect silent whales. In this paper, we detect hydrodynamic pressure and velocity fields in the low-frequency DAS data induced by a whale’s motion and develop methods to analyze these signals. First, we use ships as proxies to demonstrate and calibrate the proposed method. Then, we show that a simple fluid mechanical model can be adapted to understand how whale swimming can be detected and analyzed using DAS. We detect multiple silent whales simultaneously, estimate their characteristics, and show that whale motion signals decay as one over distance cubed. Moreover, we demonstrate that we can observe hydrodynamic pressure and velocity signals from a cruise ship at 413 m water depth, and up to 550 m from the fiber cable. In comparison, the smaller blue whales can be observed when diving within 40 m of the fiber-optical cable. This sensing method enables an approach to monitoring one of the world’s most endangered species.</w:t>
      </w:r>
    </w:p>
    <w:p>
      <w:pPr>
        <w:spacing w:before="120" w:after="120"/>
      </w:pPr>
      <w:r>
        <w:rPr>
          <w:sz w:val="18"/>
        </w:rPr>
        <w:t>——————————————————————————————————————————————————————————————————————</w:t>
      </w:r>
    </w:p>
    <w:p>
      <w:pPr>
        <w:spacing w:before="160" w:after="40" w:line="240" w:lineRule="auto"/>
      </w:pPr>
      <w:r>
        <w:rPr>
          <w:b/>
        </w:rPr>
        <w:t xml:space="preserve">[171] </w:t>
      </w:r>
      <w:hyperlink r:id="rId583">
        <w:r>
          <w:rPr>
            <w:color w:val="1155CC"/>
            <w:u w:val="single"/>
          </w:rPr>
          <w:t>耕作增强了黑土中氧化还原驱动的碳脉冲的变暖敏感性：厌氧遗留效应被忽视的作用</w:t>
        </w:r>
      </w:hyperlink>
    </w:p>
    <w:p>
      <w:pPr>
        <w:spacing w:before="0" w:after="80"/>
      </w:pPr>
      <w:r>
        <w:rPr>
          <w:i/>
          <w:sz w:val="20"/>
        </w:rPr>
        <w:t>EN: Cultivation enhances warming sensitivity of redox-driven carbon pulses in black soils: The overlooked role of anaerobic legacy effects</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84">
        <w:r>
          <w:rPr>
            <w:color w:val="1155CC"/>
            <w:u w:val="single"/>
          </w:rPr>
          <w:t>10.1073/pnas.2527881123</w:t>
        </w:r>
      </w:hyperlink>
    </w:p>
    <w:p>
      <w:pPr>
        <w:spacing w:before="0" w:after="120"/>
      </w:pPr>
      <w:r>
        <w:rPr>
          <w:b/>
        </w:rPr>
        <w:t xml:space="preserve">Notes: </w:t>
      </w:r>
      <w:r>
        <w:t>abstract_source=crossref</w:t>
      </w:r>
    </w:p>
    <w:p>
      <w:pPr>
        <w:spacing w:before="0" w:after="80" w:lineRule="auto" w:line="276"/>
      </w:pPr>
      <w:r>
        <w:rPr>
          <w:b/>
        </w:rPr>
        <w:t xml:space="preserve">摘要（ZH）: </w:t>
      </w:r>
      <w:r>
        <w:t>世界上最肥沃的黑土上的湿地是重要但脆弱的碳库，但其稳定性受到气候变化和人类活动加剧的氧化还原波动的威胁。然而，栽培如何调节这一过程及其温度敏感性仍然知之甚少。在这里，我们将 10 个黑土的实地调查与沿栽培梯度对三种对比土壤进行的机械实验（包括微生物接种、灭菌、自由基猝灭和矿物质螯合）相结合，以证明水稻种植从根本上重塑了控制氧化还原波动下碳脉冲温度敏感性的生物-非生物耦合过程。我们发现，水稻种植增强了铁还原能力，并将微生物代谢途径转向分解代谢，建立了持久的厌氧遗产，放大了需氧碳脉冲的变暖敏感性。从机理上讲，含铁矿物催化氧化通过直接催化氧化和</w:t>
      </w:r>
      <w:r>
        <w:t xml:space="preserve"> </w:t>
      </w:r>
      <w:r>
        <w:t>•</w:t>
      </w:r>
      <w:r>
        <w:t xml:space="preserve"> </w:t>
      </w:r>
      <w:r>
        <w:t>OH 介导的途径主导了耕种土壤中的有氧脉冲（&gt;44% 至 61% 的 CO</w:t>
      </w:r>
      <w:r>
        <w:rPr>
          <w:vertAlign w:val="subscript"/>
        </w:rPr>
        <w:t>2</w:t>
      </w:r>
      <w:r>
        <w:t>产量）。该途径依赖于厌氧遗产，包括活化的矿物催化潜力和积累的溶解有机碳，并因变暖而进一步强化。在 10 种土壤中，水稻对需氧 CO 表现出更强的铁矿物催化能力</w:t>
      </w:r>
      <w:r>
        <w:rPr>
          <w:vertAlign w:val="subscript"/>
        </w:rPr>
        <w:t>2</w:t>
      </w:r>
      <w:r>
        <w:t>脉冲比自然湿地，随着变暖进一步放大</w:t>
      </w:r>
    </w:p>
    <w:p>
      <w:pPr>
        <w:spacing w:before="0" w:after="200" w:lineRule="auto" w:line="276"/>
      </w:pPr>
      <w:r>
        <w:rPr>
          <w:b/>
        </w:rPr>
        <w:t xml:space="preserve">Abstract (EN): </w:t>
      </w:r>
      <w:r>
        <w:t>Wetlands on the world’s most fertile black soil serve as critical yet vulnerable carbon reservoirs, yet their stability is threatened by redox fluctuations intensified by climate change and human activities. However, how cultivation modulates this process and its temperature sensitivity remains poorly understood. Here, we integrated field surveys of 10 black soils with mechanistic experiments on three contrasting soils along a cultivation gradient, including microbial inoculation, sterilization, radical quenching, and mineral chelation, to demonstrate that rice cultivation fundamentally reshaped the coupled biotic-abiotic process governing temperature sensitivity of carbon pulses under redox fluctuations. We found that rice cultivation enhanced iron-reducing capacity and shifted microbial metabolic pathways toward catabolism, establishing a persistent anaerobic legacy that amplified the warming sensitivity of aerobic carbon pulses. Mechanistically, ferrous mineral–catalyzed oxidation through both direct catalytic oxidation and</w:t>
      </w:r>
      <w:r>
        <w:t xml:space="preserve"> </w:t>
      </w:r>
      <w:r>
        <w:t>•</w:t>
      </w:r>
      <w:r>
        <w:t xml:space="preserve"> </w:t>
      </w:r>
      <w:r>
        <w:t>OH-mediated pathways dominated the aerobic pulse in cultivated soils (&amp;gt;44 to 61% of CO</w:t>
      </w:r>
      <w:r>
        <w:rPr>
          <w:vertAlign w:val="subscript"/>
        </w:rPr>
        <w:t>2</w:t>
      </w:r>
      <w:r>
        <w:t>yields). This pathway was dependent on anaerobic legacies, including activated mineral catalytic potential and accumulated dissolved organic carbon, and was further intensified by warming. Across 10 soils, paddies exhibited stronger ferrous mineral catalytic capacity for aerobic CO</w:t>
      </w:r>
      <w:r>
        <w:rPr>
          <w:vertAlign w:val="subscript"/>
        </w:rPr>
        <w:t>2</w:t>
      </w:r>
      <w:r>
        <w:t>pulses than natural wetlands, with warming further amplifying this divergence. These findings reveal a bio-abiotic coupling mechanism, where antecedent anaerobic microbial processes establish a functional legacy that governs subsequent abiotic mineral catalysis, that is currently underrepresented in ecosystem models.</w:t>
      </w:r>
    </w:p>
    <w:p>
      <w:pPr>
        <w:spacing w:before="120" w:after="120"/>
      </w:pPr>
      <w:r>
        <w:rPr>
          <w:sz w:val="18"/>
        </w:rPr>
        <w:t>——————————————————————————————————————————————————————————————————————</w:t>
      </w:r>
    </w:p>
    <w:p>
      <w:pPr>
        <w:spacing w:before="160" w:after="40" w:line="240" w:lineRule="auto"/>
      </w:pPr>
      <w:r>
        <w:rPr>
          <w:b/>
        </w:rPr>
        <w:t xml:space="preserve">[172] </w:t>
      </w:r>
      <w:hyperlink r:id="rId585">
        <w:r>
          <w:rPr>
            <w:color w:val="1155CC"/>
            <w:u w:val="single"/>
          </w:rPr>
          <w:t>大西洋到太平洋：普吉特海湾的软壳蛤和 eDNA 杂交中检测到双壳类传染性肿瘤的爆发</w:t>
        </w:r>
      </w:hyperlink>
    </w:p>
    <w:p>
      <w:pPr>
        <w:spacing w:before="0" w:after="80"/>
      </w:pPr>
      <w:r>
        <w:rPr>
          <w:i/>
          <w:sz w:val="20"/>
        </w:rPr>
        <w:t>EN: Atlantic to Pacific: Outbreak of bivalve transmissible neoplasia detected in hybridizing soft-shell clams and eDNA in Puget Sound</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86">
        <w:r>
          <w:rPr>
            <w:color w:val="1155CC"/>
            <w:u w:val="single"/>
          </w:rPr>
          <w:t>10.1073/pnas.2611852123</w:t>
        </w:r>
      </w:hyperlink>
    </w:p>
    <w:p>
      <w:pPr>
        <w:spacing w:before="0" w:after="120"/>
      </w:pPr>
      <w:r>
        <w:rPr>
          <w:b/>
        </w:rPr>
        <w:t xml:space="preserve">Notes: </w:t>
      </w:r>
      <w:r>
        <w:t>abstract_source=crossref</w:t>
      </w:r>
    </w:p>
    <w:p>
      <w:pPr>
        <w:spacing w:before="0" w:after="80" w:lineRule="auto" w:line="276"/>
      </w:pPr>
      <w:r>
        <w:rPr>
          <w:b/>
        </w:rPr>
        <w:t xml:space="preserve">摘要（ZH）: </w:t>
      </w:r>
      <w:r>
        <w:t>双壳类传染性肿瘤 (BTN) 是在多种双壳类物种中出现的传染性癌症，包括东部软壳蛤。</w:t>
      </w:r>
      <w:r>
        <w:t xml:space="preserve"> </w:t>
      </w:r>
      <w:r>
        <w:t>沙斑鼠</w:t>
      </w:r>
      <w:r>
        <w:t xml:space="preserve"> </w:t>
      </w:r>
      <w:r>
        <w:t>）北美东海岸的人口。单一克隆（称为 MarBTN）的两个亚系目前在美国新英格兰和加拿大爱德华王子岛以较低的地方性流行水平（1% 至 5%）传播，但此前在西海岸的软壳蛤中尚未观察到 MarBTN。 2022 年，我们在华盛顿州普吉特湾采集软壳蛤，意外地在两个地点发现了 MarBTN。随后几年，患病率有所上升，到 2024 年，这两个地点的患病率均超过 75%，而在其他人群中仍无法检测到，这表明严重疾病爆发的早期阶段。根据仅在美国亚系中发现的体细胞转座子插入位点的存在，该癌症很可能是最近从新英格兰移植的。我们还发现普吉特海湾多个地点的软壳蛤正在杂交</w:t>
      </w:r>
      <w:r>
        <w:t xml:space="preserve"> </w:t>
      </w:r>
      <w:r>
        <w:t>沙棘</w:t>
      </w:r>
      <w:r>
        <w:t xml:space="preserve"> </w:t>
      </w:r>
      <w:r>
        <w:t>和</w:t>
      </w:r>
      <w:r>
        <w:t xml:space="preserve"> </w:t>
      </w:r>
      <w:r>
        <w:t>粳稻</w:t>
      </w:r>
      <w:r>
        <w:t xml:space="preserve"> </w:t>
      </w:r>
      <w:r>
        <w:t>。</w:t>
      </w:r>
      <w:r>
        <w:t xml:space="preserve"> </w:t>
      </w:r>
      <w:r>
        <w:t>粳稻</w:t>
      </w:r>
      <w:r>
        <w:t xml:space="preserve"> </w:t>
      </w:r>
      <w:r>
        <w:t>可能降低了对这种癌症的易感性，尽管需要进一步采样来证实这一假设。我们进一步开发了一种敏感的环境 DNA (eDNA) 检测，针对 MarBTN 线粒体基因组中的体细胞突变。使用这种检测方法，我们调查了普吉特海湾的 51 个地点，在 MarBTN 阳性蛤蜊出现的地点检测到高水平的癌症。</w:t>
      </w:r>
    </w:p>
    <w:p>
      <w:pPr>
        <w:spacing w:before="0" w:after="200" w:lineRule="auto" w:line="276"/>
      </w:pPr>
      <w:r>
        <w:rPr>
          <w:b/>
        </w:rPr>
        <w:t xml:space="preserve">Abstract (EN): </w:t>
      </w:r>
      <w:r>
        <w:t>Bivalve transmissible neoplasias (BTNs) are transmissible cancers that have arisen in multiple bivalve species, including Eastern soft-shell clam (</w:t>
      </w:r>
      <w:r>
        <w:t xml:space="preserve"> </w:t>
      </w:r>
      <w:r>
        <w:t>Mya arenaria</w:t>
      </w:r>
      <w:r>
        <w:t xml:space="preserve"> </w:t>
      </w:r>
      <w:r>
        <w:t>) populations on the East Coast of North America. Two sublineages of a single clone (termed MarBTN) currently circulate at low enzootic levels (1 to 5%) in New England, the United States, and Prince Edward Island, Canada, but MarBTN has not previously been observed in soft-shell clams on the West Coast. In 2022, we collected soft-shell clams in Puget Sound, Washington, and unexpectedly found MarBTN in two sites. Prevalence increased in subsequent years, surpassing 75% at both sites in 2024, while remaining undetectable in other populations, suggesting the early stages of a severe disease outbreak. Based on the presence of somatic transposon insertion sites found only in the USA-sublineage, the cancer was likely recently transplanted from New England. We also found that soft-shell clams in multiple Puget Sound locations are hybridizing populations of</w:t>
      </w:r>
      <w:r>
        <w:t xml:space="preserve"> </w:t>
      </w:r>
      <w:r>
        <w:t>M. arenaria</w:t>
      </w:r>
      <w:r>
        <w:t xml:space="preserve"> </w:t>
      </w:r>
      <w:r>
        <w:t>and</w:t>
      </w:r>
      <w:r>
        <w:t xml:space="preserve"> </w:t>
      </w:r>
      <w:r>
        <w:t>Mya japonica</w:t>
      </w:r>
      <w:r>
        <w:t xml:space="preserve"> </w:t>
      </w:r>
      <w:r>
        <w:t>.</w:t>
      </w:r>
      <w:r>
        <w:t xml:space="preserve"> </w:t>
      </w:r>
      <w:r>
        <w:t>M. japonica</w:t>
      </w:r>
      <w:r>
        <w:t xml:space="preserve"> </w:t>
      </w:r>
      <w:r>
        <w:t>may have decreased susceptibility to this cancer, though further sampling will be needed to confirm this hypothesis. We further developed a sensitive environmental DNA (eDNA) assay, targeting somatic mutations in the MarBTN mitogenome. Using this assay, we surveyed 51 sites throughout Puget Sound, detecting cancer at high levels at sites where MarBTN-positive clams were observed and in the surrounding area. These results identify a severe outbreak of transmissible cancer in a hybridizing population, due to transfer of disease from another ocean, and demonstrate the utility of eDNA methods to track BTN through the environment.</w:t>
      </w:r>
    </w:p>
    <w:p>
      <w:pPr>
        <w:spacing w:before="120" w:after="120"/>
      </w:pPr>
      <w:r>
        <w:rPr>
          <w:sz w:val="18"/>
        </w:rPr>
        <w:t>——————————————————————————————————————————————————————————————————————</w:t>
      </w:r>
    </w:p>
    <w:p>
      <w:pPr>
        <w:spacing w:before="160" w:after="40" w:line="240" w:lineRule="auto"/>
      </w:pPr>
      <w:r>
        <w:rPr>
          <w:b/>
        </w:rPr>
        <w:t xml:space="preserve">[173] </w:t>
      </w:r>
      <w:hyperlink r:id="rId587">
        <w:r>
          <w:rPr>
            <w:color w:val="1155CC"/>
            <w:u w:val="single"/>
          </w:rPr>
          <w:t>TagA 在保护结核分枝杆菌免遭亚硝化杀灭中的守护作用</w:t>
        </w:r>
      </w:hyperlink>
    </w:p>
    <w:p>
      <w:pPr>
        <w:spacing w:before="0" w:after="80"/>
      </w:pPr>
      <w:r>
        <w:rPr>
          <w:i/>
          <w:sz w:val="20"/>
        </w:rPr>
        <w:t>EN: A guardian role of TagA in protecting Mycobacterium tuberculosis from nitrosative killing</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88">
        <w:r>
          <w:rPr>
            <w:color w:val="1155CC"/>
            <w:u w:val="single"/>
          </w:rPr>
          <w:t>10.1073/pnas.2613344123</w:t>
        </w:r>
      </w:hyperlink>
    </w:p>
    <w:p>
      <w:pPr>
        <w:spacing w:before="0" w:after="120"/>
      </w:pPr>
      <w:r>
        <w:rPr>
          <w:b/>
        </w:rPr>
        <w:t xml:space="preserve">Notes: </w:t>
      </w:r>
      <w:r>
        <w:t>abstract_source=crossref</w:t>
      </w:r>
    </w:p>
    <w:p>
      <w:pPr>
        <w:spacing w:before="0" w:after="80" w:lineRule="auto" w:line="276"/>
      </w:pPr>
      <w:r>
        <w:rPr>
          <w:b/>
        </w:rPr>
        <w:t xml:space="preserve">摘要（ZH）: </w:t>
      </w:r>
      <w:r>
        <w:t>巨噬细胞激活后会产生大量活性氮，从而诱导细胞内 DNA 发生烷基化损伤。</w:t>
      </w:r>
      <w:r>
        <w:t xml:space="preserve"> </w:t>
      </w:r>
      <w:r>
        <w:t>结核分枝杆菌</w:t>
      </w:r>
      <w:r>
        <w:t xml:space="preserve"> </w:t>
      </w:r>
      <w:r>
        <w:t>（</w:t>
      </w:r>
      <w:r>
        <w:t xml:space="preserve"> </w:t>
      </w:r>
      <w:r>
        <w:t>山地车</w:t>
      </w:r>
      <w:r>
        <w:t xml:space="preserve"> </w:t>
      </w:r>
      <w:r>
        <w:t>）从而限制细菌复制。然而，其分子机制</w:t>
      </w:r>
      <w:r>
        <w:t xml:space="preserve"> </w:t>
      </w:r>
      <w:r>
        <w:t>山地车</w:t>
      </w:r>
      <w:r>
        <w:t xml:space="preserve"> </w:t>
      </w:r>
      <w:r>
        <w:t>对此类 DNA 损伤的修复仍知之甚少。在这里，我们鉴定了所需的基因</w:t>
      </w:r>
      <w:r>
        <w:t xml:space="preserve"> </w:t>
      </w:r>
      <w:r>
        <w:t>山地车</w:t>
      </w:r>
      <w:r>
        <w:t xml:space="preserve"> </w:t>
      </w:r>
      <w:r>
        <w:t>使用转座子插入测序在不同的巨噬细胞亚群中存活。其中，</w:t>
      </w:r>
      <w:r>
        <w:t xml:space="preserve"> </w:t>
      </w:r>
      <w:r>
        <w:t>标签A</w:t>
      </w:r>
      <w:r>
        <w:t xml:space="preserve"> </w:t>
      </w:r>
      <w:r>
        <w:t>发挥了专门作用</w:t>
      </w:r>
      <w:r>
        <w:t xml:space="preserve"> </w:t>
      </w:r>
      <w:r>
        <w:t>山地车</w:t>
      </w:r>
      <w:r>
        <w:t xml:space="preserve"> </w:t>
      </w:r>
      <w:r>
        <w:t>M1 极化巨噬细胞以及感染后 4 周的小鼠（巨噬细胞偏向 M1 极化状态的阶段）的存活率。从机制上讲，TagA 通过其 3-甲基腺嘌呤 (3-MA) 切除活性赋予对 DNA 烷化剂甲磺酸甲酯的抗性，其中 Glu48 充当底物结合的关键催化残基。至关重要的是，TagA 被发现可以保护</w:t>
      </w:r>
      <w:r>
        <w:t xml:space="preserve"> </w:t>
      </w:r>
      <w:r>
        <w:t>山地车</w:t>
      </w:r>
      <w:r>
        <w:t xml:space="preserve"> </w:t>
      </w:r>
      <w:r>
        <w:t>基因组免受亚硝化应激引起的烷基化损伤——M1极化巨噬细胞微环境的标志。此外，S-甲基异硫脲硫酸盐对小鼠诱导型一氧化氮合酶（iNOS）的药理抑制作用或基因缺失</w:t>
      </w:r>
      <w:r>
        <w:t xml:space="preserve"> </w:t>
      </w:r>
      <w:r>
        <w:t>2a号</w:t>
      </w:r>
      <w:r>
        <w:t xml:space="preserve"> </w:t>
      </w:r>
      <w:r>
        <w:t>斑马鱼显着挽救了Δ的生存缺陷</w:t>
      </w:r>
      <w:r>
        <w:t xml:space="preserve"> </w:t>
      </w:r>
      <w:r>
        <w:t>标签A</w:t>
      </w:r>
    </w:p>
    <w:p>
      <w:pPr>
        <w:spacing w:before="0" w:after="200" w:lineRule="auto" w:line="276"/>
      </w:pPr>
      <w:r>
        <w:rPr>
          <w:b/>
        </w:rPr>
        <w:t xml:space="preserve">Abstract (EN): </w:t>
      </w:r>
      <w:r>
        <w:t>Upon activation, macrophages generate substantial levels of reactive nitrogen species, which can induce alkylating damage in the DNA of intracellular</w:t>
      </w:r>
      <w:r>
        <w:t xml:space="preserve"> </w:t>
      </w:r>
      <w:r>
        <w:t>Mycobacterium tuberculosis</w:t>
      </w:r>
      <w:r>
        <w:t xml:space="preserve"> </w:t>
      </w:r>
      <w:r>
        <w:t>(</w:t>
      </w:r>
      <w:r>
        <w:t xml:space="preserve"> </w:t>
      </w:r>
      <w:r>
        <w:t>Mtb</w:t>
      </w:r>
      <w:r>
        <w:t xml:space="preserve"> </w:t>
      </w:r>
      <w:r>
        <w:t>) and thereby restrict bacterial replication. However, the molecular mechanisms by which</w:t>
      </w:r>
      <w:r>
        <w:t xml:space="preserve"> </w:t>
      </w:r>
      <w:r>
        <w:t>Mtb</w:t>
      </w:r>
      <w:r>
        <w:t xml:space="preserve"> </w:t>
      </w:r>
      <w:r>
        <w:t>repairs such DNA lesions remain poorly understood. Here, we identified genes required for</w:t>
      </w:r>
      <w:r>
        <w:t xml:space="preserve"> </w:t>
      </w:r>
      <w:r>
        <w:t>Mtb</w:t>
      </w:r>
      <w:r>
        <w:t xml:space="preserve"> </w:t>
      </w:r>
      <w:r>
        <w:t>survival in distinct macrophage subsets using transposon insertion sequencing. Among these,</w:t>
      </w:r>
      <w:r>
        <w:t xml:space="preserve"> </w:t>
      </w:r>
      <w:r>
        <w:t>tagA</w:t>
      </w:r>
      <w:r>
        <w:t xml:space="preserve"> </w:t>
      </w:r>
      <w:r>
        <w:t>displayed a specialized role in</w:t>
      </w:r>
      <w:r>
        <w:t xml:space="preserve"> </w:t>
      </w:r>
      <w:r>
        <w:t>Mtb</w:t>
      </w:r>
      <w:r>
        <w:t xml:space="preserve"> </w:t>
      </w:r>
      <w:r>
        <w:t>survival in M1-polarized macrophages, as well as in mice at 4 wk postinfection, a stage when macrophages are biased toward an M1-polarized state. Mechanistically, TagA conferred resistance to the DNA alkylating agent methyl methanesulfonate through its 3-methyladenine (3-MA) excision activity with Glu48 serving as a key catalytic residue for substrate binding. Critically, TagA was found to protect the</w:t>
      </w:r>
      <w:r>
        <w:t xml:space="preserve"> </w:t>
      </w:r>
      <w:r>
        <w:t>Mtb</w:t>
      </w:r>
      <w:r>
        <w:t xml:space="preserve"> </w:t>
      </w:r>
      <w:r>
        <w:t>genome from alkylation damage caused by nitrosative stress—a hallmark of the M1-polarized macrophage microenvironment. Furthermore, pharmacological inhibition of inducible nitric oxide synthase (iNOS) with S-methylisothiourea sulfate in mice or genetic deletion of</w:t>
      </w:r>
      <w:r>
        <w:t xml:space="preserve"> </w:t>
      </w:r>
      <w:r>
        <w:t>nos2a</w:t>
      </w:r>
      <w:r>
        <w:t xml:space="preserve"> </w:t>
      </w:r>
      <w:r>
        <w:t>in zebrafish markedly rescued the survival defect of Δ</w:t>
      </w:r>
      <w:r>
        <w:t xml:space="preserve"> </w:t>
      </w:r>
      <w:r>
        <w:t>tagA</w:t>
      </w:r>
      <w:r>
        <w:t xml:space="preserve"> </w:t>
      </w:r>
      <w:r>
        <w:t>. Together, these findings reveal a previously unappreciated mechanism by which the DNA repair enzyme TagA protects</w:t>
      </w:r>
      <w:r>
        <w:t xml:space="preserve"> </w:t>
      </w:r>
      <w:r>
        <w:t>Mtb</w:t>
      </w:r>
      <w:r>
        <w:t xml:space="preserve"> </w:t>
      </w:r>
      <w:r>
        <w:t>against 3-MA DNA damage under nitrosative stress, thereby promoting bacterial survival in M1-polarized macrophages and during in vivo infection.</w:t>
      </w:r>
    </w:p>
    <w:p>
      <w:pPr>
        <w:spacing w:before="120" w:after="120"/>
      </w:pPr>
      <w:r>
        <w:rPr>
          <w:sz w:val="18"/>
        </w:rPr>
        <w:t>——————————————————————————————————————————————————————————————————————</w:t>
      </w:r>
    </w:p>
    <w:p>
      <w:pPr>
        <w:spacing w:before="160" w:after="40" w:line="240" w:lineRule="auto"/>
      </w:pPr>
      <w:r>
        <w:rPr>
          <w:b/>
        </w:rPr>
        <w:t xml:space="preserve">[174] </w:t>
      </w:r>
      <w:hyperlink r:id="rId589">
        <w:r>
          <w:rPr>
            <w:color w:val="1155CC"/>
            <w:u w:val="single"/>
          </w:rPr>
          <w:t>禁食通过微生物组-代谢物-染色质轴损伤后启动小肠再生</w:t>
        </w:r>
      </w:hyperlink>
    </w:p>
    <w:p>
      <w:pPr>
        <w:spacing w:before="0" w:after="80"/>
      </w:pPr>
      <w:r>
        <w:rPr>
          <w:i/>
          <w:sz w:val="20"/>
        </w:rPr>
        <w:t>EN: Fasting primes small intestinal regeneration after damage via a microbiome–metabolite–chromatin axis</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90">
        <w:r>
          <w:rPr>
            <w:color w:val="1155CC"/>
            <w:u w:val="single"/>
          </w:rPr>
          <w:t>10.1073/pnas.2529215123</w:t>
        </w:r>
      </w:hyperlink>
    </w:p>
    <w:p>
      <w:pPr>
        <w:spacing w:before="0" w:after="120"/>
      </w:pPr>
      <w:r>
        <w:rPr>
          <w:b/>
        </w:rPr>
        <w:t xml:space="preserve">Notes: </w:t>
      </w:r>
      <w:r>
        <w:t>abstract_source=crossref</w:t>
      </w:r>
    </w:p>
    <w:p>
      <w:pPr>
        <w:spacing w:before="0" w:after="80" w:lineRule="auto" w:line="276"/>
      </w:pPr>
      <w:r>
        <w:rPr>
          <w:b/>
        </w:rPr>
        <w:t xml:space="preserve">摘要（ZH）: </w:t>
      </w:r>
      <w:r>
        <w:t>禁食可增强放疗后的小肠再生，但肠道微生物组对此过程的贡献仍不清楚。我们确定</w:t>
      </w:r>
      <w:r>
        <w:t xml:space="preserve"> </w:t>
      </w:r>
      <w:r>
        <w:t>嗜粘液阿克曼氏菌</w:t>
      </w:r>
      <w:r>
        <w:t xml:space="preserve"> </w:t>
      </w:r>
      <w:r>
        <w:t>（</w:t>
      </w:r>
      <w:r>
        <w:t xml:space="preserve"> </w:t>
      </w:r>
      <w:r>
        <w:t>AKK</w:t>
      </w:r>
      <w:r>
        <w:t xml:space="preserve"> </w:t>
      </w:r>
      <w:r>
        <w:t>）作为此响应的关键调解者。</w:t>
      </w:r>
      <w:r>
        <w:t xml:space="preserve"> </w:t>
      </w:r>
      <w:r>
        <w:t>AKK</w:t>
      </w:r>
      <w:r>
        <w:t xml:space="preserve"> </w:t>
      </w:r>
      <w:r>
        <w:t>在禁食的小鼠中富集，其抗生素消耗消除了辐射防护，而重新引入则恢复了生物体存活和肠道完整性。空腹丙酸升高，符合</w:t>
      </w:r>
      <w:r>
        <w:t xml:space="preserve"> </w:t>
      </w:r>
      <w:r>
        <w:t>AKK</w:t>
      </w:r>
      <w:r>
        <w:t xml:space="preserve"> </w:t>
      </w:r>
      <w:r>
        <w:t>的代谢输出。</w:t>
      </w:r>
      <w:r>
        <w:t xml:space="preserve"> </w:t>
      </w:r>
      <w:r>
        <w:t>AKK</w:t>
      </w:r>
      <w:r>
        <w:t xml:space="preserve"> </w:t>
      </w:r>
      <w:r>
        <w:t>-条件培养基和丙酸盐在肠干细胞培养物中诱导组蛋白 H3 乙酰化，而体内禁食诱导</w:t>
      </w:r>
      <w:r>
        <w:t xml:space="preserve"> </w:t>
      </w:r>
      <w:r>
        <w:t>AKK</w:t>
      </w:r>
      <w:r>
        <w:t xml:space="preserve"> </w:t>
      </w:r>
      <w:r>
        <w:t>依赖 H3K27ac 和 H3K9ac，重塑隐窝上皮细胞中的启动子-增强子景观。表观遗传分析揭示了一个重新布线的核心调控程序，富含先锋转录因子（Foxa、Gata、Klf）、结构组织者（Ctcf、Boris）以及谱系定义和代谢调控因子（Cdx2、Hnf4）。该计划支持扩增引发的持续细胞群，其特征是关键干和再生相关位点的开放染色质可及性，包括</w:t>
      </w:r>
      <w:r>
        <w:t xml:space="preserve"> </w:t>
      </w:r>
      <w:r>
        <w:t>克鲁</w:t>
      </w:r>
      <w:r>
        <w:t xml:space="preserve"> </w:t>
      </w:r>
      <w:r>
        <w:t>,</w:t>
      </w:r>
      <w:r>
        <w:t xml:space="preserve"> </w:t>
      </w:r>
      <w:r>
        <w:t>奥尔夫姆4</w:t>
      </w:r>
      <w:r>
        <w:t xml:space="preserve"> </w:t>
      </w:r>
      <w:r>
        <w:t>,</w:t>
      </w:r>
      <w:r>
        <w:t xml:space="preserve"> </w:t>
      </w:r>
      <w:r>
        <w:t>Lgr5、Ascl2、Lrig1、Sox9、Rnf43 和 Axin2。</w:t>
      </w:r>
      <w:r>
        <w:t xml:space="preserve"> </w:t>
      </w:r>
      <w:r>
        <w:t>这些发现定义了禁食诱导的微生物组-代谢物-染色质a</w:t>
      </w:r>
    </w:p>
    <w:p>
      <w:pPr>
        <w:spacing w:before="0" w:after="200" w:lineRule="auto" w:line="276"/>
      </w:pPr>
      <w:r>
        <w:rPr>
          <w:b/>
        </w:rPr>
        <w:t xml:space="preserve">Abstract (EN): </w:t>
      </w:r>
      <w:r>
        <w:t>Fasting enhances small intestinal regeneration after radiation, but the contribution of the gut microbiome to this process remains uncharacterized. We identify</w:t>
      </w:r>
      <w:r>
        <w:t xml:space="preserve"> </w:t>
      </w:r>
      <w:r>
        <w:t>Akkermansia muciniphila</w:t>
      </w:r>
      <w:r>
        <w:t xml:space="preserve"> </w:t>
      </w:r>
      <w:r>
        <w:t>(</w:t>
      </w:r>
      <w:r>
        <w:t xml:space="preserve"> </w:t>
      </w:r>
      <w:r>
        <w:t>AKK</w:t>
      </w:r>
      <w:r>
        <w:t xml:space="preserve"> </w:t>
      </w:r>
      <w:r>
        <w:t>) as a key mediator of this response.</w:t>
      </w:r>
      <w:r>
        <w:t xml:space="preserve"> </w:t>
      </w:r>
      <w:r>
        <w:t>AKK</w:t>
      </w:r>
      <w:r>
        <w:t xml:space="preserve"> </w:t>
      </w:r>
      <w:r>
        <w:t>was enriched in fasted mice and its antibiotic depletion abrogated radioprotection, whereas reintroduction restored both organismal survival and intestinal integrity. Fasting elevated propionic acid, consistent with</w:t>
      </w:r>
      <w:r>
        <w:t xml:space="preserve"> </w:t>
      </w:r>
      <w:r>
        <w:t>AKK</w:t>
      </w:r>
      <w:r>
        <w:t xml:space="preserve"> </w:t>
      </w:r>
      <w:r>
        <w:t>’s metabolic output.</w:t>
      </w:r>
      <w:r>
        <w:t xml:space="preserve"> </w:t>
      </w:r>
      <w:r>
        <w:t>AKK</w:t>
      </w:r>
      <w:r>
        <w:t xml:space="preserve"> </w:t>
      </w:r>
      <w:r>
        <w:t>-conditioned medium and propionate induced histone H3 acetylation in intestinal stem cell cultures while in vivo fasting induced</w:t>
      </w:r>
      <w:r>
        <w:t xml:space="preserve"> </w:t>
      </w:r>
      <w:r>
        <w:t>AKK</w:t>
      </w:r>
      <w:r>
        <w:t xml:space="preserve"> </w:t>
      </w:r>
      <w:r>
        <w:t>-dependent H3K27ac and H3K9ac, remodeling promoter–enhancer landscapes in crypt epithelial cells. Epigenetic profiling revealed a rewired core regulatory program enriched for pioneer transcription factors (Foxa, Gata, Klf), architectural organizers (Ctcf, Boris), and lineage-defining and metabolic regulators (Cdx2, Hnf4). This program supports expansion of a population of primed persister cells characterized by open chromatin accessibility at key stem and regenerative-associated loci including</w:t>
      </w:r>
      <w:r>
        <w:t xml:space="preserve"> </w:t>
      </w:r>
      <w:r>
        <w:t>Clu</w:t>
      </w:r>
      <w:r>
        <w:t xml:space="preserve"> </w:t>
      </w:r>
      <w:r>
        <w:t>,</w:t>
      </w:r>
      <w:r>
        <w:t xml:space="preserve"> </w:t>
      </w:r>
      <w:r>
        <w:t>Olfm4</w:t>
      </w:r>
      <w:r>
        <w:t xml:space="preserve"> </w:t>
      </w:r>
      <w:r>
        <w:t>,</w:t>
      </w:r>
      <w:r>
        <w:t xml:space="preserve"> </w:t>
      </w:r>
      <w:r>
        <w:t>Lgr5, Ascl2, Lrig1, Sox9, Rnf43, and Axin2.</w:t>
      </w:r>
      <w:r>
        <w:t xml:space="preserve"> </w:t>
      </w:r>
      <w:r>
        <w:t>These findings define a fasting-induced microbiome–metabolite–chromatin axis that epigenetically primes highly plastic persister cells for rapid regeneration of the intestinal epithelium following radiation-induced injury.</w:t>
      </w:r>
    </w:p>
    <w:p>
      <w:pPr>
        <w:spacing w:before="120" w:after="120"/>
      </w:pPr>
      <w:r>
        <w:rPr>
          <w:sz w:val="18"/>
        </w:rPr>
        <w:t>——————————————————————————————————————————————————————————————————————</w:t>
      </w:r>
    </w:p>
    <w:p>
      <w:pPr>
        <w:spacing w:before="160" w:after="40" w:line="240" w:lineRule="auto"/>
      </w:pPr>
      <w:r>
        <w:rPr>
          <w:b/>
        </w:rPr>
        <w:t xml:space="preserve">[175] </w:t>
      </w:r>
      <w:hyperlink r:id="rId591">
        <w:r>
          <w:rPr>
            <w:color w:val="1155CC"/>
            <w:u w:val="single"/>
          </w:rPr>
          <w:t>结直肠癌中免疫细胞内在 STING 激活通过 AA 介导的 ACSL4 乳酰化抑制驱动肿瘤铁死亡</w:t>
        </w:r>
      </w:hyperlink>
    </w:p>
    <w:p>
      <w:pPr>
        <w:spacing w:before="0" w:after="80"/>
      </w:pPr>
      <w:r>
        <w:rPr>
          <w:i/>
          <w:sz w:val="20"/>
        </w:rPr>
        <w:t>EN: Immune cell–intrinsic STING activation drives tumor ferroptosis via AA-mediated suppression of ACSL4 lactylation in colorectal cancer</w:t>
      </w:r>
    </w:p>
    <w:p>
      <w:pPr>
        <w:spacing w:before="0" w:after="120"/>
      </w:pPr>
      <w:r>
        <w:rPr>
          <w:b/>
        </w:rPr>
        <w:t xml:space="preserve">Source: </w:t>
      </w:r>
      <w:r>
        <w:t>Proceedings of the National Academy of Sciences: Keyword search for query</w:t>
      </w:r>
      <w:r>
        <w:t xml:space="preserve">    </w:t>
      </w:r>
      <w:r>
        <w:rPr>
          <w:b/>
        </w:rPr>
        <w:t xml:space="preserve">Pub date: </w:t>
      </w:r>
      <w:r>
        <w:t>2026-06-23 07:00:00+00:00</w:t>
      </w:r>
      <w:r>
        <w:t xml:space="preserve">    </w:t>
      </w:r>
      <w:r>
        <w:rPr>
          <w:b/>
        </w:rPr>
        <w:t xml:space="preserve">DOI: </w:t>
      </w:r>
      <w:hyperlink r:id="rId592">
        <w:r>
          <w:rPr>
            <w:color w:val="1155CC"/>
            <w:u w:val="single"/>
          </w:rPr>
          <w:t>10.1073/pnas.2524594123</w:t>
        </w:r>
      </w:hyperlink>
    </w:p>
    <w:p>
      <w:pPr>
        <w:spacing w:before="0" w:after="120"/>
      </w:pPr>
      <w:r>
        <w:rPr>
          <w:b/>
        </w:rPr>
        <w:t xml:space="preserve">Notes: </w:t>
      </w:r>
      <w:r>
        <w:t>abstract_source=crossref</w:t>
      </w:r>
    </w:p>
    <w:p>
      <w:pPr>
        <w:spacing w:before="0" w:after="80" w:lineRule="auto" w:line="276"/>
      </w:pPr>
      <w:r>
        <w:rPr>
          <w:b/>
        </w:rPr>
        <w:t xml:space="preserve">摘要（ZH）: </w:t>
      </w:r>
      <w:r>
        <w:t>铁死亡已成为抗肿瘤免疫的关键效应机制，但调节结直肠癌（CRC）铁死亡敏感性的跨细胞代谢串扰仍不完全清楚。在这里，我们描述了一个综合调节轴，通过协调脂质代谢和翻译后修饰（PTM）将免疫细胞内在干扰素基因刺激物（STING）信号传导与肿瘤铁死亡联系起来。从机制上讲，免疫细胞中的 STING 激活会触发 TANK 结合激酶 1 (TBK1) 依赖性胞质磷脂酶 A 的磷酸化</w:t>
      </w:r>
      <w:r>
        <w:rPr>
          <w:vertAlign w:val="subscript"/>
        </w:rPr>
        <w:t>2</w:t>
      </w:r>
      <w:r>
        <w:t>(cPLA</w:t>
      </w:r>
      <w:r>
        <w:rPr>
          <w:vertAlign w:val="subscript"/>
        </w:rPr>
        <w:t>2</w:t>
      </w:r>
      <w:r>
        <w:t>）在 Ser505 处，从而将花生四烯酸（AA）释放到肿瘤微环境（TME）中。这种免疫衍生的 AA 被邻近的 CRC 细胞吸收，通过抑制 EP300 介导的 ACSL4 在赖氨酸 426 (K426) 处的乳酰化来促进 ACSL4 依赖性铁死亡。在体内，STING 的药理学激活可增强 AA 的释放并促进铁死亡介导的肿瘤抑制。值得注意的是，STING 激动剂与 PD-1 检查点阻断协同作用，抑制肿瘤进展，铁死亡抑制剂可逆转肿瘤进展。总的来说，我们的研究结果建立了一个整合的跨细胞免疫代谢框架，将先天免疫传感与肿瘤铁死亡联系起来，为结直肠癌的组合治疗策略提供了强有力的理论依据。</w:t>
      </w:r>
    </w:p>
    <w:p>
      <w:pPr>
        <w:spacing w:before="0" w:after="200" w:lineRule="auto" w:line="276"/>
      </w:pPr>
      <w:r>
        <w:rPr>
          <w:b/>
        </w:rPr>
        <w:t xml:space="preserve">Abstract (EN): </w:t>
      </w:r>
      <w:r>
        <w:t>Ferroptosis has emerged as a key effector mechanism in antitumor immunity, yet the transcellular metabolic cross talk that modulates ferroptotic sensitivity in colorectal cancer (CRC) remains incompletely understood. Here, we describe an integrative regulatory axis linking immune cell–intrinsic Stimulator of Interferon Genes (STING) signaling to tumor ferroptosis through coordinated lipid metabolism and posttranslational modifications (PTMs). Mechanistically, STING activation in immune cells triggers TANK-binding kinase 1 (TBK1)-dependent phosphorylation of cytosolic phospholipase A</w:t>
      </w:r>
      <w:r>
        <w:rPr>
          <w:vertAlign w:val="subscript"/>
        </w:rPr>
        <w:t>2</w:t>
      </w:r>
      <w:r>
        <w:t>(cPLA</w:t>
      </w:r>
      <w:r>
        <w:rPr>
          <w:vertAlign w:val="subscript"/>
        </w:rPr>
        <w:t>2</w:t>
      </w:r>
      <w:r>
        <w:t>) at Ser505, thereby releasing arachidonic acid (AA) into the tumor microenvironment (TME). This immune-derived AA is taken up by adjacent CRC cells, where it promotes ACSL4-dependent ferroptosis by inhibiting EP300-mediated lactylation of ACSL4 at lysine 426 (K426). In vivo, pharmacological activation of STING enhances AA release and facilitates ferroptosis-mediated tumor suppression. Notably, STING agonist synergizes with PD-1 checkpoint blockade to inhibit tumor progression, which is reversed by the ferroptosis inhibitor. Collectively, our findings establish an integrative and transcellular immunometabolic framework linking innate immune sensing to tumor ferroptosis, providing a strong rationale for combinatorial therapeutic strategies in CRC.</w:t>
      </w:r>
    </w:p>
    <w:p>
      <w:pPr>
        <w:spacing w:before="120" w:after="120"/>
      </w:pPr>
      <w:r>
        <w:rPr>
          <w:sz w:val="18"/>
        </w:rPr>
        <w:t>——————————————————————————————————————————————————————————————————————</w:t>
      </w:r>
    </w:p>
    <w:p>
      <w:pPr>
        <w:spacing w:before="160" w:after="40" w:line="240" w:lineRule="auto"/>
      </w:pPr>
      <w:r>
        <w:rPr>
          <w:b/>
        </w:rPr>
        <w:t xml:space="preserve">[176] </w:t>
      </w:r>
      <w:hyperlink r:id="rId593">
        <w:r>
          <w:rPr>
            <w:color w:val="1155CC"/>
            <w:u w:val="single"/>
          </w:rPr>
          <w:t>镓基液态金属实现的电偶替代合成：材料设计和多功能应用的强大途径（Adv. Mater. 35/2026）</w:t>
        </w:r>
      </w:hyperlink>
    </w:p>
    <w:p>
      <w:pPr>
        <w:spacing w:before="0" w:after="80"/>
      </w:pPr>
      <w:r>
        <w:rPr>
          <w:i/>
          <w:sz w:val="20"/>
        </w:rPr>
        <w:t>EN: Galvanic Replacement Synthesis Enabled by Gallium‐Based Liquid Metal: A Powerful Route for Material Design and Versatile Applications (Adv. Mater. 35/2026)</w:t>
      </w:r>
    </w:p>
    <w:p>
      <w:pPr>
        <w:spacing w:before="0" w:after="120"/>
      </w:pPr>
      <w:r>
        <w:rPr>
          <w:b/>
        </w:rPr>
        <w:t xml:space="preserve">Source: </w:t>
      </w:r>
      <w:r>
        <w:t>Wiley: Advanced Materials: Table of Contents</w:t>
      </w:r>
      <w:r>
        <w:t xml:space="preserve">    </w:t>
      </w:r>
      <w:r>
        <w:rPr>
          <w:b/>
        </w:rPr>
        <w:t xml:space="preserve">Pub date: </w:t>
      </w:r>
      <w:r>
        <w:t>2026-06-23 07:28:09+00:00</w:t>
      </w:r>
      <w:r>
        <w:t xml:space="preserve">    </w:t>
      </w:r>
      <w:r>
        <w:rPr>
          <w:b/>
        </w:rPr>
        <w:t xml:space="preserve">DOI: </w:t>
      </w:r>
      <w:hyperlink r:id="rId594">
        <w:r>
          <w:rPr>
            <w:color w:val="1155CC"/>
            <w:u w:val="single"/>
          </w:rPr>
          <w:t>10.1002/adma.73705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[177] </w:t>
      </w:r>
      <w:hyperlink r:id="rId595">
        <w:r>
          <w:rPr>
            <w:color w:val="1155CC"/>
            <w:u w:val="single"/>
          </w:rPr>
          <w:t>用于可扩展光子和机械变色器件的基于植物的结构颜色的自由成型制造（Adv. Mater. 35/2026）</w:t>
        </w:r>
      </w:hyperlink>
    </w:p>
    <w:p>
      <w:pPr>
        <w:spacing w:before="0" w:after="80"/>
      </w:pPr>
      <w:r>
        <w:rPr>
          <w:i/>
          <w:sz w:val="20"/>
        </w:rPr>
        <w:t>EN: Freeform Manufacturing of Plant‐Based Structural Colors for Scalable Photonic and Mechanochromic Devices (Adv. Mater. 35/2026)</w:t>
      </w:r>
    </w:p>
    <w:p>
      <w:pPr>
        <w:spacing w:before="0" w:after="120"/>
      </w:pPr>
      <w:r>
        <w:rPr>
          <w:b/>
        </w:rPr>
        <w:t xml:space="preserve">Source: </w:t>
      </w:r>
      <w:r>
        <w:t>Wiley: Advanced Materials: Table of Contents</w:t>
      </w:r>
      <w:r>
        <w:t xml:space="preserve">    </w:t>
      </w:r>
      <w:r>
        <w:rPr>
          <w:b/>
        </w:rPr>
        <w:t xml:space="preserve">Pub date: </w:t>
      </w:r>
      <w:r>
        <w:t>2026-06-23 07:28:09+00:00</w:t>
      </w:r>
      <w:r>
        <w:t xml:space="preserve">    </w:t>
      </w:r>
      <w:r>
        <w:rPr>
          <w:b/>
        </w:rPr>
        <w:t xml:space="preserve">DOI: </w:t>
      </w:r>
      <w:hyperlink r:id="rId596">
        <w:r>
          <w:rPr>
            <w:color w:val="1155CC"/>
            <w:u w:val="single"/>
          </w:rPr>
          <w:t>10.1002/adma.73704</w:t>
        </w:r>
      </w:hyperlink>
    </w:p>
    <w:p>
      <w:pPr>
        <w:spacing w:before="0" w:after="120"/>
      </w:pPr>
      <w:r>
        <w:rPr>
          <w:b/>
        </w:rPr>
        <w:t xml:space="preserve">Notes: </w:t>
      </w:r>
      <w:r>
        <w:t>abstract_source=openalex</w:t>
      </w:r>
    </w:p>
    <w:p>
      <w:pPr>
        <w:spacing w:before="0" w:after="80" w:lineRule="auto" w:line="276"/>
      </w:pPr>
      <w:r>
        <w:rPr>
          <w:b/>
        </w:rPr>
        <w:t xml:space="preserve">摘要（ZH）: </w:t>
      </w:r>
      <w:r>
        <w:t>基于植物的结构颜色的自由形式制造 在他们的研究文章（DOI：10.1002/adma.202519692）中，Yan Yan Shery Huang、Iek Man Lei 和同事报告了一种绿色、自由形式的制造策略，使用水性两相系统来创建具有高分辨率和颜色保真度的基于植物的结构颜色，从而实现可扩展的多色光子结构和具有复杂架构的非平面力致变色器件。这项工作扩展了光子系统的设计可能性。</w:t>
      </w:r>
    </w:p>
    <w:p>
      <w:pPr>
        <w:spacing w:before="0" w:after="200" w:lineRule="auto" w:line="276"/>
      </w:pPr>
      <w:r>
        <w:rPr>
          <w:b/>
        </w:rPr>
        <w:t xml:space="preserve">Abstract (EN): </w:t>
      </w:r>
      <w:r>
        <w:t>Freeform Manufacturing of Plant-Based Structural Colors In their Research Article (DOI: 10.1002/adma.202519692), Yan Yan Shery Huang, Iek Man Lei, and co-workers report a green, freeform manufacturing strategy using aqueous two-phase systems to create plant-based structural colors with high resolution and color fidelity, enabling scalable multicolor photonic structures and non-planar mechanochromic devices with complex architectures. This work extends the design possibilities of photonic systems.</w:t>
      </w:r>
    </w:p>
    <w:p>
      <w:pPr>
        <w:spacing w:before="120" w:after="120"/>
      </w:pPr>
      <w:r>
        <w:rPr>
          <w:sz w:val="18"/>
        </w:rPr>
        <w:t>——————————————————————————————————————————————————————————————————————</w:t>
      </w:r>
    </w:p>
    <w:p>
      <w:pPr>
        <w:spacing w:before="160" w:after="40" w:line="240" w:lineRule="auto"/>
      </w:pPr>
      <w:r>
        <w:rPr>
          <w:b/>
        </w:rPr>
        <w:t xml:space="preserve">[178] </w:t>
      </w:r>
      <w:hyperlink r:id="rId597">
        <w:r>
          <w:rPr>
            <w:color w:val="1155CC"/>
            <w:u w:val="single"/>
          </w:rPr>
          <w:t>芘-晕苯分子石墨烯纳米带的迭代合成</w:t>
        </w:r>
      </w:hyperlink>
    </w:p>
    <w:p>
      <w:pPr>
        <w:spacing w:before="0" w:after="80"/>
      </w:pPr>
      <w:r>
        <w:rPr>
          <w:i/>
          <w:sz w:val="20"/>
        </w:rPr>
        <w:t>EN: Iterative Synthesis of Pyrene–Coronene Molecular Graphene Nanoribbons</w:t>
      </w:r>
    </w:p>
    <w:p>
      <w:pPr>
        <w:spacing w:before="0" w:after="120"/>
      </w:pPr>
      <w:r>
        <w:rPr>
          <w:b/>
        </w:rPr>
        <w:t xml:space="preserve">Source: </w:t>
      </w:r>
      <w:r>
        <w:t>Wiley: Angewandte Chemie International Edition: Table of Contents</w:t>
      </w:r>
      <w:r>
        <w:t xml:space="preserve">    </w:t>
      </w:r>
      <w:r>
        <w:rPr>
          <w:b/>
        </w:rPr>
        <w:t xml:space="preserve">Pub date: </w:t>
      </w:r>
      <w:r>
        <w:t>2026-06-23 07:36:57+00:00</w:t>
      </w:r>
      <w:r>
        <w:t xml:space="preserve">    </w:t>
      </w:r>
      <w:r>
        <w:rPr>
          <w:b/>
        </w:rPr>
        <w:t xml:space="preserve">DOI: </w:t>
      </w:r>
      <w:hyperlink r:id="rId598">
        <w:r>
          <w:rPr>
            <w:color w:val="1155CC"/>
            <w:u w:val="single"/>
          </w:rPr>
          <w:t>10.1002/anie.6619000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全原子精度的分子或单分散石墨烯纳米带的合成对于建立基本结构-性能关系、验证理论预测以及满足石墨烯纳米带各种潜在应用的性能要求至关重要。未掺杂分子石墨烯纳米带的合成仍然具有挑战性，因为许多边缘拓扑尚未实现，并且报道的结构仍然表现出有限的长度。这主要是因为未掺杂分子 GNR 的迭代合成方法实际上尚未开发出来，目前的方法主要依赖于非迭代策略。据报道，一种新的未掺杂分子 GNR 系列的迭代合成，具有新颖的边缘拓扑结构和前所未有的长度。这些纳米带是通过硼化/铃木/环脱氢反应序列获得的，其中铃木和环脱氢合并为一个转换，产生有效的两步迭代序列。所得的芘-晕烯石墨烯纳米带表现出强吸收和高荧光效率，摩尔吸光率和荧光亮度值约为10</w:t>
      </w:r>
      <w:r>
        <w:rPr>
          <w:vertAlign w:val="subscript"/>
        </w:rPr>
        <w:t>5</w:t>
      </w:r>
      <w:r>
        <w:t>中号</w:t>
      </w:r>
      <w:r>
        <w:t xml:space="preserve"> </w:t>
      </w:r>
      <w:r>
        <w:t>−1</w:t>
      </w:r>
      <w:r>
        <w:t xml:space="preserve"> </w:t>
      </w:r>
      <w:r>
        <w:t>厘米</w:t>
      </w:r>
      <w:r>
        <w:t xml:space="preserve"> </w:t>
      </w:r>
      <w:r>
        <w:t>−1</w:t>
      </w:r>
      <w:r>
        <w:t xml:space="preserve"> </w:t>
      </w:r>
      <w:r>
        <w:t>，固有充电器载流子迁移率为 475 ± 32 cm</w:t>
      </w:r>
      <w:r>
        <w:rPr>
          <w:vertAlign w:val="subscript"/>
        </w:rPr>
        <w:t>2</w:t>
      </w:r>
      <w:r>
        <w:t>V</w:t>
      </w:r>
      <w:r>
        <w:t xml:space="preserve"> </w:t>
      </w:r>
      <w:r>
        <w:t>−1</w:t>
      </w:r>
      <w:r>
        <w:t xml:space="preserve"> </w:t>
      </w:r>
      <w:r>
        <w:t>s</w:t>
      </w:r>
      <w:r>
        <w:t xml:space="preserve"> </w:t>
      </w:r>
      <w:r>
        <w:t>−1</w:t>
      </w:r>
    </w:p>
    <w:p>
      <w:pPr>
        <w:spacing w:before="0" w:after="200" w:lineRule="auto" w:line="276"/>
      </w:pPr>
      <w:r>
        <w:rPr>
          <w:b/>
        </w:rPr>
        <w:t xml:space="preserve">Abstract (EN): </w:t>
      </w:r>
      <w:r>
        <w:t>The synthesis of molecular, or monodisperse, graphene nanoribbons with full atomic precision is essential for establishing fundamental structure–property relationships, validating theoretical predictions, and meeting the property requirements for the diverse potential applications of graphene nanoribbons. The synthesis of undoped molecular graphene nanoribbons remains challenging, as many edge topologies have yet to be realized and the reported structures still exhibit limited lengths. This is mostly because iterative synthetic methods for undoped molecular GNRs remain practically undeveloped, with current approaches relying predominantly on noniterative strategies. The iterative synthesis of a new family of undoped molecular GNRs, featuring both a novel edge topology and an unprecedented length, is reported. These nanoribbons are accessed through a borylation/Suzuki/cyclodehydrogenation reaction sequence, in which the Suzuki and cyclodehydrogenation are merged into one transformation, giving rise to an effective two‐step iteration sequence. The resulting pyrene–coronene graphene nanoribbons exhibit strong absorption and high fluorescence efficiency, with molar absorptivity and fluorescence brightness values on the order of 10</w:t>
      </w:r>
      <w:r>
        <w:rPr>
          <w:vertAlign w:val="subscript"/>
        </w:rPr>
        <w:t>5</w:t>
      </w:r>
      <w:r>
        <w:t>M</w:t>
      </w:r>
      <w:r>
        <w:t xml:space="preserve"> </w:t>
      </w:r>
      <w:r>
        <w:t>−1</w:t>
      </w:r>
      <w:r>
        <w:t xml:space="preserve"> </w:t>
      </w:r>
      <w:r>
        <w:t>cm</w:t>
      </w:r>
      <w:r>
        <w:t xml:space="preserve"> </w:t>
      </w:r>
      <w:r>
        <w:t>−1</w:t>
      </w:r>
      <w:r>
        <w:t xml:space="preserve"> </w:t>
      </w:r>
      <w:r>
        <w:t>, and an intrinsic charger carrier mobility of 475 ± 32 cm</w:t>
      </w:r>
      <w:r>
        <w:rPr>
          <w:vertAlign w:val="subscript"/>
        </w:rPr>
        <w:t>2</w:t>
      </w:r>
      <w:r>
        <w:t>V</w:t>
      </w:r>
      <w:r>
        <w:t xml:space="preserve"> </w:t>
      </w:r>
      <w:r>
        <w:t>−1</w:t>
      </w:r>
      <w:r>
        <w:t xml:space="preserve"> </w:t>
      </w:r>
      <w:r>
        <w:t>s</w:t>
      </w:r>
      <w:r>
        <w:t xml:space="preserve"> </w:t>
      </w:r>
      <w:r>
        <w:t>−1</w:t>
      </w:r>
      <w:r>
        <w:t xml:space="preserve"> </w:t>
      </w:r>
      <w:r>
        <w:t>.</w:t>
      </w:r>
    </w:p>
    <w:p>
      <w:pPr>
        <w:spacing w:before="120" w:after="120"/>
      </w:pPr>
      <w:r>
        <w:rPr>
          <w:sz w:val="18"/>
        </w:rPr>
        <w:t>——————————————————————————————————————————————————————————————————————</w:t>
      </w:r>
    </w:p>
    <w:p>
      <w:pPr>
        <w:spacing w:before="160" w:after="40" w:line="240" w:lineRule="auto"/>
      </w:pPr>
      <w:r>
        <w:rPr>
          <w:b/>
        </w:rPr>
        <w:t xml:space="preserve">[179] </w:t>
      </w:r>
      <w:hyperlink r:id="rId599">
        <w:r>
          <w:rPr>
            <w:color w:val="1155CC"/>
            <w:u w:val="single"/>
          </w:rPr>
          <w:t>Co3O4 短程 RhOx 和 CeOx 协同氧化还原催化 N2O 分解</w:t>
        </w:r>
      </w:hyperlink>
    </w:p>
    <w:p>
      <w:pPr>
        <w:spacing w:before="0" w:after="80"/>
      </w:pPr>
      <w:r>
        <w:rPr>
          <w:i/>
          <w:sz w:val="20"/>
        </w:rPr>
        <w:t>EN: Cooperative Redox Catalysis of N2O Decomposition by Short‐Range RhOx and CeOx Anchored to Co3O4</w:t>
      </w:r>
    </w:p>
    <w:p>
      <w:pPr>
        <w:spacing w:before="0" w:after="120"/>
      </w:pPr>
      <w:r>
        <w:rPr>
          <w:b/>
        </w:rPr>
        <w:t xml:space="preserve">Source: </w:t>
      </w:r>
      <w:r>
        <w:t>Wiley: Angewandte Chemie International Edition: Table of Contents</w:t>
      </w:r>
      <w:r>
        <w:t xml:space="preserve">    </w:t>
      </w:r>
      <w:r>
        <w:rPr>
          <w:b/>
        </w:rPr>
        <w:t xml:space="preserve">Pub date: </w:t>
      </w:r>
      <w:r>
        <w:t>2026-06-23 07:40:04+00:00</w:t>
      </w:r>
      <w:r>
        <w:t xml:space="preserve">    </w:t>
      </w:r>
      <w:r>
        <w:rPr>
          <w:b/>
        </w:rPr>
        <w:t xml:space="preserve">DOI: </w:t>
      </w:r>
      <w:hyperlink r:id="rId600">
        <w:r>
          <w:rPr>
            <w:color w:val="1155CC"/>
            <w:u w:val="single"/>
          </w:rPr>
          <w:t>10.1002/anie.7890563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基于混合金属氧化物的杂化材料提供了一种通过氧化还原诱导的界面工程来提高催化性能的有效策略。在此，我们提出了一种高效的 N2 催化剂</w:t>
      </w:r>
      <w:r>
        <w:rPr>
          <w:vertAlign w:val="subscript"/>
        </w:rPr>
        <w:t>2</w:t>
      </w:r>
      <w:r>
        <w:t>含有短程有序RhO的O分解</w:t>
      </w:r>
      <w:r>
        <w:t xml:space="preserve"> </w:t>
      </w:r>
      <w:r>
        <w:t>x</w:t>
      </w:r>
      <w:r>
        <w:t xml:space="preserve"> </w:t>
      </w:r>
      <w:r>
        <w:t>和氧化铈</w:t>
      </w:r>
      <w:r>
        <w:t xml:space="preserve"> </w:t>
      </w:r>
      <w:r>
        <w:t>x</w:t>
      </w:r>
      <w:r>
        <w:t xml:space="preserve"> </w:t>
      </w:r>
      <w:r>
        <w:t>锚定于 Co 的物种</w:t>
      </w:r>
      <w:r>
        <w:rPr>
          <w:vertAlign w:val="subscript"/>
        </w:rPr>
        <w:t>3</w:t>
      </w:r>
      <w:r>
        <w:t>氧</w:t>
      </w:r>
      <w:r>
        <w:rPr>
          <w:vertAlign w:val="subscript"/>
        </w:rPr>
        <w:t>4</w:t>
      </w:r>
      <w:r>
        <w:t>尖晶石。相对于Co的活性增强</w:t>
      </w:r>
      <w:r>
        <w:rPr>
          <w:vertAlign w:val="subscript"/>
        </w:rPr>
        <w:t>3</w:t>
      </w:r>
      <w:r>
        <w:t>氧</w:t>
      </w:r>
      <w:r>
        <w:rPr>
          <w:vertAlign w:val="subscript"/>
        </w:rPr>
        <w:t>4</w:t>
      </w:r>
      <w:r>
        <w:t>相对于 RhO 是非加和性的</w:t>
      </w:r>
      <w:r>
        <w:t xml:space="preserve"> </w:t>
      </w:r>
      <w:r>
        <w:t>x</w:t>
      </w:r>
      <w:r>
        <w:t xml:space="preserve"> </w:t>
      </w:r>
      <w:r>
        <w:t>/钴</w:t>
      </w:r>
      <w:r>
        <w:rPr>
          <w:vertAlign w:val="subscript"/>
        </w:rPr>
        <w:t>3</w:t>
      </w:r>
      <w:r>
        <w:t>氧</w:t>
      </w:r>
      <w:r>
        <w:rPr>
          <w:vertAlign w:val="subscript"/>
        </w:rPr>
        <w:t>4</w:t>
      </w:r>
      <w:r>
        <w:t>和氧化铈</w:t>
      </w:r>
      <w:r>
        <w:t xml:space="preserve"> </w:t>
      </w:r>
      <w:r>
        <w:t>x</w:t>
      </w:r>
      <w:r>
        <w:t xml:space="preserve"> </w:t>
      </w:r>
      <w:r>
        <w:t>/钴</w:t>
      </w:r>
      <w:r>
        <w:rPr>
          <w:vertAlign w:val="subscript"/>
        </w:rPr>
        <w:t>3</w:t>
      </w:r>
      <w:r>
        <w:t>氧</w:t>
      </w:r>
      <w:r>
        <w:rPr>
          <w:vertAlign w:val="subscript"/>
        </w:rPr>
        <w:t>4</w:t>
      </w:r>
      <w:r>
        <w:t>界面，并且与协同 Rh-O-Co-O-Ce 界面上 Co 和 Rh 氧化态的调节有独特的联系。该整体提供了更高的氧化还原灵活性并促进了晶格氧活化，从而显着增强了 N</w:t>
      </w:r>
      <w:r>
        <w:rPr>
          <w:vertAlign w:val="subscript"/>
        </w:rPr>
        <w:t>2</w:t>
      </w:r>
      <w:r>
        <w:t>O分解。动力学分析和</w:t>
      </w:r>
      <w:r>
        <w:t xml:space="preserve"> </w:t>
      </w:r>
      <w:r>
        <w:t>操作</w:t>
      </w:r>
      <w:r>
        <w:t xml:space="preserve"> </w:t>
      </w:r>
      <w:r>
        <w:t>调制激发X射线吸收光谱</w:t>
      </w:r>
    </w:p>
    <w:p>
      <w:pPr>
        <w:spacing w:before="0" w:after="200" w:lineRule="auto" w:line="276"/>
      </w:pPr>
      <w:r>
        <w:rPr>
          <w:b/>
        </w:rPr>
        <w:t xml:space="preserve">Abstract (EN): </w:t>
      </w:r>
      <w:r>
        <w:t>Hybrid materials based upon mixed metal oxides provide an effective strategy to boost catalytic performance through redox‐induced interfacial engineering. Herein, we present an efficient catalyst toward N</w:t>
      </w:r>
      <w:r>
        <w:rPr>
          <w:vertAlign w:val="subscript"/>
        </w:rPr>
        <w:t>2</w:t>
      </w:r>
      <w:r>
        <w:t>O decomposition containing short‐range ordered RhO</w:t>
      </w:r>
      <w:r>
        <w:t xml:space="preserve"> </w:t>
      </w:r>
      <w:r>
        <w:t>x</w:t>
      </w:r>
      <w:r>
        <w:t xml:space="preserve"> </w:t>
      </w:r>
      <w:r>
        <w:t>and CeO</w:t>
      </w:r>
      <w:r>
        <w:t xml:space="preserve"> </w:t>
      </w:r>
      <w:r>
        <w:t>x</w:t>
      </w:r>
      <w:r>
        <w:t xml:space="preserve"> </w:t>
      </w:r>
      <w:r>
        <w:t>species anchored to the Co</w:t>
      </w:r>
      <w:r>
        <w:rPr>
          <w:vertAlign w:val="subscript"/>
        </w:rPr>
        <w:t>3</w:t>
      </w:r>
      <w:r>
        <w:t>O</w:t>
      </w:r>
      <w:r>
        <w:rPr>
          <w:vertAlign w:val="subscript"/>
        </w:rPr>
        <w:t>4</w:t>
      </w:r>
      <w:r>
        <w:t>spinel. The activity enhancement relative to Co</w:t>
      </w:r>
      <w:r>
        <w:rPr>
          <w:vertAlign w:val="subscript"/>
        </w:rPr>
        <w:t>3</w:t>
      </w:r>
      <w:r>
        <w:t>O</w:t>
      </w:r>
      <w:r>
        <w:rPr>
          <w:vertAlign w:val="subscript"/>
        </w:rPr>
        <w:t>4</w:t>
      </w:r>
      <w:r>
        <w:t>is non‐additive with respect to the RhO</w:t>
      </w:r>
      <w:r>
        <w:t xml:space="preserve"> </w:t>
      </w:r>
      <w:r>
        <w:t>x</w:t>
      </w:r>
      <w:r>
        <w:t xml:space="preserve"> </w:t>
      </w:r>
      <w:r>
        <w:t>/Co</w:t>
      </w:r>
      <w:r>
        <w:rPr>
          <w:vertAlign w:val="subscript"/>
        </w:rPr>
        <w:t>3</w:t>
      </w:r>
      <w:r>
        <w:t>O</w:t>
      </w:r>
      <w:r>
        <w:rPr>
          <w:vertAlign w:val="subscript"/>
        </w:rPr>
        <w:t>4</w:t>
      </w:r>
      <w:r>
        <w:t>and CeO</w:t>
      </w:r>
      <w:r>
        <w:t xml:space="preserve"> </w:t>
      </w:r>
      <w:r>
        <w:t>x</w:t>
      </w:r>
      <w:r>
        <w:t xml:space="preserve"> </w:t>
      </w:r>
      <w:r>
        <w:t>/Co</w:t>
      </w:r>
      <w:r>
        <w:rPr>
          <w:vertAlign w:val="subscript"/>
        </w:rPr>
        <w:t>3</w:t>
      </w:r>
      <w:r>
        <w:t>O</w:t>
      </w:r>
      <w:r>
        <w:rPr>
          <w:vertAlign w:val="subscript"/>
        </w:rPr>
        <w:t>4</w:t>
      </w:r>
      <w:r>
        <w:t>interfaces and is uniquely linked to the modulation of the Co and Rh oxidation states at a synergistic Rh–O–Co–O–Ce interface. This ensemble provides increased redox flexibility and facilitated lattice oxygen activation, resulting in markedly enhanced N</w:t>
      </w:r>
      <w:r>
        <w:rPr>
          <w:vertAlign w:val="subscript"/>
        </w:rPr>
        <w:t>2</w:t>
      </w:r>
      <w:r>
        <w:t>O decomposition. Kinetic analysis and</w:t>
      </w:r>
      <w:r>
        <w:t xml:space="preserve"> </w:t>
      </w:r>
      <w:r>
        <w:t>operando</w:t>
      </w:r>
      <w:r>
        <w:t xml:space="preserve"> </w:t>
      </w:r>
      <w:r>
        <w:t>modulated excitation x‐ray absorption spectroscopy (ME‐XAS) provide direct mechanistic evidence that N</w:t>
      </w:r>
      <w:r>
        <w:rPr>
          <w:vertAlign w:val="subscript"/>
        </w:rPr>
        <w:t>2</w:t>
      </w:r>
      <w:r>
        <w:t>O decomposition proceeds via a multi‐site, cooperative Mars‐van Krevelen pathway, in which Co</w:t>
      </w:r>
      <w:r>
        <w:rPr>
          <w:vertAlign w:val="subscript"/>
        </w:rPr>
        <w:t>3</w:t>
      </w:r>
      <w:r>
        <w:t>O</w:t>
      </w:r>
      <w:r>
        <w:rPr>
          <w:vertAlign w:val="subscript"/>
        </w:rPr>
        <w:t>4</w:t>
      </w:r>
      <w:r>
        <w:t>–CeO</w:t>
      </w:r>
      <w:r>
        <w:rPr>
          <w:vertAlign w:val="subscript"/>
        </w:rPr>
        <w:t>2</w:t>
      </w:r>
      <w:r>
        <w:t>acts as an oxygen reservoir enabling the redox cycling of RhO</w:t>
      </w:r>
      <w:r>
        <w:t xml:space="preserve"> </w:t>
      </w:r>
      <w:r>
        <w:t>x</w:t>
      </w:r>
      <w:r>
        <w:t xml:space="preserve"> </w:t>
      </w:r>
      <w:r>
        <w:t>species. This study highlights the ability of mixed metal oxide catalysts to exploit interfacial effects to achieve improved activity in redox‐mediated reactions and offers a rationale for the engineering of metal oxide–metal oxide catalysts guided by</w:t>
      </w:r>
      <w:r>
        <w:t xml:space="preserve"> </w:t>
      </w:r>
      <w:r>
        <w:t>operando</w:t>
      </w:r>
      <w:r>
        <w:t xml:space="preserve"> </w:t>
      </w:r>
      <w:r>
        <w:t>spectroscopy.</w:t>
      </w:r>
    </w:p>
    <w:p>
      <w:pPr>
        <w:spacing w:before="120" w:after="120"/>
      </w:pPr>
      <w:r>
        <w:rPr>
          <w:sz w:val="18"/>
        </w:rPr>
        <w:t>——————————————————————————————————————————————————————————————————————</w:t>
      </w:r>
    </w:p>
    <w:p>
      <w:pPr>
        <w:spacing w:before="160" w:after="40" w:line="240" w:lineRule="auto"/>
      </w:pPr>
      <w:r>
        <w:rPr>
          <w:b/>
        </w:rPr>
        <w:t xml:space="preserve">[180] </w:t>
      </w:r>
      <w:hyperlink r:id="rId601">
        <w:r>
          <w:rPr>
            <w:color w:val="1155CC"/>
            <w:u w:val="single"/>
          </w:rPr>
          <w:t>用于靶向化学免疫代谢癌症治疗的肿瘤特异性前药的铂（IV）金属缝合方法</w:t>
        </w:r>
      </w:hyperlink>
    </w:p>
    <w:p>
      <w:pPr>
        <w:spacing w:before="0" w:after="80"/>
      </w:pPr>
      <w:r>
        <w:rPr>
          <w:i/>
          <w:sz w:val="20"/>
        </w:rPr>
        <w:t>EN: A Platinum(IV) Metallo‐Stapling Approach to Tumor‐Specific Prodrugs for Targeted Chemo‐Immunometabolic Cancer Therapy</w:t>
      </w:r>
    </w:p>
    <w:p>
      <w:pPr>
        <w:spacing w:before="0" w:after="120"/>
      </w:pPr>
      <w:r>
        <w:rPr>
          <w:b/>
        </w:rPr>
        <w:t xml:space="preserve">Source: </w:t>
      </w:r>
      <w:r>
        <w:t>Wiley: Angewandte Chemie International Edition: Table of Contents</w:t>
      </w:r>
      <w:r>
        <w:t xml:space="preserve">    </w:t>
      </w:r>
      <w:r>
        <w:rPr>
          <w:b/>
        </w:rPr>
        <w:t xml:space="preserve">Pub date: </w:t>
      </w:r>
      <w:r>
        <w:t>2026-06-23 07:46:33+00:00</w:t>
      </w:r>
      <w:r>
        <w:t xml:space="preserve">    </w:t>
      </w:r>
      <w:r>
        <w:rPr>
          <w:b/>
        </w:rPr>
        <w:t xml:space="preserve">DOI: </w:t>
      </w:r>
      <w:hyperlink r:id="rId602">
        <w:r>
          <w:rPr>
            <w:color w:val="1155CC"/>
            <w:u w:val="single"/>
          </w:rPr>
          <w:t>10.1002/anie.8875420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经典金属药物的临床应用因肿瘤选择性不足和全身毒性而受到限制。铂类化疗药物虽然是肿瘤学的基础，但由于它们对癌细胞和健康细胞不加区别的作用，导致有害的副作用，因此体现了这一挑战。受金属蛋白中多功能配位化学的启发，我们开发了一种基于铂（IV）的金属钉合策略来构建肿瘤特异性金属前药。这种方法利用 Pt(IV) 复合物作为化疗剂和结构主食，使表皮生长因子受体 (EGFR) 靶向配体在构象上刚性化。由此产生的大环金属前药表现出对 EGFR 过度表达的恶性肿瘤的精确靶向，由于大环结构赋予的卓越的代谢稳定性和有效的受体介导的摄取，体内肿瘤铂积累比母体 Pt(II) 复合物高 7 倍，比其线性对应物高 5 倍。到达肿瘤微环境后，该构建体经历双有效负载释放，以释放铂类药物和 IDO-1 抑制剂 NLG919，引发强大的免疫原性细胞死亡级联反应，同时逆转免疫抑制。此外，与 aPD-L1 免疫检查点阻断相结合可产生显着的协同抗肿瘤反应。这项工作将 Pt(IV) 导向的金属吻合术建立为精准癌症治疗的多功能平台，为化学治疗提供了一种通用的策略。</w:t>
      </w:r>
    </w:p>
    <w:p>
      <w:pPr>
        <w:spacing w:before="0" w:after="200" w:lineRule="auto" w:line="276"/>
      </w:pPr>
      <w:r>
        <w:rPr>
          <w:b/>
        </w:rPr>
        <w:t xml:space="preserve">Abstract (EN): </w:t>
      </w:r>
      <w:r>
        <w:t>The clinical utility of classical metallodrugs is limited by insufficient tumor selectivity and systemic toxicity. Platinum‐based chemotherapeutics, while foundational in oncology, exemplify this challenge because of their indiscriminate action on both cancerous and healthy cells, leading to detrimental side effects. Inspired by the versatile coordination chemistry in metalloproteins, we developed a platinum(IV)‐based metallo‐stapling strategy to construct tumor‐specific metalloprodrugs. This approach leverages the Pt(IV) complex dually as a chemotherapeutic agent and a structural staple that conformationally rigidifies an epidermal growth factor receptor (EGFR)‐targeting ligand. The resultant macrocyclic metalloprodrug exhibits precise targeting of EGFR‐overexpressing malignancies, achieving in vivo tumor platinum accumulation 7‐fold higher than the parent Pt(II) complex and 5‐fold greater than its linear counterpart due to superior metabolic stability and efficient receptor‐mediated uptake conferred by the macrocyclic architecture. Upon reaching the tumor microenvironment, the construct undergoes dual‐payload release to liberate platinum drug and the IDO‐1 inhibitor NLG919, eliciting a robust immunogenic cell death cascade while simultaneously reversing immunosuppression. Furthermore, a combination with an aPD‐L1 immune checkpoint blockade produces a marked synergistic antitumor response. This work establishes Pt(IV)‐directed metallo‐stapling as a versatile platform for precision cancer therapy, offering a generalizable strategy to chemically engineer a broad range of metalloprodrugs with enhanced tumor selectivity and biosafety.</w:t>
      </w:r>
    </w:p>
    <w:p>
      <w:pPr>
        <w:spacing w:before="120" w:after="120"/>
      </w:pPr>
      <w:r>
        <w:rPr>
          <w:sz w:val="18"/>
        </w:rPr>
        <w:t>——————————————————————————————————————————————————————————————————————</w:t>
      </w:r>
    </w:p>
    <w:p>
      <w:pPr>
        <w:spacing w:before="160" w:after="40" w:line="240" w:lineRule="auto"/>
      </w:pPr>
      <w:r>
        <w:rPr>
          <w:b/>
        </w:rPr>
        <w:t xml:space="preserve">[181] </w:t>
      </w:r>
      <w:hyperlink r:id="rId603">
        <w:r>
          <w:rPr>
            <w:color w:val="1155CC"/>
            <w:u w:val="single"/>
          </w:rPr>
          <w:t>具有糖苷水解酶活性的双金属节点占据的 MOF 可有效水解细菌生物膜</w:t>
        </w:r>
      </w:hyperlink>
    </w:p>
    <w:p>
      <w:pPr>
        <w:spacing w:before="0" w:after="80"/>
      </w:pPr>
      <w:r>
        <w:rPr>
          <w:i/>
          <w:sz w:val="20"/>
        </w:rPr>
        <w:t>EN: Bimetallic‐Node‐Occupied MOF With Glycoside Hydrolase Activity for Efficient Bacterial Biofilm Hydrolysis</w:t>
      </w:r>
    </w:p>
    <w:p>
      <w:pPr>
        <w:spacing w:before="0" w:after="120"/>
      </w:pPr>
      <w:r>
        <w:rPr>
          <w:b/>
        </w:rPr>
        <w:t xml:space="preserve">Source: </w:t>
      </w:r>
      <w:r>
        <w:t>Wiley: Angewandte Chemie International Edition: Table of Contents</w:t>
      </w:r>
      <w:r>
        <w:t xml:space="preserve">    </w:t>
      </w:r>
      <w:r>
        <w:rPr>
          <w:b/>
        </w:rPr>
        <w:t xml:space="preserve">Pub date: </w:t>
      </w:r>
      <w:r>
        <w:t>2026-06-23 07:49:39+00:00</w:t>
      </w:r>
      <w:r>
        <w:t xml:space="preserve">    </w:t>
      </w:r>
      <w:r>
        <w:rPr>
          <w:b/>
        </w:rPr>
        <w:t xml:space="preserve">DOI: </w:t>
      </w:r>
      <w:hyperlink r:id="rId604">
        <w:r>
          <w:rPr>
            <w:color w:val="1155CC"/>
            <w:u w:val="single"/>
          </w:rPr>
          <w:t>10.1002/anie.9481237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人工合成化合物来模拟天然酶的催化功能并研究其潜在机制是一项具有挑战性的工作。 由于涉及复杂的立体化学和反应机制，糖苷水解酶模拟物的开发遇到了重大障碍。金属有机框架（MOF）因其有序的结构和精确控制活性位点的能力而成为人工酶的有前途的候选者。在此，合成了含有双金属节点的双金属 MOF（CZPDC）作为酶模拟物来水解糖苷分子。 X射线吸收近边缘结构证实了金属团簇节点中Ce和Zr的共存。 DFT计算揭示了CZPDC对Ce位点C2位上与C原子相连的带负电官能团的独特吸附行为，从而避免了糖苷原子和杂原子碳之间立体异构引起的选择性，使其适合于更复杂的多糖体系的降解。催化行为能够有效水解含有多个化学键的复杂生物组织，破坏细菌生物膜并杀死内部细菌。这些特性使得CZPDC在糖苷催化水解和细菌生物膜去除等领域具有强大的应用潜力。</w:t>
      </w:r>
    </w:p>
    <w:p>
      <w:pPr>
        <w:spacing w:before="0" w:after="200" w:lineRule="auto" w:line="276"/>
      </w:pPr>
      <w:r>
        <w:rPr>
          <w:b/>
        </w:rPr>
        <w:t xml:space="preserve">Abstract (EN): </w:t>
      </w:r>
      <w:r>
        <w:t>Artificial synthesis of compounds to mimic the catalytic functions of natural enzymes and investigate their underlying mechanisms is challenging work. The development of glycoside hydrolase mimics encounters significant obstacles due to the complex stereochemistry and reaction mechanisms involved. Metal–organic frameworks (MOFs) have become promising candidates for artificial enzymes due to their ordered structure and ability to precisely control the active sites. Herein, a bimetallic MOF (CZPDC) containing bimetallic nodes is synthesized as an enzyme mimic to hydrolyze glycosidic molecules. X‐ray absorption near‐edge structure confirms the coexistence of Ce and Zr in the metal cluster nodes. DFT calculations reveal the unique adsorption behavior of CZPDC toward the negatively charged functional group connected to the C atom at the C2 position on the Ce site, thereby avoiding the stereoisomerism‐induced selectivity between glycoside atoms and heteroatom carbons, making it suitable for the degradation of more complex polysaccharide systems. The catalytic behavior enables efficient hydrolysis of complex biological tissues containing multiple chemical bonds, disrupts bacterial biofilms, and kills internal bacteria. These characteristics endow CZPDC with strong potential for application in areas such as glycoside‐catalyzed hydrolysis and bacterial biofilm removal.</w:t>
      </w:r>
    </w:p>
    <w:p>
      <w:pPr>
        <w:spacing w:before="120" w:after="120"/>
      </w:pPr>
      <w:r>
        <w:rPr>
          <w:sz w:val="18"/>
        </w:rPr>
        <w:t>——————————————————————————————————————————————————————————————————————</w:t>
      </w:r>
    </w:p>
    <w:p>
      <w:pPr>
        <w:spacing w:before="160" w:after="40" w:line="240" w:lineRule="auto"/>
      </w:pPr>
      <w:r>
        <w:rPr>
          <w:b/>
        </w:rPr>
        <w:t xml:space="preserve">[182] </w:t>
      </w:r>
      <w:hyperlink r:id="rId605">
        <w:r>
          <w:rPr>
            <w:color w:val="1155CC"/>
            <w:u w:val="single"/>
          </w:rPr>
          <w:t>瞬时硼基协助实现无环四取代烯醇化物的立体选择性烷基化</w:t>
        </w:r>
      </w:hyperlink>
    </w:p>
    <w:p>
      <w:pPr>
        <w:spacing w:before="0" w:after="80"/>
      </w:pPr>
      <w:r>
        <w:rPr>
          <w:i/>
          <w:sz w:val="20"/>
        </w:rPr>
        <w:t>EN: Transient Boryl Assistance Enables Stereoselective Alkylation of Acyclic Tetrasubstituted Enolates</w:t>
      </w:r>
    </w:p>
    <w:p>
      <w:pPr>
        <w:spacing w:before="0" w:after="120"/>
      </w:pPr>
      <w:r>
        <w:rPr>
          <w:b/>
        </w:rPr>
        <w:t xml:space="preserve">Source: </w:t>
      </w:r>
      <w:r>
        <w:t>Wiley: Angewandte Chemie International Edition: Table of Contents</w:t>
      </w:r>
      <w:r>
        <w:t xml:space="preserve">    </w:t>
      </w:r>
      <w:r>
        <w:rPr>
          <w:b/>
        </w:rPr>
        <w:t xml:space="preserve">Pub date: </w:t>
      </w:r>
      <w:r>
        <w:t>2026-06-23 07:52:15+00:00</w:t>
      </w:r>
      <w:r>
        <w:t xml:space="preserve">    </w:t>
      </w:r>
      <w:r>
        <w:rPr>
          <w:b/>
        </w:rPr>
        <w:t xml:space="preserve">DOI: </w:t>
      </w:r>
      <w:hyperlink r:id="rId606">
        <w:r>
          <w:rPr>
            <w:color w:val="1155CC"/>
            <w:u w:val="single"/>
          </w:rPr>
          <w:t>10.1002/anie.2461107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环季碳立体中心和邻位季/叔立体中心的对映选择性构建代表了有机合成中的两个持续挑战。在此，我们报告了一种统一的瞬态硼基辅助的催化对映选择性策略，该策略能够合成分离的季碳立体中心和邻位四级/三级立体中心。该策略的核心是硼基组织的立体定义的无环四取代烯醇化物及其随后的立体选择性烷基化，这是通过高度对映选择性的铜催化的共轭硼基化来实现的</w:t>
      </w:r>
      <w:r>
        <w:t xml:space="preserve"> </w:t>
      </w:r>
      <w:r>
        <w:t>α</w:t>
      </w:r>
      <w:r>
        <w:t xml:space="preserve"> </w:t>
      </w:r>
      <w:r>
        <w:t>‐取代的</w:t>
      </w:r>
      <w:r>
        <w:t xml:space="preserve"> </w:t>
      </w:r>
      <w:r>
        <w:t>α,β</w:t>
      </w:r>
      <w:r>
        <w:t xml:space="preserve"> </w:t>
      </w:r>
      <w:r>
        <w:t>‐不饱和酯。所得的硼基化烷基化产物具有高对映和非对映选择性（高达 98% ee 和 &gt; 20:1 d.r.），并经历硼基单元的多种下游转化，提供了获得无环四级/三级立构中心的多种途径。在其立体定向作用之后，硼单元可以在一锅原脱硼中去除，以提供带有隔离的酯</w:t>
      </w:r>
      <w:r>
        <w:t xml:space="preserve"> </w:t>
      </w:r>
      <w:r>
        <w:t>α</w:t>
      </w:r>
      <w:r>
        <w:t xml:space="preserve"> </w:t>
      </w:r>
      <w:r>
        <w:t>‐具有高 ee 值（高达 94% ee）的四元立构中心。这种催化策略为无环四取代烯醇化物的立体控制烷基化提供了通用解决方案，并能够模块化地获得复杂的季碳结构。</w:t>
      </w:r>
    </w:p>
    <w:p>
      <w:pPr>
        <w:spacing w:before="0" w:after="200" w:lineRule="auto" w:line="276"/>
      </w:pPr>
      <w:r>
        <w:rPr>
          <w:b/>
        </w:rPr>
        <w:t xml:space="preserve">Abstract (EN): </w:t>
      </w:r>
      <w:r>
        <w:t>The enantioselective construction of acyclic quaternary carbon stereocenters and vicinal quaternary/tertiary stereocenters represents two persistent challenges in organic synthesis. Herein, we report a unified transient boryl‐assisted, catalytic enantioselective strategy that enables the synthesis of both isolated quaternary carbon stereocenters and vicinal quaternary/tertiary stereocenters. Central to this strategy are the boryl‐organized stereodefined acyclic tetrasubstituted enolates and their subsequent stereoselective alkylation, achieved through highly enantioselective copper‐catalyzed conjugate borylation of</w:t>
      </w:r>
      <w:r>
        <w:t xml:space="preserve"> </w:t>
      </w:r>
      <w:r>
        <w:t>α</w:t>
      </w:r>
      <w:r>
        <w:t xml:space="preserve"> </w:t>
      </w:r>
      <w:r>
        <w:t>‐substituted</w:t>
      </w:r>
      <w:r>
        <w:t xml:space="preserve"> </w:t>
      </w:r>
      <w:r>
        <w:t>α,β</w:t>
      </w:r>
      <w:r>
        <w:t xml:space="preserve"> </w:t>
      </w:r>
      <w:r>
        <w:t>‐unsaturated esters. The resulting borylative alkylation products are obtained with high enantio‐ and diastereoselectivity (up to 98% ee and &amp;gt; 20:1 d.r.) and undergo diverse downstream transformations of the boryl unit, providing versatile access to acyclic quaternary/tertiary stereocenters. Following its stereodirecting role, the boron unit can be removed in a one‐pot protodeboronation to furnish esters bearing isolated</w:t>
      </w:r>
      <w:r>
        <w:t xml:space="preserve"> </w:t>
      </w:r>
      <w:r>
        <w:t>α</w:t>
      </w:r>
      <w:r>
        <w:t xml:space="preserve"> </w:t>
      </w:r>
      <w:r>
        <w:t>‐quaternary stereocenters with high ee values (up to 94% ee). This catalytic strategy provides a general solution to the stereocontrolled alkylation of acyclic tetrasubstituted enolates and enables modular access to complex quaternary carbon architectures.</w:t>
      </w:r>
    </w:p>
    <w:p>
      <w:pPr>
        <w:spacing w:before="120" w:after="120"/>
      </w:pPr>
      <w:r>
        <w:rPr>
          <w:sz w:val="18"/>
        </w:rPr>
        <w:t>——————————————————————————————————————————————————————————————————————</w:t>
      </w:r>
    </w:p>
    <w:p>
      <w:pPr>
        <w:spacing w:before="160" w:after="40" w:line="240" w:lineRule="auto"/>
      </w:pPr>
      <w:r>
        <w:rPr>
          <w:b/>
        </w:rPr>
        <w:t xml:space="preserve">[183] </w:t>
      </w:r>
      <w:hyperlink r:id="rId607">
        <w:r>
          <w:rPr>
            <w:color w:val="1155CC"/>
            <w:u w:val="single"/>
          </w:rPr>
          <w:t>对“基于聚（2-恶唑啉）的功能性肽模拟物：根除 MRSA 感染和持续存在，同时减轻抗菌素耐药性”的更正</w:t>
        </w:r>
      </w:hyperlink>
    </w:p>
    <w:p>
      <w:pPr>
        <w:spacing w:before="0" w:after="80"/>
      </w:pPr>
      <w:r>
        <w:rPr>
          <w:i/>
          <w:sz w:val="20"/>
        </w:rPr>
        <w:t>EN: Correction to “Poly(2‐Oxazoline)‐Based Functional Peptide Mimics: Eradicating MRSA Infections and Persisters While Alleviating Antimicrobial Resistance”</w:t>
      </w:r>
    </w:p>
    <w:p>
      <w:pPr>
        <w:spacing w:before="0" w:after="120"/>
      </w:pPr>
      <w:r>
        <w:rPr>
          <w:b/>
        </w:rPr>
        <w:t xml:space="preserve">Source: </w:t>
      </w:r>
      <w:r>
        <w:t>Wiley: Angewandte Chemie International Edition: Table of Contents</w:t>
      </w:r>
      <w:r>
        <w:t xml:space="preserve">    </w:t>
      </w:r>
      <w:r>
        <w:rPr>
          <w:b/>
        </w:rPr>
        <w:t xml:space="preserve">Pub date: </w:t>
      </w:r>
      <w:r>
        <w:t>2026-06-23 07:53:10+00:00</w:t>
      </w:r>
      <w:r>
        <w:t xml:space="preserve">    </w:t>
      </w:r>
      <w:r>
        <w:rPr>
          <w:b/>
        </w:rPr>
        <w:t xml:space="preserve">DOI: </w:t>
      </w:r>
      <w:hyperlink r:id="rId608">
        <w:r>
          <w:rPr>
            <w:color w:val="1155CC"/>
            <w:u w:val="single"/>
          </w:rPr>
          <w:t>10.1002/anie.2444098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[184] </w:t>
      </w:r>
      <w:hyperlink r:id="rId609">
        <w:r>
          <w:rPr>
            <w:color w:val="1155CC"/>
            <w:u w:val="single"/>
          </w:rPr>
          <w:t>通过氮整合实现高发射双 π 螺旋分子碳</w:t>
        </w:r>
      </w:hyperlink>
    </w:p>
    <w:p>
      <w:pPr>
        <w:spacing w:before="0" w:after="80"/>
      </w:pPr>
      <w:r>
        <w:rPr>
          <w:i/>
          <w:sz w:val="20"/>
        </w:rPr>
        <w:t>EN: Highly Emissive Double π‐Helical Molecular Carbons via Nitrogen Integration</w:t>
      </w:r>
    </w:p>
    <w:p>
      <w:pPr>
        <w:spacing w:before="0" w:after="120"/>
      </w:pPr>
      <w:r>
        <w:rPr>
          <w:b/>
        </w:rPr>
        <w:t xml:space="preserve">Source: </w:t>
      </w:r>
      <w:r>
        <w:t>Wiley: Angewandte Chemie International Edition: Table of Contents</w:t>
      </w:r>
      <w:r>
        <w:t xml:space="preserve">    </w:t>
      </w:r>
      <w:r>
        <w:rPr>
          <w:b/>
        </w:rPr>
        <w:t xml:space="preserve">Pub date: </w:t>
      </w:r>
      <w:r>
        <w:t>2026-06-23 07:55:41+00:00</w:t>
      </w:r>
      <w:r>
        <w:t xml:space="preserve">    </w:t>
      </w:r>
      <w:r>
        <w:rPr>
          <w:b/>
        </w:rPr>
        <w:t xml:space="preserve">DOI: </w:t>
      </w:r>
      <w:hyperlink r:id="rId610">
        <w:r>
          <w:rPr>
            <w:color w:val="1155CC"/>
            <w:u w:val="single"/>
          </w:rPr>
          <w:t>10.1002/anie.6341370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提高手性π系统的发射效率对于其在材料科学中的实际应用具有重要意义。在此，我们报道了一系列具有环辛四亚苯基（COTt）或环八六亚苯基（COTh）核心的高发射双π螺旋分子碳。与之前报道的非发射四苯并-COTt衍生物相比，通过二芳胺/咔唑融合引入氮导致荧光量子产率高达98%。这些双 π 螺旋的高构型稳定性使得能够使用高效液相色谱成功地手性拆分其对映体。值得注意的是，从 COTt 到 COTh 核心的结构演化导致发光不对称因子增加了大约三倍（</w:t>
      </w:r>
      <w:r>
        <w:t xml:space="preserve"> </w:t>
      </w:r>
      <w:r>
        <w:t>克</w:t>
      </w:r>
      <w:r>
        <w:t xml:space="preserve"> </w:t>
      </w:r>
      <w:r>
        <w:t>卢姆</w:t>
      </w:r>
      <w:r>
        <w:t xml:space="preserve"> </w:t>
      </w:r>
      <w:r>
        <w:t>），而圆偏振发光（CPL）亮度达到110 M</w:t>
      </w:r>
      <w:r>
        <w:t xml:space="preserve"> </w:t>
      </w:r>
      <w:r>
        <w:t>−1</w:t>
      </w:r>
      <w:r>
        <w:t xml:space="preserve"> </w:t>
      </w:r>
      <w:r>
        <w:t>厘米</w:t>
      </w:r>
      <w:r>
        <w:t xml:space="preserve"> </w:t>
      </w:r>
      <w:r>
        <w:t>−1</w:t>
      </w:r>
      <w:r>
        <w:t xml:space="preserve"> </w:t>
      </w:r>
      <w:r>
        <w:t>，是基于环辛四烯（COT）的手性分子碳报道的最高值之一。理论计算进一步支持了这些结果，揭示了大的电跃迁偶极矩（</w:t>
      </w:r>
      <w:r>
        <w:t xml:space="preserve"> </w:t>
      </w:r>
      <w:r>
        <w:t>|</w:t>
      </w:r>
      <w:r>
        <w:t xml:space="preserve"> </w:t>
      </w:r>
      <w:r>
        <w:t>μ</w:t>
      </w:r>
      <w:r>
        <w:t xml:space="preserve"> </w:t>
      </w:r>
      <w:r>
        <w:t>|</w:t>
      </w:r>
      <w:r>
        <w:t xml:space="preserve"> </w:t>
      </w:r>
      <w:r>
        <w:t>）和完美的平行/反平行对齐</w:t>
      </w:r>
      <w:r>
        <w:t xml:space="preserve"> </w:t>
      </w:r>
      <w:r>
        <w:t>μ</w:t>
      </w:r>
      <w:r>
        <w:t xml:space="preserve"> </w:t>
      </w:r>
      <w:r>
        <w:t>和磁跃迁偶极矩</w:t>
      </w:r>
    </w:p>
    <w:p>
      <w:pPr>
        <w:spacing w:before="0" w:after="200" w:lineRule="auto" w:line="276"/>
      </w:pPr>
      <w:r>
        <w:rPr>
          <w:b/>
        </w:rPr>
        <w:t xml:space="preserve">Abstract (EN): </w:t>
      </w:r>
      <w:r>
        <w:t>Improving the emission efficiency of chiral π‐systems is of significance for their practical applications in materials science. Herein, we report a family of highly emissive double π‐helical molecular carbons featuring a cyclooctatetraphenylene (COTt) or cyclooctahexaphenylene (COTh) core. In contrast to previously reported non‐emissive tetrabenzo‐COTt derivatives, the introduction of nitrogen via diarylamine/carbazole fusion leads to fluorescence quantum yields as high as 98%. The high configurational stability of these double π‐helices enabled successful chiral resolution of their enantiomers using high‐performance liquid chromatography. Notably, structural evolution from the COTt to the COTh core results in an approximately three‐fold increase in the luminescence dissymmetry factor (</w:t>
      </w:r>
      <w:r>
        <w:t xml:space="preserve"> </w:t>
      </w:r>
      <w:r>
        <w:t>g</w:t>
      </w:r>
      <w:r>
        <w:t xml:space="preserve"> </w:t>
      </w:r>
      <w:r>
        <w:t>lum</w:t>
      </w:r>
      <w:r>
        <w:t xml:space="preserve"> </w:t>
      </w:r>
      <w:r>
        <w:t>), while the circularly polarized luminescence (CPL) brightness reached 110 M</w:t>
      </w:r>
      <w:r>
        <w:t xml:space="preserve"> </w:t>
      </w:r>
      <w:r>
        <w:t>−1</w:t>
      </w:r>
      <w:r>
        <w:t xml:space="preserve"> </w:t>
      </w:r>
      <w:r>
        <w:t>cm</w:t>
      </w:r>
      <w:r>
        <w:t xml:space="preserve"> </w:t>
      </w:r>
      <w:r>
        <w:t>−1</w:t>
      </w:r>
      <w:r>
        <w:t xml:space="preserve"> </w:t>
      </w:r>
      <w:r>
        <w:t>, among the highest values reported for cyclooctatetraene (COT)‐based chiral molecular carbons. Theoretical calculations further support these results, revealing large electric transition dipole moments (</w:t>
      </w:r>
      <w:r>
        <w:t xml:space="preserve"> </w:t>
      </w:r>
      <w:r>
        <w:t>|</w:t>
      </w:r>
      <w:r>
        <w:t xml:space="preserve"> </w:t>
      </w:r>
      <w:r>
        <w:t>μ</w:t>
      </w:r>
      <w:r>
        <w:t xml:space="preserve"> </w:t>
      </w:r>
      <w:r>
        <w:t>|</w:t>
      </w:r>
      <w:r>
        <w:t xml:space="preserve"> </w:t>
      </w:r>
      <w:r>
        <w:t>) and perfect parallel/antiparallel alignment between the</w:t>
      </w:r>
      <w:r>
        <w:t xml:space="preserve"> </w:t>
      </w:r>
      <w:r>
        <w:t>μ</w:t>
      </w:r>
      <w:r>
        <w:t xml:space="preserve"> </w:t>
      </w:r>
      <w:r>
        <w:t>and magnetic transition dipole moments (</w:t>
      </w:r>
      <w:r>
        <w:t xml:space="preserve"> </w:t>
      </w:r>
      <w:r>
        <w:t>m</w:t>
      </w:r>
      <w:r>
        <w:t xml:space="preserve"> </w:t>
      </w:r>
      <w:r>
        <w:t>). Our work provides valuable insight into the molecular design of high luminescent chiral emitters.</w:t>
      </w:r>
    </w:p>
    <w:p>
      <w:pPr>
        <w:spacing w:before="120" w:after="120"/>
      </w:pPr>
      <w:r>
        <w:rPr>
          <w:sz w:val="18"/>
        </w:rPr>
        <w:t>——————————————————————————————————————————————————————————————————————</w:t>
      </w:r>
    </w:p>
    <w:p>
      <w:pPr>
        <w:spacing w:before="160" w:after="40" w:line="240" w:lineRule="auto"/>
      </w:pPr>
      <w:r>
        <w:rPr>
          <w:b/>
        </w:rPr>
        <w:t xml:space="preserve">[185] </w:t>
      </w:r>
      <w:hyperlink r:id="rId611">
        <w:r>
          <w:rPr>
            <w:color w:val="1155CC"/>
            <w:u w:val="single"/>
          </w:rPr>
          <w:t>大肠杆菌 O29、痢疾志贺氏菌血清型 11 和普通变形杆菌 O12 O 抗原寡糖的化学合成和免疫学评价</w:t>
        </w:r>
      </w:hyperlink>
    </w:p>
    <w:p>
      <w:pPr>
        <w:spacing w:before="0" w:after="80"/>
      </w:pPr>
      <w:r>
        <w:rPr>
          <w:i/>
          <w:sz w:val="20"/>
        </w:rPr>
        <w:t>EN: Chemical Synthesis and Immunological Evaluation of Escherichia coli O29, Shigella dysenteriae Serotype 11, and Proteus vulgaris O12 O‐Antigen Oligosaccharides</w:t>
      </w:r>
    </w:p>
    <w:p>
      <w:pPr>
        <w:spacing w:before="0" w:after="120"/>
      </w:pPr>
      <w:r>
        <w:rPr>
          <w:b/>
        </w:rPr>
        <w:t xml:space="preserve">Source: </w:t>
      </w:r>
      <w:r>
        <w:t>Wiley: Angewandte Chemie International Edition: Table of Contents</w:t>
      </w:r>
      <w:r>
        <w:t xml:space="preserve">    </w:t>
      </w:r>
      <w:r>
        <w:rPr>
          <w:b/>
        </w:rPr>
        <w:t xml:space="preserve">Pub date: </w:t>
      </w:r>
      <w:r>
        <w:t>2026-06-23 07:58:29+00:00</w:t>
      </w:r>
      <w:r>
        <w:t xml:space="preserve">    </w:t>
      </w:r>
      <w:r>
        <w:rPr>
          <w:b/>
        </w:rPr>
        <w:t xml:space="preserve">DOI: </w:t>
      </w:r>
      <w:hyperlink r:id="rId612">
        <w:r>
          <w:rPr>
            <w:color w:val="1155CC"/>
            <w:u w:val="single"/>
          </w:rPr>
          <w:t>10.1002/anie.5838072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大肠杆菌</w:t>
      </w:r>
      <w:r>
        <w:t xml:space="preserve"> </w:t>
      </w:r>
      <w:r>
        <w:t>（</w:t>
      </w:r>
      <w:r>
        <w:t xml:space="preserve"> </w:t>
      </w:r>
      <w:r>
        <w:t>大肠杆菌</w:t>
      </w:r>
      <w:r>
        <w:t xml:space="preserve"> </w:t>
      </w:r>
      <w:r>
        <w:t>),</w:t>
      </w:r>
      <w:r>
        <w:t xml:space="preserve"> </w:t>
      </w:r>
      <w:r>
        <w:t>痢疾志贺氏菌</w:t>
      </w:r>
      <w:r>
        <w:t xml:space="preserve"> </w:t>
      </w:r>
      <w:r>
        <w:t>（</w:t>
      </w:r>
      <w:r>
        <w:t xml:space="preserve"> </w:t>
      </w:r>
      <w:r>
        <w:t>痢疾链球菌</w:t>
      </w:r>
      <w:r>
        <w:t xml:space="preserve"> </w:t>
      </w:r>
      <w:r>
        <w:t>），以及</w:t>
      </w:r>
      <w:r>
        <w:t xml:space="preserve"> </w:t>
      </w:r>
      <w:r>
        <w:t>普通变形杆菌</w:t>
      </w:r>
      <w:r>
        <w:t xml:space="preserve"> </w:t>
      </w:r>
      <w:r>
        <w:t>（</w:t>
      </w:r>
      <w:r>
        <w:t xml:space="preserve"> </w:t>
      </w:r>
      <w:r>
        <w:t>普通假单胞菌</w:t>
      </w:r>
      <w:r>
        <w:t xml:space="preserve"> </w:t>
      </w:r>
      <w:r>
        <w:t>）是许多国家导致死亡和疾病的主要原因。疫苗是对抗细菌感染的经济且有效的工具。在此，我们首次提出了该药物的全合成和免疫学评价。</w:t>
      </w:r>
      <w:r>
        <w:t xml:space="preserve"> </w:t>
      </w:r>
      <w:r>
        <w:t>大肠杆菌</w:t>
      </w:r>
      <w:r>
        <w:t xml:space="preserve"> </w:t>
      </w:r>
      <w:r>
        <w:t>O29,</w:t>
      </w:r>
      <w:r>
        <w:t xml:space="preserve"> </w:t>
      </w:r>
      <w:r>
        <w:t>痢疾链球菌</w:t>
      </w:r>
      <w:r>
        <w:t xml:space="preserve"> </w:t>
      </w:r>
      <w:r>
        <w:t>血清型11，和</w:t>
      </w:r>
      <w:r>
        <w:t xml:space="preserve"> </w:t>
      </w:r>
      <w:r>
        <w:t>普通假单胞菌</w:t>
      </w:r>
      <w:r>
        <w:t xml:space="preserve"> </w:t>
      </w:r>
      <w:r>
        <w:t>O12 O-抗原十糖、五糖和相关寡糖片段。我们发现六糖（包括核心三糖的两个重复单元）是最佳表位，它与载体蛋白 CRM197 缀合以提供半合成糖缀合物疫苗。糖复合物疫苗诱导了强烈的抗原特异性免疫反应，抗体血清可以识别表面O抗原</w:t>
      </w:r>
      <w:r>
        <w:t xml:space="preserve"> </w:t>
      </w:r>
      <w:r>
        <w:t>大肠杆菌</w:t>
      </w:r>
      <w:r>
        <w:t xml:space="preserve"> </w:t>
      </w:r>
      <w:r>
        <w:t>O29。这种复合糖疫苗包含常见的三糖片段，存在于许多细菌 O 抗原中，可进一步用作潜在的广谱疫苗</w:t>
      </w:r>
      <w:r>
        <w:t xml:space="preserve"> </w:t>
      </w:r>
      <w:r>
        <w:t>大肠杆菌</w:t>
      </w:r>
      <w:r>
        <w:t xml:space="preserve"> </w:t>
      </w:r>
      <w:r>
        <w:t>,</w:t>
      </w:r>
      <w:r>
        <w:t xml:space="preserve"> </w:t>
      </w:r>
      <w:r>
        <w:t>痢疾链球菌</w:t>
      </w:r>
      <w:r>
        <w:t xml:space="preserve"> </w:t>
      </w:r>
      <w:r>
        <w:t>,</w:t>
      </w:r>
      <w:r>
        <w:t xml:space="preserve"> </w:t>
      </w:r>
      <w:r>
        <w:t>普通假单胞菌</w:t>
      </w:r>
    </w:p>
    <w:p>
      <w:pPr>
        <w:spacing w:before="0" w:after="200" w:lineRule="auto" w:line="276"/>
      </w:pPr>
      <w:r>
        <w:rPr>
          <w:b/>
        </w:rPr>
        <w:t xml:space="preserve">Abstract (EN): </w:t>
      </w:r>
      <w:r>
        <w:t>Escherichia coli</w:t>
      </w:r>
      <w:r>
        <w:t xml:space="preserve"> </w:t>
      </w:r>
      <w:r>
        <w:t>(</w:t>
      </w:r>
      <w:r>
        <w:t xml:space="preserve"> </w:t>
      </w:r>
      <w:r>
        <w:t>E. coli</w:t>
      </w:r>
      <w:r>
        <w:t xml:space="preserve"> </w:t>
      </w:r>
      <w:r>
        <w:t>),</w:t>
      </w:r>
      <w:r>
        <w:t xml:space="preserve"> </w:t>
      </w:r>
      <w:r>
        <w:t>Shigella dysenteriae</w:t>
      </w:r>
      <w:r>
        <w:t xml:space="preserve"> </w:t>
      </w:r>
      <w:r>
        <w:t>(</w:t>
      </w:r>
      <w:r>
        <w:t xml:space="preserve"> </w:t>
      </w:r>
      <w:r>
        <w:t>S. dysenteriae</w:t>
      </w:r>
      <w:r>
        <w:t xml:space="preserve"> </w:t>
      </w:r>
      <w:r>
        <w:t>), and</w:t>
      </w:r>
      <w:r>
        <w:t xml:space="preserve"> </w:t>
      </w:r>
      <w:r>
        <w:t>Proteus vulgaris</w:t>
      </w:r>
      <w:r>
        <w:t xml:space="preserve"> </w:t>
      </w:r>
      <w:r>
        <w:t>(</w:t>
      </w:r>
      <w:r>
        <w:t xml:space="preserve"> </w:t>
      </w:r>
      <w:r>
        <w:t>P. vulgaris</w:t>
      </w:r>
      <w:r>
        <w:t xml:space="preserve"> </w:t>
      </w:r>
      <w:r>
        <w:t>) are the leading bacterial causes of death and diseases in many countries. Vaccines are economical and effective tools against bacterial infection. Herein, we present the first total synthesis and immunological evaluation of the</w:t>
      </w:r>
      <w:r>
        <w:t xml:space="preserve"> </w:t>
      </w:r>
      <w:r>
        <w:t>E. coli</w:t>
      </w:r>
      <w:r>
        <w:t xml:space="preserve"> </w:t>
      </w:r>
      <w:r>
        <w:t>O29,</w:t>
      </w:r>
      <w:r>
        <w:t xml:space="preserve"> </w:t>
      </w:r>
      <w:r>
        <w:t>S. dysenteriae</w:t>
      </w:r>
      <w:r>
        <w:t xml:space="preserve"> </w:t>
      </w:r>
      <w:r>
        <w:t>serotype 11, and</w:t>
      </w:r>
      <w:r>
        <w:t xml:space="preserve"> </w:t>
      </w:r>
      <w:r>
        <w:t>P. vulgaris</w:t>
      </w:r>
      <w:r>
        <w:t xml:space="preserve"> </w:t>
      </w:r>
      <w:r>
        <w:t>O12 O‐antigen decasaccharides, pentasaccharides, and related oligosaccharide fragments. We found that the hexasaccharide, including two repeating units of the core trisaccharide, was the optimal epitope, which was conjugated with the carrier protein CRM197 to furnish a semisynthetic glycoconjugate vaccine. The glycoconjugate vaccine induced a robust antigen‐specific immune response, and the antibody sera could recognize the surface O‐antigens of</w:t>
      </w:r>
      <w:r>
        <w:t xml:space="preserve"> </w:t>
      </w:r>
      <w:r>
        <w:t>E. coli</w:t>
      </w:r>
      <w:r>
        <w:t xml:space="preserve"> </w:t>
      </w:r>
      <w:r>
        <w:t>O29. This glycoconjugate vaccine, including a common trisaccharide fragment, existed in many bacterial O‐antigens, which can be further used as a potential broad‐spectrum vaccine against</w:t>
      </w:r>
      <w:r>
        <w:t xml:space="preserve"> </w:t>
      </w:r>
      <w:r>
        <w:t>E. coli</w:t>
      </w:r>
      <w:r>
        <w:t xml:space="preserve"> </w:t>
      </w:r>
      <w:r>
        <w:t>,</w:t>
      </w:r>
      <w:r>
        <w:t xml:space="preserve"> </w:t>
      </w:r>
      <w:r>
        <w:t>S. dysenteriae</w:t>
      </w:r>
      <w:r>
        <w:t xml:space="preserve"> </w:t>
      </w:r>
      <w:r>
        <w:t>,</w:t>
      </w:r>
      <w:r>
        <w:t xml:space="preserve"> </w:t>
      </w:r>
      <w:r>
        <w:t>P. vulgaris</w:t>
      </w:r>
      <w:r>
        <w:t xml:space="preserve"> </w:t>
      </w:r>
      <w:r>
        <w:t>, and</w:t>
      </w:r>
      <w:r>
        <w:t xml:space="preserve"> </w:t>
      </w:r>
      <w:r>
        <w:t>Cronobacter malonaticus (C. malonaticus)</w:t>
      </w:r>
      <w:r>
        <w:t xml:space="preserve"> </w:t>
      </w:r>
      <w:r>
        <w:t>.</w:t>
      </w:r>
    </w:p>
    <w:p>
      <w:pPr>
        <w:spacing w:before="120" w:after="120"/>
      </w:pPr>
      <w:r>
        <w:rPr>
          <w:sz w:val="18"/>
        </w:rPr>
        <w:t>——————————————————————————————————————————————————————————————————————</w:t>
      </w:r>
    </w:p>
    <w:p>
      <w:pPr>
        <w:spacing w:before="160" w:after="40" w:line="240" w:lineRule="auto"/>
      </w:pPr>
      <w:r>
        <w:rPr>
          <w:b/>
        </w:rPr>
        <w:t xml:space="preserve">[186] </w:t>
      </w:r>
      <w:hyperlink r:id="rId613">
        <w:r>
          <w:rPr>
            <w:color w:val="1155CC"/>
            <w:u w:val="single"/>
          </w:rPr>
          <w:t>近红外荧光团小分子猝灭剂的高通量虚拟筛选</w:t>
        </w:r>
      </w:hyperlink>
    </w:p>
    <w:p>
      <w:pPr>
        <w:spacing w:before="0" w:after="80"/>
      </w:pPr>
      <w:r>
        <w:rPr>
          <w:i/>
          <w:sz w:val="20"/>
        </w:rPr>
        <w:t>EN: High‐Throughput Virtual Screening of Small Molecule Quenchers for Near‐Infrared Fluorophores</w:t>
      </w:r>
    </w:p>
    <w:p>
      <w:pPr>
        <w:spacing w:before="0" w:after="120"/>
      </w:pPr>
      <w:r>
        <w:rPr>
          <w:b/>
        </w:rPr>
        <w:t xml:space="preserve">Source: </w:t>
      </w:r>
      <w:r>
        <w:t>Wiley: Angewandte Chemie International Edition: Table of Contents</w:t>
      </w:r>
      <w:r>
        <w:t xml:space="preserve">    </w:t>
      </w:r>
      <w:r>
        <w:rPr>
          <w:b/>
        </w:rPr>
        <w:t xml:space="preserve">Pub date: </w:t>
      </w:r>
      <w:r>
        <w:t>2026-06-23 08:03:38+00:00</w:t>
      </w:r>
      <w:r>
        <w:t xml:space="preserve">    </w:t>
      </w:r>
      <w:r>
        <w:rPr>
          <w:b/>
        </w:rPr>
        <w:t xml:space="preserve">DOI: </w:t>
      </w:r>
      <w:hyperlink r:id="rId614">
        <w:r>
          <w:rPr>
            <w:color w:val="1155CC"/>
            <w:u w:val="single"/>
          </w:rPr>
          <w:t>10.1002/anie.9617434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基于能量转移（EnT）的近红外（NIR）荧光探针因其低光毒性、深光子穿透性和体内高信噪比而成为生物传感的首选。该领域的一个重大挑战是缺乏能够有效调节近红外荧光的小分子猝灭剂（SMQ）。本研究首次对 SMQ 进行了大规模筛选，对 26,695 个紧凑候选结构（≤ 6 个非氢原子）进行了高通量虚拟筛选 (HTVS)。我们鉴定了几个有前途的分子部分，例如 ─N=O、─C=S 和 ─B─N= 片段，并通过构建三个红光到近红外探针 (P2–P4) 实验验证了 ─N=O 基序作为代表性的概念验证，这些探针在 ∼590 至 820 nm 范围内工作，并成功对细胞和体内的一氧化氮进行成像。由此产生的 SMQ 库包括预计与发射超过 800 nm 的 NIR 荧光团兼容的候选物，并提供了一个设计蓝图，可以加速下一代基于 EnT 的 NIR 荧光探针的开发。</w:t>
      </w:r>
    </w:p>
    <w:p>
      <w:pPr>
        <w:spacing w:before="0" w:after="200" w:lineRule="auto" w:line="276"/>
      </w:pPr>
      <w:r>
        <w:rPr>
          <w:b/>
        </w:rPr>
        <w:t xml:space="preserve">Abstract (EN): </w:t>
      </w:r>
      <w:r>
        <w:t>Energy transfer (EnT)‐based near‐infrared (NIR) fluorescent probes are preferred for biosensing due to their low phototoxicity, deep photon penetration, and high signal‐to‐noise ratios in vivo. A significant challenge in this domain is the scarcity of small‐molecule quenchers (SMQs) that can effectively modulate NIR fluorescence. This study presents the first large‐scale screening of SMQs, performing high‐throughput virtual screening (HTVS) of 26,695 compact candidate structures (≤ 6 non‐hydrogen atoms). We identified several promising molecular moieties, such as ─N═O, ─C═S, and ─B─N═ fragments, and experimentally validated the ─N═O motif as a representative proof‐of‐concept by constructing three red‐to‐NIR probes (P2–P4) that operate from ∼590 to 820 nm and successfully image nitric oxide in cells and in vivo. The resulting SMQ library includes candidates predicted to be compatible with NIR fluorophores emitting beyond 800 nm and provides a design blueprint that may accelerate the development of next‐generation EnT‐based NIR fluorescent probes.</w:t>
      </w:r>
    </w:p>
    <w:p>
      <w:pPr>
        <w:spacing w:before="120" w:after="120"/>
      </w:pPr>
      <w:r>
        <w:rPr>
          <w:sz w:val="18"/>
        </w:rPr>
        <w:t>——————————————————————————————————————————————————————————————————————</w:t>
      </w:r>
    </w:p>
    <w:p>
      <w:pPr>
        <w:spacing w:before="160" w:after="40" w:line="240" w:lineRule="auto"/>
      </w:pPr>
      <w:r>
        <w:rPr>
          <w:b/>
        </w:rPr>
        <w:t xml:space="preserve">[187] </w:t>
      </w:r>
      <w:hyperlink r:id="rId615">
        <w:r>
          <w:rPr>
            <w:color w:val="1155CC"/>
            <w:u w:val="single"/>
          </w:rPr>
          <w:t>无过渡金属的硼酸-烯烃/炔烃复分解能够获得环戊烯</w:t>
        </w:r>
      </w:hyperlink>
    </w:p>
    <w:p>
      <w:pPr>
        <w:spacing w:before="0" w:after="80"/>
      </w:pPr>
      <w:r>
        <w:rPr>
          <w:i/>
          <w:sz w:val="20"/>
        </w:rPr>
        <w:t>EN: Transition Metal‐Free Borata‐Alkene/Alkyne Metathesis Enables Access to Cyclopentenes</w:t>
      </w:r>
    </w:p>
    <w:p>
      <w:pPr>
        <w:spacing w:before="0" w:after="120"/>
      </w:pPr>
      <w:r>
        <w:rPr>
          <w:b/>
        </w:rPr>
        <w:t xml:space="preserve">Source: </w:t>
      </w:r>
      <w:r>
        <w:t>Wiley: Angewandte Chemie International Edition: Table of Contents</w:t>
      </w:r>
      <w:r>
        <w:t xml:space="preserve">    </w:t>
      </w:r>
      <w:r>
        <w:rPr>
          <w:b/>
        </w:rPr>
        <w:t xml:space="preserve">Pub date: </w:t>
      </w:r>
      <w:r>
        <w:t>2026-06-23 08:03:42+00:00</w:t>
      </w:r>
      <w:r>
        <w:t xml:space="preserve">    </w:t>
      </w:r>
      <w:r>
        <w:rPr>
          <w:b/>
        </w:rPr>
        <w:t xml:space="preserve">DOI: </w:t>
      </w:r>
      <w:hyperlink r:id="rId616">
        <w:r>
          <w:rPr>
            <w:color w:val="1155CC"/>
            <w:u w:val="single"/>
          </w:rPr>
          <w:t>10.1002/anie.5554467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复分解反应是有机合成中的基本转变，可实现不饱和键的有效重组，并为药物、功能材料和聚合物科学中的广泛应用奠定基础。迄今为止，复分解转化的概念和方法的发展主要集中在碳-碳不饱和键上，将不饱和键重组与直接掺入杂原子相结合的策略仍然很少。此外，已建立的复分解方法通常是在过渡金属催化框架内开发的，并且几乎没有探索不含过渡金属的替代品。在这里，我们证明硼酸烯烃可以作为非金属亚烷基替代物，使不含过渡金属的杂烯炔复分解反应能够获得环戊烯衍生物。该过程可容纳多种亲电子试剂，并且可以集成到级联序列中，从而允许从容易获得的 1,1,1-三硼基烷烃进行三组分和四组分偶联。所得化学发散产物包括环戊烯基硼酸酯、偕硼基甲硅烷基烷烃、共轭二烯，以及连续的四组分变体、高度取代的酮和烯醇醚。机理研究和密度泛函理论（DFT）计算支持硼烷-烯烃介导的复分解途径，建立了一种通过碳-碳键重组合成环戊烯的无过渡金属方法。</w:t>
      </w:r>
    </w:p>
    <w:p>
      <w:pPr>
        <w:spacing w:before="0" w:after="200" w:lineRule="auto" w:line="276"/>
      </w:pPr>
      <w:r>
        <w:rPr>
          <w:b/>
        </w:rPr>
        <w:t xml:space="preserve">Abstract (EN): </w:t>
      </w:r>
      <w:r>
        <w:t>Metathesis reactions are fundamental transformations in organic synthesis, enabling efficient reorganization of unsaturated bonds and underpinning broad applications in pharmaceuticals, functional materials, and polymer science. To date, the conceptual and methodological development of metathesis transformations has been focused predominantly on carbon–carbon unsaturated bonds, and strategies that combine unsaturated bond reorganization with the direct incorporation of heteroatoms remain rare. Additionally, the established metathesis methodologies have been developed typically within the framework of transition metal catalysis, and transition metal‐free alternatives are scarcely explored. Here, we demonstrate that borata‐alkenes can serve as non‐metal alkylidene surrogates to enable a transition metal‐free hetero‐enyne metathesis to access cyclopentene derivatives. This process accommodates diverse electrophiles and can be integrated into cascade sequences, allowing three‐ and four‐component couplings from readily accessible 1,1,1‐triborylalkanes. The resulting chemodivergent products include cyclopentenyl boronic esters, geminal borylsilylalkanes, conjugated dienes, and, in a sequential four‐component variant, highly substituted ketones and enol ethers. Mechanistic studies and density functional theory (DFT) calculations support a borata‐alkene‐mediated metathesis pathway, establishing a transition metal‐free approach for cyclopentene synthesis via carbon–carbon bond reorganization.</w:t>
      </w:r>
    </w:p>
    <w:p>
      <w:pPr>
        <w:spacing w:before="120" w:after="120"/>
      </w:pPr>
      <w:r>
        <w:rPr>
          <w:sz w:val="18"/>
        </w:rPr>
        <w:t>——————————————————————————————————————————————————————————————————————</w:t>
      </w:r>
    </w:p>
    <w:p>
      <w:pPr>
        <w:spacing w:before="160" w:after="40" w:line="240" w:lineRule="auto"/>
      </w:pPr>
      <w:r>
        <w:rPr>
          <w:b/>
        </w:rPr>
        <w:t xml:space="preserve">[188] </w:t>
      </w:r>
      <w:hyperlink r:id="rId617">
        <w:r>
          <w:rPr>
            <w:color w:val="1155CC"/>
            <w:u w:val="single"/>
          </w:rPr>
          <w:t>银簇介导的多钽酸一维分子异质结构实现超低损耗有源光波导和信息编码</w:t>
        </w:r>
      </w:hyperlink>
    </w:p>
    <w:p>
      <w:pPr>
        <w:spacing w:before="0" w:after="80"/>
      </w:pPr>
      <w:r>
        <w:rPr>
          <w:i/>
          <w:sz w:val="20"/>
        </w:rPr>
        <w:t>EN: Silver Cluster‐Mediated Polyoxotantalate 1D Molecular Heterostructure Toward Ultra‐Low‐Loss Active Optical Waveguides and Information Coding</w:t>
      </w:r>
    </w:p>
    <w:p>
      <w:pPr>
        <w:spacing w:before="0" w:after="120"/>
      </w:pPr>
      <w:r>
        <w:rPr>
          <w:b/>
        </w:rPr>
        <w:t xml:space="preserve">Source: </w:t>
      </w:r>
      <w:r>
        <w:t>Wiley: Angewandte Chemie International Edition: Table of Contents</w:t>
      </w:r>
      <w:r>
        <w:t xml:space="preserve">    </w:t>
      </w:r>
      <w:r>
        <w:rPr>
          <w:b/>
        </w:rPr>
        <w:t xml:space="preserve">Pub date: </w:t>
      </w:r>
      <w:r>
        <w:t>2026-06-23 08:11:08+00:00</w:t>
      </w:r>
      <w:r>
        <w:t xml:space="preserve">    </w:t>
      </w:r>
      <w:r>
        <w:rPr>
          <w:b/>
        </w:rPr>
        <w:t xml:space="preserve">DOI: </w:t>
      </w:r>
      <w:hyperlink r:id="rId618">
        <w:r>
          <w:rPr>
            <w:color w:val="1155CC"/>
            <w:u w:val="single"/>
          </w:rPr>
          <w:t>10.1002/anie.8106772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这项工作研究了第一个一维（1D）银簇介导的多钽酸盐分子异质结构-[Ag</w:t>
      </w:r>
      <w:r>
        <w:rPr>
          <w:vertAlign w:val="subscript"/>
        </w:rPr>
        <w:t>9</w:t>
      </w:r>
      <w:r>
        <w:t>‐Ta</w:t>
      </w:r>
      <w:r>
        <w:rPr>
          <w:vertAlign w:val="subscript"/>
        </w:rPr>
        <w:t>6</w:t>
      </w:r>
      <w:r>
        <w:t>]</w:t>
      </w:r>
      <w:r>
        <w:t xml:space="preserve"> </w:t>
      </w:r>
      <w:r>
        <w:t>n</w:t>
      </w:r>
      <w:r>
        <w:t xml:space="preserve"> </w:t>
      </w:r>
      <w:r>
        <w:t>‐（</w:t>
      </w:r>
      <w:r>
        <w:t xml:space="preserve"> </w:t>
      </w:r>
      <w:r>
        <w:t>1克</w:t>
      </w:r>
      <w:r>
        <w:t xml:space="preserve"> </w:t>
      </w:r>
      <w:r>
        <w:t>,</w:t>
      </w:r>
      <w:r>
        <w:t xml:space="preserve"> </w:t>
      </w:r>
      <w:r>
        <w:t>1年</w:t>
      </w:r>
      <w:r>
        <w:t xml:space="preserve"> </w:t>
      </w:r>
      <w:r>
        <w:t>, 和</w:t>
      </w:r>
      <w:r>
        <w:t xml:space="preserve"> </w:t>
      </w:r>
      <w:r>
        <w:t>1r</w:t>
      </w:r>
      <w:r>
        <w:t xml:space="preserve"> </w:t>
      </w:r>
      <w:r>
        <w:t>），将银簇作为通用发射单元和多钽酸盐作为光传播单元相结合。其超低波导损耗系数为(1.03 ∼ 1.63 × 10</w:t>
      </w:r>
      <w:r>
        <w:t xml:space="preserve"> </w:t>
      </w:r>
      <w:r>
        <w:t>−3</w:t>
      </w:r>
      <w:r>
        <w:t xml:space="preserve"> </w:t>
      </w:r>
      <w:r>
        <w:t>dB/μm）证明了银簇和多钽酸盐的组装是设计有源光波导的有效平台。这种异质结构内银簇受溶剂影响的发光发射使得能够构建发射可调（绿色、黄色和红色）波导。此外，单晶的局部光致发光（PL）行为可以通过局部热处理改变，从而形成光学异质结。空间 PL 分辨光谱也证实异质结微棒表现出明显的光波导效应，具有低波导损耗系数 (2.22 ∼ 2.93 × 10</w:t>
      </w:r>
      <w:r>
        <w:t xml:space="preserve"> </w:t>
      </w:r>
      <w:r>
        <w:t>−3</w:t>
      </w:r>
      <w:r>
        <w:t xml:space="preserve"> </w:t>
      </w:r>
      <w:r>
        <w:t>dB/μm）在传播期间。这项研究不仅代表了遵循函数分解原理的第一个例子，而且还建立了新型银簇介导的基于多钽酸盐的低维超低损耗运算</w:t>
      </w:r>
    </w:p>
    <w:p>
      <w:pPr>
        <w:spacing w:before="0" w:after="200" w:lineRule="auto" w:line="276"/>
      </w:pPr>
      <w:r>
        <w:rPr>
          <w:b/>
        </w:rPr>
        <w:t xml:space="preserve">Abstract (EN): </w:t>
      </w:r>
      <w:r>
        <w:t>This work investigates the first one‐dimensional (1D) silver cluster‐mediated polyoxotantalate molecular heterostructures of ‐[Ag</w:t>
      </w:r>
      <w:r>
        <w:rPr>
          <w:vertAlign w:val="subscript"/>
        </w:rPr>
        <w:t>9</w:t>
      </w:r>
      <w:r>
        <w:t>‐Ta</w:t>
      </w:r>
      <w:r>
        <w:rPr>
          <w:vertAlign w:val="subscript"/>
        </w:rPr>
        <w:t>6</w:t>
      </w:r>
      <w:r>
        <w:t>]</w:t>
      </w:r>
      <w:r>
        <w:t xml:space="preserve"> </w:t>
      </w:r>
      <w:r>
        <w:t>n</w:t>
      </w:r>
      <w:r>
        <w:t xml:space="preserve"> </w:t>
      </w:r>
      <w:r>
        <w:t>‐ (</w:t>
      </w:r>
      <w:r>
        <w:t xml:space="preserve"> </w:t>
      </w:r>
      <w:r>
        <w:t>1g</w:t>
      </w:r>
      <w:r>
        <w:t xml:space="preserve"> </w:t>
      </w:r>
      <w:r>
        <w:t>,</w:t>
      </w:r>
      <w:r>
        <w:t xml:space="preserve"> </w:t>
      </w:r>
      <w:r>
        <w:t>1y</w:t>
      </w:r>
      <w:r>
        <w:t xml:space="preserve"> </w:t>
      </w:r>
      <w:r>
        <w:t>, and</w:t>
      </w:r>
      <w:r>
        <w:t xml:space="preserve"> </w:t>
      </w:r>
      <w:r>
        <w:t>1r</w:t>
      </w:r>
      <w:r>
        <w:t xml:space="preserve"> </w:t>
      </w:r>
      <w:r>
        <w:t>), combining silver clusters as versatile emitting units and polyoxotantalate as light propagation units. Its ultra‐low waveguiding loss coefficient of (1.03 ∼ 1.63 × 10</w:t>
      </w:r>
      <w:r>
        <w:t xml:space="preserve"> </w:t>
      </w:r>
      <w:r>
        <w:t>−3</w:t>
      </w:r>
      <w:r>
        <w:t xml:space="preserve"> </w:t>
      </w:r>
      <w:r>
        <w:t>dB/µm) demonstrates this assembly of silver clusters and polyoxotantalate as an efficient platform in designing active optical waveguides. The solvent‐affected luminescent emission of silver clusters within this heterostructure enables the construction of emission‐tunable (green, yellow, and red) waveguides. Furthermore, the local photoluminescent (PL) behaviors of a single crystal could be changed via local thermal treatment, leading to the formation of an optical heterojunction. Spatially PL resolved spectra also confirm heterojunction microrods exhibit an obvious optical waveguide effect with a low waveguide loss coefficient (2.22 ∼ 2.93 × 10</w:t>
      </w:r>
      <w:r>
        <w:t xml:space="preserve"> </w:t>
      </w:r>
      <w:r>
        <w:t>−3</w:t>
      </w:r>
      <w:r>
        <w:t xml:space="preserve"> </w:t>
      </w:r>
      <w:r>
        <w:t>dB/µm) during propagation. This study not only represents the first example following the function decomposition discipline but also establishes new types of silver cluster‐mediated polyoxotantalate‐based low‐dimensional ultralow‐loss optical waveguides for advanced optical communication and information coding.</w:t>
      </w:r>
    </w:p>
    <w:p>
      <w:pPr>
        <w:spacing w:before="120" w:after="120"/>
      </w:pPr>
      <w:r>
        <w:rPr>
          <w:sz w:val="18"/>
        </w:rPr>
        <w:t>——————————————————————————————————————————————————————————————————————</w:t>
      </w:r>
    </w:p>
    <w:p>
      <w:pPr>
        <w:spacing w:before="160" w:after="40" w:line="240" w:lineRule="auto"/>
      </w:pPr>
      <w:r>
        <w:rPr>
          <w:b/>
        </w:rPr>
        <w:t xml:space="preserve">[189] </w:t>
      </w:r>
      <w:hyperlink r:id="rId619">
        <w:r>
          <w:rPr>
            <w:color w:val="1155CC"/>
            <w:u w:val="single"/>
          </w:rPr>
          <w:t>用于空间隔离四硫富瓦烯自旋量子位阵列的结晶小分子聚合物超晶格</w:t>
        </w:r>
      </w:hyperlink>
    </w:p>
    <w:p>
      <w:pPr>
        <w:spacing w:before="0" w:after="80"/>
      </w:pPr>
      <w:r>
        <w:rPr>
          <w:i/>
          <w:sz w:val="20"/>
        </w:rPr>
        <w:t>EN: Crystalline Small Molecule‐Polymer Superlattice for Spatially Isolated Tetrathiafulvalene Spin Qubit Arrays</w:t>
      </w:r>
    </w:p>
    <w:p>
      <w:pPr>
        <w:spacing w:before="0" w:after="120"/>
      </w:pPr>
      <w:r>
        <w:rPr>
          <w:b/>
        </w:rPr>
        <w:t xml:space="preserve">Source: </w:t>
      </w:r>
      <w:r>
        <w:t>Wiley: Angewandte Chemie International Edition: Table of Contents</w:t>
      </w:r>
      <w:r>
        <w:t xml:space="preserve">    </w:t>
      </w:r>
      <w:r>
        <w:rPr>
          <w:b/>
        </w:rPr>
        <w:t xml:space="preserve">Pub date: </w:t>
      </w:r>
      <w:r>
        <w:t>2026-06-23 08:12:09+00:00</w:t>
      </w:r>
      <w:r>
        <w:t xml:space="preserve">    </w:t>
      </w:r>
      <w:r>
        <w:rPr>
          <w:b/>
        </w:rPr>
        <w:t xml:space="preserve">DOI: </w:t>
      </w:r>
      <w:hyperlink r:id="rId620">
        <w:r>
          <w:rPr>
            <w:color w:val="1155CC"/>
            <w:u w:val="single"/>
          </w:rPr>
          <w:t>10.1002/anie.7183450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子电子自旋是引人注目的量子位候选者；然而，减轻结构紊乱和声子耦合驱动的快速弛豫和退相干仍然是一个核心挑战。构建分子量子位框架（MQF）是一种通过在刚性有序的微环境中嵌入自旋中心来保持量子相干性的有前途的策略。在这里，我们通过四硫富瓦烯（TTF）与一维 B←N 配位聚合物共结晶来报道主客体超晶格 MQF（</w:t>
      </w:r>
      <w:r>
        <w:t xml:space="preserve"> </w:t>
      </w:r>
      <w:r>
        <w:t>城大-65</w:t>
      </w:r>
      <w:r>
        <w:t xml:space="preserve"> </w:t>
      </w:r>
      <w:r>
        <w:t>）。将 TTF 自由基自旋封闭在这个高度有序的晶格中，建立了一个刚性且磁稀释的环境，有效抑制自旋晶格弛豫并部分减轻自旋退相干。因此，</w:t>
      </w:r>
      <w:r>
        <w:t xml:space="preserve"> </w:t>
      </w:r>
      <w:r>
        <w:t>城大-65</w:t>
      </w:r>
      <w:r>
        <w:t xml:space="preserve"> </w:t>
      </w:r>
      <w:r>
        <w:t>即使在环境条件下也能保持相干自旋寻址能力。在室温下，超晶格表现出延长的自旋晶格弛豫时间（</w:t>
      </w:r>
      <w:r>
        <w:t xml:space="preserve"> </w:t>
      </w:r>
      <w:r>
        <w:t>时间</w:t>
      </w:r>
      <w:r>
        <w:rPr>
          <w:vertAlign w:val="subscript"/>
        </w:rPr>
        <w:t>1</w:t>
      </w:r>
      <w:r>
        <w:t>= 9.6 µs）和适度改进的相位记忆时间（</w:t>
      </w:r>
      <w:r>
        <w:t xml:space="preserve"> </w:t>
      </w:r>
      <w:r>
        <w:t>时间</w:t>
      </w:r>
      <w:r>
        <w:t xml:space="preserve"> </w:t>
      </w:r>
      <w:r>
        <w:t>米</w:t>
      </w:r>
      <w:r>
        <w:t xml:space="preserve"> </w:t>
      </w:r>
      <w:r>
        <w:t>= 0.9 µs）与原始晶体 TTF 相比。我们的工作将 B←N 超晶格共晶确立为工程设计师量子材料的强大策略，为通过结构和声子调制开发高性能有机量子位提供了通用指南。</w:t>
      </w:r>
    </w:p>
    <w:p>
      <w:pPr>
        <w:spacing w:before="0" w:after="200" w:lineRule="auto" w:line="276"/>
      </w:pPr>
      <w:r>
        <w:rPr>
          <w:b/>
        </w:rPr>
        <w:t xml:space="preserve">Abstract (EN): </w:t>
      </w:r>
      <w:r>
        <w:t>Molecular electron spins are compelling qubit candidates; however, mitigating their rapid relaxation and decoherence driven by structural disorder and phonon coupling remains a central challenge. Constructing molecular qubit frameworks (MQFs) represents a promising strategy to preserve quantum coherence by embedding spin centers in a rigid and ordered microenvironment. Here, we report a host–guest superlattice MQF by cocrystallizing tetrathiafulvalene (TTF) with a one‐dimensional B←N coordination polymer (</w:t>
      </w:r>
      <w:r>
        <w:t xml:space="preserve"> </w:t>
      </w:r>
      <w:r>
        <w:t>CityU‐65</w:t>
      </w:r>
      <w:r>
        <w:t xml:space="preserve"> </w:t>
      </w:r>
      <w:r>
        <w:t>). Encaging TTF radical spins within this highly ordered lattice establishes a rigid and magnetically dilute environment, effectively suppressing spin‐lattice relaxation and partially mitigating spin decoherence. Consequently,</w:t>
      </w:r>
      <w:r>
        <w:t xml:space="preserve"> </w:t>
      </w:r>
      <w:r>
        <w:t>CityU‐65</w:t>
      </w:r>
      <w:r>
        <w:t xml:space="preserve"> </w:t>
      </w:r>
      <w:r>
        <w:t>preserves coherent spin addressability even under ambient conditions. At room temperature, the superlattice exhibits a prolonged spin–lattice relaxation time (</w:t>
      </w:r>
      <w:r>
        <w:t xml:space="preserve"> </w:t>
      </w:r>
      <w:r>
        <w:t>T</w:t>
      </w:r>
      <w:r>
        <w:rPr>
          <w:vertAlign w:val="subscript"/>
        </w:rPr>
        <w:t>1</w:t>
      </w:r>
      <w:r>
        <w:t>= 9.6 µs) and a modestly improved phase‐memory time (</w:t>
      </w:r>
      <w:r>
        <w:t xml:space="preserve"> </w:t>
      </w:r>
      <w:r>
        <w:t>T</w:t>
      </w:r>
      <w:r>
        <w:t xml:space="preserve"> </w:t>
      </w:r>
      <w:r>
        <w:t>m</w:t>
      </w:r>
      <w:r>
        <w:t xml:space="preserve"> </w:t>
      </w:r>
      <w:r>
        <w:t>= 0.9 µs) compared to pristine crystalline TTF. Our work establishes B←N superlattice cocrystallization as a powerful strategy for engineering designer quantum materials, providing a general guideline for the development of high‐performance organic qubits through structural and phononic modulation.</w:t>
      </w:r>
    </w:p>
    <w:p>
      <w:pPr>
        <w:spacing w:before="120" w:after="120"/>
      </w:pPr>
      <w:r>
        <w:rPr>
          <w:sz w:val="18"/>
        </w:rPr>
        <w:t>——————————————————————————————————————————————————————————————————————</w:t>
      </w:r>
    </w:p>
    <w:p>
      <w:pPr>
        <w:spacing w:before="160" w:after="40" w:line="240" w:lineRule="auto"/>
      </w:pPr>
      <w:r>
        <w:rPr>
          <w:b/>
        </w:rPr>
        <w:t xml:space="preserve">[190] </w:t>
      </w:r>
      <w:hyperlink r:id="rId621">
        <w:r>
          <w:rPr>
            <w:color w:val="1155CC"/>
            <w:u w:val="single"/>
          </w:rPr>
          <w:t>由单一自互补 DNA 寡核苷酸形成的纤维和双层管</w:t>
        </w:r>
      </w:hyperlink>
    </w:p>
    <w:p>
      <w:pPr>
        <w:spacing w:before="0" w:after="80"/>
      </w:pPr>
      <w:r>
        <w:rPr>
          <w:i/>
          <w:sz w:val="20"/>
        </w:rPr>
        <w:t>EN: Fibers and Double‐Layered Tubes Formed From a Single Self‐Complementary DNA Oligonucleotide</w:t>
      </w:r>
    </w:p>
    <w:p>
      <w:pPr>
        <w:spacing w:before="0" w:after="120"/>
      </w:pPr>
      <w:r>
        <w:rPr>
          <w:b/>
        </w:rPr>
        <w:t xml:space="preserve">Source: </w:t>
      </w:r>
      <w:r>
        <w:t>Wiley: Angewandte Chemie International Edition: Table of Contents</w:t>
      </w:r>
      <w:r>
        <w:t xml:space="preserve">    </w:t>
      </w:r>
      <w:r>
        <w:rPr>
          <w:b/>
        </w:rPr>
        <w:t xml:space="preserve">Pub date: </w:t>
      </w:r>
      <w:r>
        <w:t>2026-06-23 08:16:22+00:00</w:t>
      </w:r>
      <w:r>
        <w:t xml:space="preserve">    </w:t>
      </w:r>
      <w:r>
        <w:rPr>
          <w:b/>
        </w:rPr>
        <w:t xml:space="preserve">DOI: </w:t>
      </w:r>
      <w:hyperlink r:id="rId622">
        <w:r>
          <w:rPr>
            <w:color w:val="1155CC"/>
            <w:u w:val="single"/>
          </w:rPr>
          <w:t>10.1002/anie.6741643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这项研究报告了第一个观察结果，即短的自互补 DNA 寡核苷酸在热退火后可以自组装成两种不同的液晶结构——长纤维和双层分子管。这两种形态是由溶液中聚乙二醇 (PEG) 浓度调节的消耗力决定的。在较低 PEG 浓度（25-30</w:t>
      </w:r>
      <w:r>
        <w:t xml:space="preserve"> </w:t>
      </w:r>
      <w:r>
        <w:t>瓦特/体积</w:t>
      </w:r>
      <w:r>
        <w:t xml:space="preserve"> </w:t>
      </w:r>
      <w:r>
        <w:t>%)，双链体之间的耗尽力相对较弱。在这些条件下，成核仅在形成足够的双链体 DNA 后在较低温度下发生，导致主要是纵向生长并形成伸长的 DNA 纤维。小角 X 射线散射 (SAXS) 显示这些纤维内有单柱状六边形堆积结构。在较高 PEG 浓度 (35–40</w:t>
      </w:r>
      <w:r>
        <w:t xml:space="preserve"> </w:t>
      </w:r>
      <w:r>
        <w:t>瓦特/体积</w:t>
      </w:r>
      <w:r>
        <w:t xml:space="preserve"> </w:t>
      </w:r>
      <w:r>
        <w:t>%)，耗尽力变得更强。在这些条件下，即使在高温下也会发生成核，其中双链体的量仍然有限，从而导致管状组件的形成。对管状 DNA 组装体进行的 SAXS 测量揭示了两个独立的六方晶格常数，表明内核和外框架之间的堆积密度存在差异。这项工作确立了基于 DNA 的材料设计的新方向，证明只需通过调整分子拥挤条件，即可从单个短 DNA 寡核苷酸中产生分层液晶结构。</w:t>
      </w:r>
    </w:p>
    <w:p>
      <w:pPr>
        <w:spacing w:before="0" w:after="200" w:lineRule="auto" w:line="276"/>
      </w:pPr>
      <w:r>
        <w:rPr>
          <w:b/>
        </w:rPr>
        <w:t xml:space="preserve">Abstract (EN): </w:t>
      </w:r>
      <w:r>
        <w:t>This study reports the first observation that a short self‐complementary DNA oligonucleotide can self‐assemble into two distinct liquid‐crystalline architectures—long fibers and double‐layered molecular tubes—upon thermal annealing. These two morphologies are determined by depletion forces tuned by the concentration of poly(ethylene glycol) (PEG) in solution. At lower PEG concentrations (25–30</w:t>
      </w:r>
      <w:r>
        <w:t xml:space="preserve"> </w:t>
      </w:r>
      <w:r>
        <w:t>w/v</w:t>
      </w:r>
      <w:r>
        <w:t xml:space="preserve"> </w:t>
      </w:r>
      <w:r>
        <w:t>%), the depletion forces between duplexes are relatively weak. Under these conditions, nucleation occurs only at lower temperatures after sufficient duplex DNA has formed, leading to predominantly longitudinal growth and the formation of elongated DNA fibers. Small‐angle X‐ray scattering (SAXS) revealed a single columnar hexagonal packing structure within these fibers. At higher PEG concentrations (35–40</w:t>
      </w:r>
      <w:r>
        <w:t xml:space="preserve"> </w:t>
      </w:r>
      <w:r>
        <w:t>w/v</w:t>
      </w:r>
      <w:r>
        <w:t xml:space="preserve"> </w:t>
      </w:r>
      <w:r>
        <w:t>%), the depletion forces become stronger. Under these conditions, nucleation occurs even at elevated temperatures, where the amount of duplex is still limited, leading to the formation of tubular assemblies. SAXS measurements conducted on the tubular DNA assemblies revealed two separate hexagonal lattice constants, suggesting differences in packing density between the inner core and the outer framework. This work establishes a new direction in DNA‐based materials design, demonstrating that hierarchical liquid‐crystalline architectures can emerge from a single short DNA oligonucleotide simply by tuning molecular crowding conditions.</w:t>
      </w:r>
    </w:p>
    <w:p>
      <w:pPr>
        <w:spacing w:before="120" w:after="120"/>
      </w:pPr>
      <w:r>
        <w:rPr>
          <w:sz w:val="18"/>
        </w:rPr>
        <w:t>——————————————————————————————————————————————————————————————————————</w:t>
      </w:r>
    </w:p>
    <w:p>
      <w:pPr>
        <w:spacing w:before="160" w:after="40" w:line="240" w:lineRule="auto"/>
      </w:pPr>
      <w:r>
        <w:rPr>
          <w:b/>
        </w:rPr>
        <w:t xml:space="preserve">[191] </w:t>
      </w:r>
      <w:hyperlink r:id="rId623">
        <w:r>
          <w:rPr>
            <w:color w:val="1155CC"/>
            <w:u w:val="single"/>
          </w:rPr>
          <w:t>钴催化自由基配体转移 (RLT) 实现烯烃的远程马尔可夫尼科夫氢胺化</w:t>
        </w:r>
      </w:hyperlink>
    </w:p>
    <w:p>
      <w:pPr>
        <w:spacing w:before="0" w:after="80"/>
      </w:pPr>
      <w:r>
        <w:rPr>
          <w:i/>
          <w:sz w:val="20"/>
        </w:rPr>
        <w:t>EN: Cobalt‐Catalyzed Radical Ligand Transfer (RLT) Enables Remote‐Markovnikov Hydroamination of Alkenes</w:t>
      </w:r>
    </w:p>
    <w:p>
      <w:pPr>
        <w:spacing w:before="0" w:after="120"/>
      </w:pPr>
      <w:r>
        <w:rPr>
          <w:b/>
        </w:rPr>
        <w:t xml:space="preserve">Source: </w:t>
      </w:r>
      <w:r>
        <w:t>Wiley: Angewandte Chemie International Edition: Table of Contents</w:t>
      </w:r>
      <w:r>
        <w:t xml:space="preserve">    </w:t>
      </w:r>
      <w:r>
        <w:rPr>
          <w:b/>
        </w:rPr>
        <w:t xml:space="preserve">Pub date: </w:t>
      </w:r>
      <w:r>
        <w:t>2026-06-23 08:18:20+00:00</w:t>
      </w:r>
      <w:r>
        <w:t xml:space="preserve">    </w:t>
      </w:r>
      <w:r>
        <w:rPr>
          <w:b/>
        </w:rPr>
        <w:t xml:space="preserve">DOI: </w:t>
      </w:r>
      <w:hyperlink r:id="rId624">
        <w:r>
          <w:rPr>
            <w:color w:val="1155CC"/>
            <w:u w:val="single"/>
          </w:rPr>
          <w:t>10.1002/anie.8746225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氨基醇在药物、农用化学品和功能材料中普遍存在，但简单烯烃的区域选择性远程 C─N 键形成仍然有限。我们报告一个</w:t>
      </w:r>
      <w:r>
        <w:t xml:space="preserve"> </w:t>
      </w:r>
      <w:r>
        <w:t>远程</w:t>
      </w:r>
      <w:r>
        <w:t xml:space="preserve"> </w:t>
      </w:r>
      <w:r>
        <w:t>‐Markovnikov 通过协同光氧化还原、钴和布朗斯台德酸催化实现羧酸烯丙酯的正式 1,3-氢胺化。该反应通过金属氢化物氢原子转移（MHAT）进行，然后进行1,2-自由基酰氧基迁移（1,2-RAM），在远离原始烯烃的位点生成以叔碳为中心的自由基，在广泛的底物范围内提供受保护的叔烷基氨基醇，也可以使用二级变体。实验和计算研究支持 C─N 键形成步骤，最好将其描述为 Co(III)─N 中间体上的自由基配体转移 (RLT)，而不是 Co(IV)/S</w:t>
      </w:r>
      <w:r>
        <w:t xml:space="preserve"> </w:t>
      </w:r>
      <w:r>
        <w:t>氮</w:t>
      </w:r>
      <w:r>
        <w:t xml:space="preserve"> </w:t>
      </w:r>
      <w:r>
        <w:t>2或碳正离子途径。这种罕见的氮转移歧管解释了观察到的区域选择性和催化剂影响的立体化学结果。通过实现迁移控制的 1,3-氢氨化，该策略补充了传统的 1,2-氢氨化并扩展了可利用的氨基醇化学空间。</w:t>
      </w:r>
    </w:p>
    <w:p>
      <w:pPr>
        <w:spacing w:before="0" w:after="200" w:lineRule="auto" w:line="276"/>
      </w:pPr>
      <w:r>
        <w:rPr>
          <w:b/>
        </w:rPr>
        <w:t xml:space="preserve">Abstract (EN): </w:t>
      </w:r>
      <w:r>
        <w:t>Amino alcohols are prevalent in pharmaceuticals, agrochemicals, and functional materials, yet regioselective remote C─N bond formation from simple alkenes remains limited. We report a</w:t>
      </w:r>
      <w:r>
        <w:t xml:space="preserve"> </w:t>
      </w:r>
      <w:r>
        <w:t>remote</w:t>
      </w:r>
      <w:r>
        <w:t xml:space="preserve"> </w:t>
      </w:r>
      <w:r>
        <w:t>‐Markovnikov formal 1,3‐hydroamination of allyl carboxylates enabled by cooperative photoredox, cobalt, and Brønsted acid catalysis. The reaction proceeds via metal–hydride hydrogen atom transfer (MHAT) followed by 1,2‐radical acyloxy migration (1,2‐RAM) to generate a tertiary carbon‐centered radical at a site remote from the original alkene, affording protected tertiary alkyl amino alcohols across a broad substrate scope, with secondary variants also accessible. Experimental and computational studies support a C─N bond‐forming step best described as radical ligand transfer (RLT) at a Co(III)─N intermediate, rather than Co(IV)/S</w:t>
      </w:r>
      <w:r>
        <w:t xml:space="preserve"> </w:t>
      </w:r>
      <w:r>
        <w:t>N</w:t>
      </w:r>
      <w:r>
        <w:t xml:space="preserve"> </w:t>
      </w:r>
      <w:r>
        <w:t>2 or carbocationic pathways. This rare nitrogen‐transfer manifold accounts for the observed regioselectivity and catalyst‐influenced stereochemical outcomes. By enabling migration‐controlled 1,3‐hydroamination, this strategy complements conventional 1,2‐hydroamination and expands accessible amino alcohol chemical space.</w:t>
      </w:r>
    </w:p>
    <w:p>
      <w:pPr>
        <w:spacing w:before="120" w:after="120"/>
      </w:pPr>
      <w:r>
        <w:rPr>
          <w:sz w:val="18"/>
        </w:rPr>
        <w:t>——————————————————————————————————————————————————————————————————————</w:t>
      </w:r>
    </w:p>
    <w:p>
      <w:pPr>
        <w:spacing w:before="160" w:after="40" w:line="240" w:lineRule="auto"/>
      </w:pPr>
      <w:r>
        <w:rPr>
          <w:b/>
        </w:rPr>
        <w:t xml:space="preserve">[192] </w:t>
      </w:r>
      <w:hyperlink r:id="rId625">
        <w:r>
          <w:rPr>
            <w:color w:val="1155CC"/>
            <w:u w:val="single"/>
          </w:rPr>
          <w:t>具有三重态基态的空气稳定发光 Schlenk 双自由基</w:t>
        </w:r>
      </w:hyperlink>
    </w:p>
    <w:p>
      <w:pPr>
        <w:spacing w:before="0" w:after="80"/>
      </w:pPr>
      <w:r>
        <w:rPr>
          <w:i/>
          <w:sz w:val="20"/>
        </w:rPr>
        <w:t>EN: Air‐Stable Luminescent Schlenk Diradical With Triplet Ground State</w:t>
      </w:r>
    </w:p>
    <w:p>
      <w:pPr>
        <w:spacing w:before="0" w:after="120"/>
      </w:pPr>
      <w:r>
        <w:rPr>
          <w:b/>
        </w:rPr>
        <w:t xml:space="preserve">Source: </w:t>
      </w:r>
      <w:r>
        <w:t>Wiley: Angewandte Chemie International Edition: Table of Contents</w:t>
      </w:r>
      <w:r>
        <w:t xml:space="preserve">    </w:t>
      </w:r>
      <w:r>
        <w:rPr>
          <w:b/>
        </w:rPr>
        <w:t xml:space="preserve">Pub date: </w:t>
      </w:r>
      <w:r>
        <w:t>2026-06-23 09:42:22+00:00</w:t>
      </w:r>
      <w:r>
        <w:t xml:space="preserve">    </w:t>
      </w:r>
      <w:r>
        <w:rPr>
          <w:b/>
        </w:rPr>
        <w:t xml:space="preserve">DOI: </w:t>
      </w:r>
      <w:hyperlink r:id="rId626">
        <w:r>
          <w:rPr>
            <w:color w:val="1155CC"/>
            <w:u w:val="single"/>
          </w:rPr>
          <w:t>10.1002/anie.2802162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发光双自由基在光磁应用中具有广阔的前景，但那些具有三重基态的双自由基仍然很大程度上未被充分开发，因为两个自旋平行的不成对电子固有的高反应性，这阻碍了合成并增强了非辐射猝灭。在这里，我们报道了第一个发光的 Schlenk 双自由基</w:t>
      </w:r>
      <w:r>
        <w:rPr>
          <w:vertAlign w:val="subscript"/>
        </w:rPr>
        <w:t>2</w:t>
      </w:r>
      <w:r>
        <w:t>具有独特的三线态基态，由甲氧基苯核心和四个多氯苯侧链简洁组装而成，并且可以通过常规硅胶色谱在空气中轻松分离。其螺旋桨构象的空间位阻使其具有良好的稳定性，有效保护了两个碳自由基中心。综合表征阐明了分子结构并证实了具有强磁交换相互作用的三重态基态（</w:t>
      </w:r>
      <w:r>
        <w:t xml:space="preserve"> </w:t>
      </w:r>
      <w:r>
        <w:t>焦/克</w:t>
      </w:r>
      <w:r>
        <w:t xml:space="preserve"> </w:t>
      </w:r>
      <w:r>
        <w:t>乙</w:t>
      </w:r>
      <w:r>
        <w:t xml:space="preserve"> </w:t>
      </w:r>
      <w:r>
        <w:t>&gt; 320 K）。值得注意的是，双自由基</w:t>
      </w:r>
      <w:r>
        <w:rPr>
          <w:vertAlign w:val="subscript"/>
        </w:rPr>
        <w:t>2</w:t>
      </w:r>
      <w:r>
        <w:t>在环己烷中显示出 619 nm 处的红光发射，量子产率为 9.6%，这得益于其刚性螺旋桨构象以及富电子甲氧基苯和缺电子多氯苯共存的 D-A 电子分布。发光主要来自T</w:t>
      </w:r>
      <w:r>
        <w:rPr>
          <w:vertAlign w:val="subscript"/>
        </w:rPr>
        <w:t>1</w:t>
      </w:r>
      <w:r>
        <w:t>→ T</w:t>
      </w:r>
      <w:r>
        <w:rPr>
          <w:vertAlign w:val="subscript"/>
        </w:rPr>
        <w:t>0</w:t>
      </w:r>
      <w:r>
        <w:t>过渡，因为大的能隙（T</w:t>
      </w:r>
      <w:r>
        <w:rPr>
          <w:vertAlign w:val="subscript"/>
        </w:rPr>
        <w:t>0</w:t>
      </w:r>
      <w:r>
        <w:t>→ S</w:t>
      </w:r>
      <w:r>
        <w:rPr>
          <w:vertAlign w:val="subscript"/>
        </w:rPr>
        <w:t>0</w:t>
      </w:r>
      <w:r>
        <w:t>和T</w:t>
      </w:r>
      <w:r>
        <w:rPr>
          <w:vertAlign w:val="subscript"/>
        </w:rPr>
        <w:t>1</w:t>
      </w:r>
    </w:p>
    <w:p>
      <w:pPr>
        <w:spacing w:before="0" w:after="200" w:lineRule="auto" w:line="276"/>
      </w:pPr>
      <w:r>
        <w:rPr>
          <w:b/>
        </w:rPr>
        <w:t xml:space="preserve">Abstract (EN): </w:t>
      </w:r>
      <w:r>
        <w:t>Luminescent diradicals hold great promise for optomagnetic applications, yet those with a triplet ground state remain largely underexplored for the inherent high reactivity from two spin‐parallel unpaired electrons, which hinders synthesis and enhances non‐radiative quenching. Herein, we report the first luminescent Schlenk diradical</w:t>
      </w:r>
      <w:r>
        <w:rPr>
          <w:vertAlign w:val="subscript"/>
        </w:rPr>
        <w:t>2</w:t>
      </w:r>
      <w:r>
        <w:t>with a distinct triplet ground state, concisely assembled from a methoxybenzene core and four polychlorobenzene pendants and readily isolated under air by routine silica‐gel chromatography. Good stability results from the steric hindrance of its propeller conformation, which effectively safeguards the two carbon radical centers. Comprehensive characterization elucidated the molecular structure and confirmed a triplet ground state with strong magnetic exchange interaction (</w:t>
      </w:r>
      <w:r>
        <w:t xml:space="preserve"> </w:t>
      </w:r>
      <w:r>
        <w:t>J/k</w:t>
      </w:r>
      <w:r>
        <w:t xml:space="preserve"> </w:t>
      </w:r>
      <w:r>
        <w:t>B</w:t>
      </w:r>
      <w:r>
        <w:t xml:space="preserve"> </w:t>
      </w:r>
      <w:r>
        <w:t>&amp;gt; 320 K). Notably, diradical</w:t>
      </w:r>
      <w:r>
        <w:rPr>
          <w:vertAlign w:val="subscript"/>
        </w:rPr>
        <w:t>2</w:t>
      </w:r>
      <w:r>
        <w:t>shows a red emission at 619 nm with a quantum yield of 9.6% in cyclohexane, facilitated by its rigid propeller conformation and the D–A electron distribution for the coexistence of electron‐rich methoxybenzene and electron‐deficient polychlorobenzenes. The luminescence predominantly originates from the T</w:t>
      </w:r>
      <w:r>
        <w:rPr>
          <w:vertAlign w:val="subscript"/>
        </w:rPr>
        <w:t>1</w:t>
      </w:r>
      <w:r>
        <w:t>→ T</w:t>
      </w:r>
      <w:r>
        <w:rPr>
          <w:vertAlign w:val="subscript"/>
        </w:rPr>
        <w:t>0</w:t>
      </w:r>
      <w:r>
        <w:t>transition, as the large energy gaps (T</w:t>
      </w:r>
      <w:r>
        <w:rPr>
          <w:vertAlign w:val="subscript"/>
        </w:rPr>
        <w:t>0</w:t>
      </w:r>
      <w:r>
        <w:t>→ S</w:t>
      </w:r>
      <w:r>
        <w:rPr>
          <w:vertAlign w:val="subscript"/>
        </w:rPr>
        <w:t>0</w:t>
      </w:r>
      <w:r>
        <w:t>and T</w:t>
      </w:r>
      <w:r>
        <w:rPr>
          <w:vertAlign w:val="subscript"/>
        </w:rPr>
        <w:t>1</w:t>
      </w:r>
      <w:r>
        <w:t>→ S</w:t>
      </w:r>
      <w:r>
        <w:rPr>
          <w:vertAlign w:val="subscript"/>
        </w:rPr>
        <w:t>1</w:t>
      </w:r>
      <w:r>
        <w:t>) prohibit singlet‐state luminescence. This work not only enlarges the Schlenk hydrocarbon family but also opens new avenues for the understanding and design of luminescent high‐spin species.</w:t>
      </w:r>
    </w:p>
    <w:p>
      <w:pPr>
        <w:spacing w:before="120" w:after="120"/>
      </w:pPr>
      <w:r>
        <w:rPr>
          <w:sz w:val="18"/>
        </w:rPr>
        <w:t>——————————————————————————————————————————————————————————————————————</w:t>
      </w:r>
    </w:p>
    <w:p>
      <w:pPr>
        <w:spacing w:before="160" w:after="40" w:line="240" w:lineRule="auto"/>
      </w:pPr>
      <w:r>
        <w:rPr>
          <w:b/>
        </w:rPr>
        <w:t xml:space="preserve">[193] </w:t>
      </w:r>
      <w:hyperlink r:id="rId627">
        <w:r>
          <w:rPr>
            <w:color w:val="1155CC"/>
            <w:u w:val="single"/>
          </w:rPr>
          <w:t>Haldane-Holstein 模型中的实空间拓扑和电荷顺序</w:t>
        </w:r>
      </w:hyperlink>
    </w:p>
    <w:p>
      <w:pPr>
        <w:spacing w:before="0" w:after="80"/>
      </w:pPr>
      <w:r>
        <w:rPr>
          <w:i/>
          <w:sz w:val="20"/>
        </w:rPr>
        <w:t>EN: Real-Space Topology and Charge Order in the Haldane-Holstein Model</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28">
        <w:r>
          <w:rPr>
            <w:color w:val="1155CC"/>
            <w:u w:val="single"/>
          </w:rPr>
          <w:t>10.1103/s1my-sryj</w:t>
        </w:r>
      </w:hyperlink>
    </w:p>
    <w:p>
      <w:pPr>
        <w:spacing w:before="0" w:after="120"/>
      </w:pPr>
      <w:r>
        <w:rPr>
          <w:b/>
        </w:rPr>
        <w:t xml:space="preserve">Notes: </w:t>
      </w:r>
      <w:r>
        <w:t>abstract_source=rss_description</w:t>
      </w:r>
    </w:p>
    <w:p>
      <w:pPr>
        <w:spacing w:before="0" w:after="80" w:lineRule="auto" w:line="276"/>
      </w:pPr>
      <w:r>
        <w:rPr>
          <w:b/>
        </w:rPr>
        <w:t xml:space="preserve">摘要（ZH）: </w:t>
      </w:r>
      <w:r>
        <w:t>作者：Sebastião dos A. Sousa-Júnior、Julian Faúndez、Tarik P. Cysne、Richard T. Scalettar 和 Rubem Mondaini 我们研究了半填充 Haldane-Holstein 模型，其中典型的陈绝缘体与全动态声子耦合，并提供了延迟电子声子相互作用如何破坏陈拓扑稳定性的无偏表征。使用行列式量子蒙特卡罗，我们发现增加......[物理。莱特牧师。 136, 256501] 2026 年 6 月 23 日星期二发布</w:t>
      </w:r>
    </w:p>
    <w:p>
      <w:pPr>
        <w:spacing w:before="0" w:after="200" w:lineRule="auto" w:line="276"/>
      </w:pPr>
      <w:r>
        <w:rPr>
          <w:b/>
        </w:rPr>
        <w:t xml:space="preserve">Abstract (EN): </w:t>
      </w:r>
      <w:r>
        <w:t>Author(s): Sebastião dos A. Sousa-Júnior, Julián Faúndez, Tarik P. Cysne, Richard T. Scalettar, and Rubem MondainiWe study the half-filled Haldane-Holstein model, where a paradigmatic Chern insulator is coupled to fully dynamical phonons, and provide an unbiased characterization of how retarded electron-phonon interactions destabilize Chern topology. Using determinant quantum Monte Carlo, we find that increasin…[Phys. Rev. Lett. 136, 256501] Published Tue Jun 23, 2026</w:t>
      </w:r>
    </w:p>
    <w:p>
      <w:pPr>
        <w:spacing w:before="120" w:after="120"/>
      </w:pPr>
      <w:r>
        <w:rPr>
          <w:sz w:val="18"/>
        </w:rPr>
        <w:t>——————————————————————————————————————————————————————————————————————</w:t>
      </w:r>
    </w:p>
    <w:p>
      <w:pPr>
        <w:spacing w:before="160" w:after="40" w:line="240" w:lineRule="auto"/>
      </w:pPr>
      <w:r>
        <w:rPr>
          <w:b/>
        </w:rPr>
        <w:t xml:space="preserve">[194] </w:t>
      </w:r>
      <w:hyperlink r:id="rId629">
        <w:r>
          <w:rPr>
            <w:color w:val="1155CC"/>
            <w:u w:val="single"/>
          </w:rPr>
          <w:t>相关 Kagome 平带金属中的突现动态近藤相干性和竞争磁序 ${\mathrm{CsCr}}_{6}{\mathrm{Sb}}_{6}$</w:t>
        </w:r>
      </w:hyperlink>
    </w:p>
    <w:p>
      <w:pPr>
        <w:spacing w:before="0" w:after="80"/>
      </w:pPr>
      <w:r>
        <w:rPr>
          <w:i/>
          <w:sz w:val="20"/>
        </w:rPr>
        <w:t>EN: Emergent Dynamical Kondo Coherence and Competing Magnetic Order in a Correlated Kagome Flat-Band Metal ${\mathrm{CsCr}}_{6}{\mathrm{Sb}}_{6}$</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30">
        <w:r>
          <w:rPr>
            <w:color w:val="1155CC"/>
            <w:u w:val="single"/>
          </w:rPr>
          <w:t>10.1103/f8b9-q54m</w:t>
        </w:r>
      </w:hyperlink>
    </w:p>
    <w:p>
      <w:pPr>
        <w:spacing w:before="0" w:after="120"/>
      </w:pPr>
      <w:r>
        <w:rPr>
          <w:b/>
        </w:rPr>
        <w:t xml:space="preserve">Notes: </w:t>
      </w:r>
      <w:r>
        <w:t>abstract_source=rss_description</w:t>
      </w:r>
    </w:p>
    <w:p>
      <w:pPr>
        <w:spacing w:before="0" w:after="80" w:lineRule="auto" w:line="276"/>
      </w:pPr>
      <w:r>
        <w:rPr>
          <w:b/>
        </w:rPr>
        <w:t xml:space="preserve">摘要（ZH）: </w:t>
      </w:r>
      <w:r>
        <w:t>作者：Xiangqi Liu、Xuefeng Zhang、Jiachen Jiao、Renjie Zhang、Kaiwen Chen、Ying Wang、Yunguan Ye、Zhenhai Yu、Chengyu Jiang、Xia Wang、Bei Jiang、Yaobo Huang、Lei Shu、Baiqing Lv、Gang Li 和 Yanfeng Gu相关的 Kagome 金属拥有独特的电子态，能够实现奇异的量子现象。在最近出现的 ${\mathrm{CsCr}}_{6}{\mathrm{Sb}}_{6}$ 中，这些通过局域 $\mathrm{Cr}\text{−}3d$ 电子的近藤行为和费米能级附近前所未有的能带平坦化来体现。 …[物理。莱特牧师。 136, 256601] 2026 年 6 月 23 日星期二发布</w:t>
      </w:r>
    </w:p>
    <w:p>
      <w:pPr>
        <w:spacing w:before="0" w:after="200" w:lineRule="auto" w:line="276"/>
      </w:pPr>
      <w:r>
        <w:rPr>
          <w:b/>
        </w:rPr>
        <w:t xml:space="preserve">Abstract (EN): </w:t>
      </w:r>
      <w:r>
        <w:t>Author(s): Xiangqi Liu, Xuefeng Zhang, Jiachen Jiao, Renjie Zhang, Kaiwen Chen, Ying Wang, Yunguan Ye, Zhenhai Yu, Chengyu Jiang, Xia Wang, Bei Jiang, Yaobo Huang, Lei Shu, Baiqing Lv, Gang Li, and Yanfeng GuoCorrelated kagome metals host unique electronic states that enable exotic quantum phenomena. In the recently emerged ${\mathrm{CsCr}}_{6}{\mathrm{Sb}}_{6}$, these manifest through Kondo behavior from localized $\mathrm{Cr}\text{−}3d$ electrons and unprecedented band flattening near the Fermi level. …[Phys. Rev. Lett. 136, 256601] Published Tue Jun 23, 2026</w:t>
      </w:r>
    </w:p>
    <w:p>
      <w:pPr>
        <w:spacing w:before="120" w:after="120"/>
      </w:pPr>
      <w:r>
        <w:rPr>
          <w:sz w:val="18"/>
        </w:rPr>
        <w:t>——————————————————————————————————————————————————————————————————————</w:t>
      </w:r>
    </w:p>
    <w:p>
      <w:pPr>
        <w:spacing w:before="160" w:after="40" w:line="240" w:lineRule="auto"/>
      </w:pPr>
      <w:r>
        <w:rPr>
          <w:b/>
        </w:rPr>
        <w:t xml:space="preserve">[195] </w:t>
      </w:r>
      <w:hyperlink r:id="rId631">
        <w:r>
          <w:rPr>
            <w:color w:val="1155CC"/>
            <w:u w:val="single"/>
          </w:rPr>
          <w:t>超冷分子束中的自旋干涉测量</w:t>
        </w:r>
      </w:hyperlink>
    </w:p>
    <w:p>
      <w:pPr>
        <w:spacing w:before="0" w:after="80"/>
      </w:pPr>
      <w:r>
        <w:rPr>
          <w:i/>
          <w:sz w:val="20"/>
        </w:rPr>
        <w:t>EN: Spin Interferometry in a Beam of Ultracold Molecules</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32">
        <w:r>
          <w:rPr>
            <w:color w:val="1155CC"/>
            <w:u w:val="single"/>
          </w:rPr>
          <w:t>10.1103/6g7x-y15q</w:t>
        </w:r>
      </w:hyperlink>
    </w:p>
    <w:p>
      <w:pPr>
        <w:spacing w:before="0" w:after="120"/>
      </w:pPr>
      <w:r>
        <w:rPr>
          <w:b/>
        </w:rPr>
        <w:t xml:space="preserve">Notes: </w:t>
      </w:r>
      <w:r>
        <w:t>abstract_source=rss_description</w:t>
      </w:r>
    </w:p>
    <w:p>
      <w:pPr>
        <w:spacing w:before="0" w:after="80" w:lineRule="auto" w:line="276"/>
      </w:pPr>
      <w:r>
        <w:rPr>
          <w:b/>
        </w:rPr>
        <w:t xml:space="preserve">摘要（ZH）: </w:t>
      </w:r>
      <w:r>
        <w:t>作者：R. A. Jenkins、M. T. Ziemba、F. J. Collings、X. S. Cheng、F. Castellini、E. Wursten、J. Lim、B. E. Sauer 和 M. R. Tarbutt 我们描述了一种使用超冷 YbF 分子的自旋干涉仪，并开发了用该设备测量电子电偶极矩 ${d}_{e}$ 所需的全套技术。分子在光学糖蜜中冷却并以单一内部量子态制备。拉曼……[物理。莱特牧师。 136, 253401] 2026 年 6 月 23 日星期二发布</w:t>
      </w:r>
    </w:p>
    <w:p>
      <w:pPr>
        <w:spacing w:before="0" w:after="200" w:lineRule="auto" w:line="276"/>
      </w:pPr>
      <w:r>
        <w:rPr>
          <w:b/>
        </w:rPr>
        <w:t xml:space="preserve">Abstract (EN): </w:t>
      </w:r>
      <w:r>
        <w:t>Author(s): R. A. Jenkins, M. T. Ziemba, F. J. Collings, X. S. Zheng, F. Castellini, E. Wursten, J. Lim, B. E. Sauer, and M. R. TarbuttWe describe a spin interferometer using ultracold YbF molecules and develop the complete set of techniques needed to measure the electron’s electric dipole moment, ${d}_{e}$, with this apparatus. The molecules are cooled in an optical molasses and prepared in a single internal quantum state. A Raman…[Phys. Rev. Lett. 136, 253401] Published Tue Jun 23, 2026</w:t>
      </w:r>
    </w:p>
    <w:p>
      <w:pPr>
        <w:spacing w:before="120" w:after="120"/>
      </w:pPr>
      <w:r>
        <w:rPr>
          <w:sz w:val="18"/>
        </w:rPr>
        <w:t>——————————————————————————————————————————————————————————————————————</w:t>
      </w:r>
    </w:p>
    <w:p>
      <w:pPr>
        <w:spacing w:before="160" w:after="40" w:line="240" w:lineRule="auto"/>
      </w:pPr>
      <w:r>
        <w:rPr>
          <w:b/>
        </w:rPr>
        <w:t xml:space="preserve">[196] </w:t>
      </w:r>
      <w:hyperlink r:id="rId633">
        <w:r>
          <w:rPr>
            <w:color w:val="1155CC"/>
            <w:u w:val="single"/>
          </w:rPr>
          <w:t>双光子泵浦极化子凝聚体中暗激子引起的玻色子刺激的时间特征</w:t>
        </w:r>
      </w:hyperlink>
    </w:p>
    <w:p>
      <w:pPr>
        <w:spacing w:before="0" w:after="80"/>
      </w:pPr>
      <w:r>
        <w:rPr>
          <w:i/>
          <w:sz w:val="20"/>
        </w:rPr>
        <w:t>EN: Temporal Signature of Bosonic Stimulation Induced by Dark Exciton in a Two-Photon-Pumped Polariton Condensate</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34">
        <w:r>
          <w:rPr>
            <w:color w:val="1155CC"/>
            <w:u w:val="single"/>
          </w:rPr>
          <w:t>10.1103/s7t5-l6xg</w:t>
        </w:r>
      </w:hyperlink>
    </w:p>
    <w:p>
      <w:pPr>
        <w:spacing w:before="0" w:after="120"/>
      </w:pPr>
      <w:r>
        <w:rPr>
          <w:b/>
        </w:rPr>
        <w:t xml:space="preserve">Notes: </w:t>
      </w:r>
      <w:r>
        <w:t>abstract_source=rss_description</w:t>
      </w:r>
    </w:p>
    <w:p>
      <w:pPr>
        <w:spacing w:before="0" w:after="80" w:lineRule="auto" w:line="276"/>
      </w:pPr>
      <w:r>
        <w:rPr>
          <w:b/>
        </w:rPr>
        <w:t xml:space="preserve">摘要（ZH）: </w:t>
      </w:r>
      <w:r>
        <w:t>作者：Nadav Landau、Dmitry Panna、Sarit Feldman、Sebastian Brodbeck、Christian Schneider、Sven Höfling 和 Alex Hayat 强耦合光物质激子极化激元构成了一个片上固态平台，其中凝聚的宏观量子现象不仅可以在高温下实现，而且还可以通过光学控制，包括通过它们与难以接近的“暗”恒星的相互作用......莱特牧师。 136, 256901] 2026 年 6 月 23 日星期二发布</w:t>
      </w:r>
    </w:p>
    <w:p>
      <w:pPr>
        <w:spacing w:before="0" w:after="200" w:lineRule="auto" w:line="276"/>
      </w:pPr>
      <w:r>
        <w:rPr>
          <w:b/>
        </w:rPr>
        <w:t xml:space="preserve">Abstract (EN): </w:t>
      </w:r>
      <w:r>
        <w:t>Author(s): Nadav Landau, Dmitry Panna, Sarit Feldman, Sebastian Brodbeck, Christian Schneider, Sven Höfling, and Alex HayatStrongly coupled light-matter exciton-polaritons constitute an on-chip solid-state platform where the macroscopic quantum phenomenon of condensation is not only achievable at elevated temperatures, but can also be optically controlled, including through their interaction with inaccessible “dark” sta…[Phys. Rev. Lett. 136, 256901] Published Tue Jun 23, 2026</w:t>
      </w:r>
    </w:p>
    <w:p>
      <w:pPr>
        <w:spacing w:before="120" w:after="120"/>
      </w:pPr>
      <w:r>
        <w:rPr>
          <w:sz w:val="18"/>
        </w:rPr>
        <w:t>——————————————————————————————————————————————————————————————————————</w:t>
      </w:r>
    </w:p>
    <w:p>
      <w:pPr>
        <w:spacing w:before="160" w:after="40" w:line="240" w:lineRule="auto"/>
      </w:pPr>
      <w:r>
        <w:rPr>
          <w:b/>
        </w:rPr>
        <w:t xml:space="preserve">[197] </w:t>
      </w:r>
      <w:hyperlink r:id="rId635">
        <w:r>
          <w:rPr>
            <w:color w:val="1155CC"/>
            <w:u w:val="single"/>
          </w:rPr>
          <w:t>$^{45}\mathrm{V}(p,γ)^{46}\mathrm{Cr}$反应中共振态的识别及其对核心塌陷超新星$^{44}\mathrm{Ti}$产生的影响</w:t>
        </w:r>
      </w:hyperlink>
    </w:p>
    <w:p>
      <w:pPr>
        <w:spacing w:before="0" w:after="80"/>
      </w:pPr>
      <w:r>
        <w:rPr>
          <w:i/>
          <w:sz w:val="20"/>
        </w:rPr>
        <w:t>EN: Identification of Resonant States in the $^{45}\mathrm{V}(p,γ)^{46}\mathrm{Cr}$ Reaction and Their Influence on the Production of $^{44}\mathrm{Ti}$ in Core-Collapse Supernovae</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36">
        <w:r>
          <w:rPr>
            <w:color w:val="1155CC"/>
            <w:u w:val="single"/>
          </w:rPr>
          <w:t>10.1103/9zv2-wlkl</w:t>
        </w:r>
      </w:hyperlink>
    </w:p>
    <w:p>
      <w:pPr>
        <w:spacing w:before="0" w:after="120"/>
      </w:pPr>
      <w:r>
        <w:rPr>
          <w:b/>
        </w:rPr>
        <w:t xml:space="preserve">Notes: </w:t>
      </w:r>
      <w:r>
        <w:t>abstract_source=rss_description</w:t>
      </w:r>
    </w:p>
    <w:p>
      <w:pPr>
        <w:spacing w:before="0" w:after="80" w:lineRule="auto" w:line="276"/>
      </w:pPr>
      <w:r>
        <w:rPr>
          <w:b/>
        </w:rPr>
        <w:t xml:space="preserve">摘要（ZH）: </w:t>
      </w:r>
      <w:r>
        <w:t>作者：C. Cousins、G. Lotay、D. T. Doherty、D. Seweryniak、C. Sarma、C. M. Campbell、L. Canete、M. P. Carpenter、W. N. Catford、K. A. Chipps、J. Henderson、A. R. L. Kennington、T. Lauritsen、J. Li、M. Moukaddam、C. Müller-Gatermann、 C. O’Shea、S. D. Pain、C. J. Paxman、B. J. Reed、P. H. Regan、W. Reviol、M. Siciliano、G. L. Wilson 和 S. Zhu超新星遗迹中活跃的 $^{44}\mathrm{Ti}$ 的观测提供了解决现代天体物理学中最有争议的问题之一的潜力，即核心塌缩超新星的确切潜在爆炸机制（CCSNe）。特别是预测合成产量之间的比较……[Phys。莱特牧师。 136, 252701] 2026 年 6 月 23 日星期二发布</w:t>
      </w:r>
    </w:p>
    <w:p>
      <w:pPr>
        <w:spacing w:before="0" w:after="200" w:lineRule="auto" w:line="276"/>
      </w:pPr>
      <w:r>
        <w:rPr>
          <w:b/>
        </w:rPr>
        <w:t xml:space="preserve">Abstract (EN): </w:t>
      </w:r>
      <w:r>
        <w:t>Author(s): C. Cousins, G. Lotay, D. T. Doherty, D. Seweryniak, C. Sarma, C. M. Campbell, L. Canete, M. P. Carpenter, W. N. Catford, K. A. Chipps, J. Henderson, A. R. L. Kennington, T. Lauritsen, J. Li, M. Moukaddam, C. Müller-Gatermann, C. O’Shea, S. D. Pain, C. J. Paxman, B. J. Reed, P. H. Regan, W. Reviol, M. Siciliano, G. L. Wilson, and S. ZhuThe observation of active $^{44}\mathrm{Ti}$ in supernova remnants offers the potential to solve one of the most debated questions in modern astrophysics, the exact underlying explosion mechanism of core collapse supernovae (CCSNe). In particular, a comparison between the predicted synthesized yield…[Phys. Rev. Lett. 136, 252701] Published Tue Jun 23, 2026</w:t>
      </w:r>
    </w:p>
    <w:p>
      <w:pPr>
        <w:spacing w:before="120" w:after="120"/>
      </w:pPr>
      <w:r>
        <w:rPr>
          <w:sz w:val="18"/>
        </w:rPr>
        <w:t>——————————————————————————————————————————————————————————————————————</w:t>
      </w:r>
    </w:p>
    <w:p>
      <w:pPr>
        <w:spacing w:before="160" w:after="40" w:line="240" w:lineRule="auto"/>
      </w:pPr>
      <w:r>
        <w:rPr>
          <w:b/>
        </w:rPr>
        <w:t xml:space="preserve">[198] </w:t>
      </w:r>
      <w:hyperlink r:id="rId637">
        <w:r>
          <w:rPr>
            <w:color w:val="1155CC"/>
            <w:u w:val="single"/>
          </w:rPr>
          <w:t>裂变中角动量和纠缠的本征生成</w:t>
        </w:r>
      </w:hyperlink>
    </w:p>
    <w:p>
      <w:pPr>
        <w:spacing w:before="0" w:after="80"/>
      </w:pPr>
      <w:r>
        <w:rPr>
          <w:i/>
          <w:sz w:val="20"/>
        </w:rPr>
        <w:t>EN: Intrinsic Generation of Angular Momenta and Entanglement in Fission</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38">
        <w:r>
          <w:rPr>
            <w:color w:val="1155CC"/>
            <w:u w:val="single"/>
          </w:rPr>
          <w:t>10.1103/tyht-frnf</w:t>
        </w:r>
      </w:hyperlink>
    </w:p>
    <w:p>
      <w:pPr>
        <w:spacing w:before="0" w:after="120"/>
      </w:pPr>
      <w:r>
        <w:rPr>
          <w:b/>
        </w:rPr>
        <w:t xml:space="preserve">Notes: </w:t>
      </w:r>
      <w:r>
        <w:t>abstract_source=rss_description</w:t>
      </w:r>
    </w:p>
    <w:p>
      <w:pPr>
        <w:spacing w:before="0" w:after="80" w:lineRule="auto" w:line="276"/>
      </w:pPr>
      <w:r>
        <w:rPr>
          <w:b/>
        </w:rPr>
        <w:t xml:space="preserve">摘要（ZH）: </w:t>
      </w:r>
      <w:r>
        <w:t>作者：B. Li、D. D. 张、D. Vretenar、T. Nikšić、P. W. Zhao 和 J.Meng 核时间相关密度泛函理论用于研究 $^{252}\mathrm{Cf}$ 自发裂变中裂变碎片的自旋生成和纠缠，包括轴向和非轴向变形。轴对称裂变轨迹强制执行严格的约束：反......[物理。莱特牧师。 136, 252502] 2026 年 6 月 23 日星期二发布</w:t>
      </w:r>
    </w:p>
    <w:p>
      <w:pPr>
        <w:spacing w:before="0" w:after="200" w:lineRule="auto" w:line="276"/>
      </w:pPr>
      <w:r>
        <w:rPr>
          <w:b/>
        </w:rPr>
        <w:t xml:space="preserve">Abstract (EN): </w:t>
      </w:r>
      <w:r>
        <w:t>Author(s): B. Li, D. D. Zhang, D. Vretenar, T. Nikšić, P. W. Zhao, and J. MengNuclear time-dependent density functional theory is used to investigate spin generation and entanglement of fission fragments in spontaneous fission of $^{252}\mathrm{Cf}$, incorporating both axial and nonaxial deformations. Axially symmetric fission trajectories enforce strict constraints: counterr…[Phys. Rev. Lett. 136, 252502] Published Tue Jun 23, 2026</w:t>
      </w:r>
    </w:p>
    <w:p>
      <w:pPr>
        <w:spacing w:before="120" w:after="120"/>
      </w:pPr>
      <w:r>
        <w:rPr>
          <w:sz w:val="18"/>
        </w:rPr>
        <w:t>——————————————————————————————————————————————————————————————————————</w:t>
      </w:r>
    </w:p>
    <w:p>
      <w:pPr>
        <w:spacing w:before="160" w:after="40" w:line="240" w:lineRule="auto"/>
      </w:pPr>
      <w:r>
        <w:rPr>
          <w:b/>
        </w:rPr>
        <w:t xml:space="preserve">[199] </w:t>
      </w:r>
      <w:hyperlink r:id="rId639">
        <w:r>
          <w:rPr>
            <w:color w:val="1155CC"/>
            <w:u w:val="single"/>
          </w:rPr>
          <w:t>$^{102}\mathrm{Ru}$中的低能偶极子强度分布：剪刀和八极子共振的共存</w:t>
        </w:r>
      </w:hyperlink>
    </w:p>
    <w:p>
      <w:pPr>
        <w:spacing w:before="0" w:after="80"/>
      </w:pPr>
      <w:r>
        <w:rPr>
          <w:i/>
          <w:sz w:val="20"/>
        </w:rPr>
        <w:t>EN: Low-Energy Dipole Strength Distribution in $^{102}\mathrm{Ru}$: Coexistence of Scissors and Octupole Resonances</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40">
        <w:r>
          <w:rPr>
            <w:color w:val="1155CC"/>
            <w:u w:val="single"/>
          </w:rPr>
          <w:t>10.1103/rcb1-gntj</w:t>
        </w:r>
      </w:hyperlink>
    </w:p>
    <w:p>
      <w:pPr>
        <w:spacing w:before="0" w:after="120"/>
      </w:pPr>
      <w:r>
        <w:rPr>
          <w:b/>
        </w:rPr>
        <w:t xml:space="preserve">Notes: </w:t>
      </w:r>
      <w:r>
        <w:t>abstract_source=rss_description</w:t>
      </w:r>
    </w:p>
    <w:p>
      <w:pPr>
        <w:spacing w:before="0" w:after="80" w:lineRule="auto" w:line="276"/>
      </w:pPr>
      <w:r>
        <w:rPr>
          <w:b/>
        </w:rPr>
        <w:t xml:space="preserve">摘要（ZH）: </w:t>
      </w:r>
      <w:r>
        <w:t>作者：A. Saracino、A. D. Ayangeakaa、Q. B. Chen、S. Frauendorf、S. R. Johnson、R. V. F. Janssens、E. Churchman、S. W. Finch、D. Gribble、F. E. Idoko、X. K.-H. James、T. M. Kowalewski、M. Lee、A. Psaltis 和 K. Song 首次使用核共振荧光研究了 $^{102}\mathrm{Ru}$ 的偶极响应，提供了有关原子核的全面而详细的信息。 $M1$ 强度集中在 3-4 MeV 区域，与剪刀共振一致。令人惊讶的是……[物理。莱特牧师。 136, 252501] 2026 年 6 月 23 日星期二发布</w:t>
      </w:r>
    </w:p>
    <w:p>
      <w:pPr>
        <w:spacing w:before="0" w:after="200" w:lineRule="auto" w:line="276"/>
      </w:pPr>
      <w:r>
        <w:rPr>
          <w:b/>
        </w:rPr>
        <w:t xml:space="preserve">Abstract (EN): </w:t>
      </w:r>
      <w:r>
        <w:t>Author(s): A. Saracino, A. D. Ayangeakaa, Q. B. Chen, S. Frauendorf, S. R. Johnson, R. V. F. Janssens, E. Churchman, S. W. Finch, D. Gribble, F. E. Idoko, X. K.-H. James, T. M. Kowalewski, M. Lee, A. Psaltis, and K. SongThe dipole response of $^{102}\mathrm{Ru}$ has been investigated for the first time using nuclear resonance fluorescence, providing comprehensive and detailed information about the nucleus. The $M1$ strength, concentrated in the 3–4 MeV region, is consistent with a scissors resonance. As a surprisin…[Phys. Rev. Lett. 136, 252501] Published Tue Jun 23, 2026</w:t>
      </w:r>
    </w:p>
    <w:p>
      <w:pPr>
        <w:spacing w:before="120" w:after="120"/>
      </w:pPr>
      <w:r>
        <w:rPr>
          <w:sz w:val="18"/>
        </w:rPr>
        <w:t>——————————————————————————————————————————————————————————————————————</w:t>
      </w:r>
    </w:p>
    <w:p>
      <w:pPr>
        <w:spacing w:before="160" w:after="40" w:line="240" w:lineRule="auto"/>
      </w:pPr>
      <w:r>
        <w:rPr>
          <w:b/>
        </w:rPr>
        <w:t xml:space="preserve">[200] </w:t>
      </w:r>
      <w:hyperlink r:id="rId641">
        <w:r>
          <w:rPr>
            <w:color w:val="1155CC"/>
            <w:u w:val="single"/>
          </w:rPr>
          <w:t>${α}_{s}^{4}$ 阶正负电子湮灭中的四射流速率</w:t>
        </w:r>
      </w:hyperlink>
    </w:p>
    <w:p>
      <w:pPr>
        <w:spacing w:before="0" w:after="80"/>
      </w:pPr>
      <w:r>
        <w:rPr>
          <w:i/>
          <w:sz w:val="20"/>
        </w:rPr>
        <w:t>EN: Four-Jet Rate in Electron-Positron Annihilation at Order ${α}_{s}^{4}$</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42">
        <w:r>
          <w:rPr>
            <w:color w:val="1155CC"/>
            <w:u w:val="single"/>
          </w:rPr>
          <w:t>10.1103/xxg6-yd47</w:t>
        </w:r>
      </w:hyperlink>
    </w:p>
    <w:p>
      <w:pPr>
        <w:spacing w:before="0" w:after="120"/>
      </w:pPr>
      <w:r>
        <w:rPr>
          <w:b/>
        </w:rPr>
        <w:t xml:space="preserve">Notes: </w:t>
      </w:r>
      <w:r>
        <w:t>abstract_source=rss_description</w:t>
      </w:r>
    </w:p>
    <w:p>
      <w:pPr>
        <w:spacing w:before="0" w:after="80" w:lineRule="auto" w:line="276"/>
      </w:pPr>
      <w:r>
        <w:rPr>
          <w:b/>
        </w:rPr>
        <w:t xml:space="preserve">摘要（ZH）: </w:t>
      </w:r>
      <w:r>
        <w:t>作者：Xuan Chen、Dmitry Chicherin、Elliot Fox、Nigel Glover、Matteo Marcoli、Vasily Sotnikov、Huiting Sun、Hantian Zhang 和 Simone Zoia 我们首次计算了电子-正电子湮灭中四股喷流的生产率。我们的计算显示了迄今为止在这种扰动精度下考虑的最高最终状态射流多重性。红外奇点的消除得以实现……[物理学。莱特牧师。 136, 251901] 2026 年 6 月 23 日星期二发布</w:t>
      </w:r>
    </w:p>
    <w:p>
      <w:pPr>
        <w:spacing w:before="0" w:after="200" w:lineRule="auto" w:line="276"/>
      </w:pPr>
      <w:r>
        <w:rPr>
          <w:b/>
        </w:rPr>
        <w:t xml:space="preserve">Abstract (EN): </w:t>
      </w:r>
      <w:r>
        <w:t>Author(s): Xuan Chen, Dmitry Chicherin, Elliot Fox, Nigel Glover, Matteo Marcoli, Vasily Sotnikov, Huiting Sun, Hantian Zhang, and Simone ZoiaWe compute for the first time the production rate for four jets in electron-positron annihilation at next-to-next-to-leading order. Our calculation exhibits the highest final-state jet multiplicity considered at this perturbative accuracy to date. The cancellation of infrared singularities is achiev…[Phys. Rev. Lett. 136, 251901] Published Tue Jun 23, 2026</w:t>
      </w:r>
    </w:p>
    <w:p>
      <w:pPr>
        <w:spacing w:before="120" w:after="120"/>
      </w:pPr>
      <w:r>
        <w:rPr>
          <w:sz w:val="18"/>
        </w:rPr>
        <w:t>——————————————————————————————————————————————————————————————————————</w:t>
      </w:r>
    </w:p>
    <w:p>
      <w:pPr>
        <w:spacing w:before="160" w:after="40" w:line="240" w:lineRule="auto"/>
      </w:pPr>
      <w:r>
        <w:rPr>
          <w:b/>
        </w:rPr>
        <w:t xml:space="preserve">[201] </w:t>
      </w:r>
      <w:hyperlink r:id="rId643">
        <w:r>
          <w:rPr>
            <w:color w:val="1155CC"/>
            <w:u w:val="single"/>
          </w:rPr>
          <w:t>${e}^{+}{e}^{−}$ 碰撞中喷射强子产生的精确 QCD 预测</w:t>
        </w:r>
      </w:hyperlink>
    </w:p>
    <w:p>
      <w:pPr>
        <w:spacing w:before="0" w:after="80"/>
      </w:pPr>
      <w:r>
        <w:rPr>
          <w:i/>
          <w:sz w:val="20"/>
        </w:rPr>
        <w:t>EN: Precise QCD Predictions for Hadron-in-Jet Production in ${e}^{+}{e}^{−}$ Collisions</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44">
        <w:r>
          <w:rPr>
            <w:color w:val="1155CC"/>
            <w:u w:val="single"/>
          </w:rPr>
          <w:t>10.1103/l14v-1r2c</w:t>
        </w:r>
      </w:hyperlink>
    </w:p>
    <w:p>
      <w:pPr>
        <w:spacing w:before="0" w:after="120"/>
      </w:pPr>
      <w:r>
        <w:rPr>
          <w:b/>
        </w:rPr>
        <w:t xml:space="preserve">Notes: </w:t>
      </w:r>
      <w:r>
        <w:t>abstract_source=rss_description</w:t>
      </w:r>
    </w:p>
    <w:p>
      <w:pPr>
        <w:spacing w:before="0" w:after="80" w:lineRule="auto" w:line="276"/>
      </w:pPr>
      <w:r>
        <w:rPr>
          <w:b/>
        </w:rPr>
        <w:t xml:space="preserve">摘要（ZH）: </w:t>
      </w:r>
      <w:r>
        <w:t>作者：Leonardo Bonino、Aude Gehrmann-De Ridder、Thomas Gehrmann、Alexander Huss、Francesco Merlotti 和 Giovanni Stagnitto 在 ${e}^{+}{e}^{−}$ 湮灭中在喷流内产生已识别的强子，可以在干净的环境中详细研究部分子到强子的碎片函数。我们计算 ${e}^{+}{e}^{−}→2\text{ }\text{ }\text{jets}$ 和 ${e}^{+}{e}^{−}→…[Phys.莱特牧师。 136, 251903] 2026 年 6 月 23 日星期二发布</w:t>
      </w:r>
    </w:p>
    <w:p>
      <w:pPr>
        <w:spacing w:before="0" w:after="200" w:lineRule="auto" w:line="276"/>
      </w:pPr>
      <w:r>
        <w:rPr>
          <w:b/>
        </w:rPr>
        <w:t xml:space="preserve">Abstract (EN): </w:t>
      </w:r>
      <w:r>
        <w:t>Author(s): Leonardo Bonino, Aude Gehrmann-De Ridder, Thomas Gehrmann, Alexander Huss, Francesco Merlotti, and Giovanni StagnittoThe production of identified hadrons inside jets in ${e}^{+}{e}^{−}$ annihilation allows for detailed studies of parton-to-hadron fragmentation functions in a clean environment. We compute hadron-in-jets production cross sections for ${e}^{+}{e}^{−}→2\text{ }\text{ }\text{jets}$ and ${e}^{+}{e}^{−}→…[Phys. Rev. Lett. 136, 251903] Published Tue Jun 23, 2026</w:t>
      </w:r>
    </w:p>
    <w:p>
      <w:pPr>
        <w:spacing w:before="120" w:after="120"/>
      </w:pPr>
      <w:r>
        <w:rPr>
          <w:sz w:val="18"/>
        </w:rPr>
        <w:t>——————————————————————————————————————————————————————————————————————</w:t>
      </w:r>
    </w:p>
    <w:p>
      <w:pPr>
        <w:spacing w:before="160" w:after="40" w:line="240" w:lineRule="auto"/>
      </w:pPr>
      <w:r>
        <w:rPr>
          <w:b/>
        </w:rPr>
        <w:t xml:space="preserve">[202] </w:t>
      </w:r>
      <w:hyperlink r:id="rId645">
        <w:r>
          <w:rPr>
            <w:color w:val="1155CC"/>
            <w:u w:val="single"/>
          </w:rPr>
          <w:t>在 GlueX 的 $γp→phi{π}^{+}{π}^{−}p$ 的光制作横截面测量中搜索 $Y(2175)$</w:t>
        </w:r>
      </w:hyperlink>
    </w:p>
    <w:p>
      <w:pPr>
        <w:spacing w:before="0" w:after="80"/>
      </w:pPr>
      <w:r>
        <w:rPr>
          <w:i/>
          <w:sz w:val="20"/>
        </w:rPr>
        <w:t>EN: Search for the $Y(2175)$ in the Photoproduction Cross Section Measurement of $γp→ϕ{π}^{+}{π}^{−}p$ at GlueX</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46">
        <w:r>
          <w:rPr>
            <w:color w:val="1155CC"/>
            <w:u w:val="single"/>
          </w:rPr>
          <w:t>10.1103/jsfs-nq46</w:t>
        </w:r>
      </w:hyperlink>
    </w:p>
    <w:p>
      <w:pPr>
        <w:spacing w:before="0" w:after="120"/>
      </w:pPr>
      <w:r>
        <w:rPr>
          <w:b/>
        </w:rPr>
        <w:t xml:space="preserve">Notes: </w:t>
      </w:r>
      <w:r>
        <w:t>abstract_source=rss_description</w:t>
      </w:r>
    </w:p>
    <w:p>
      <w:pPr>
        <w:spacing w:before="0" w:after="80" w:lineRule="auto" w:line="276"/>
      </w:pPr>
      <w:r>
        <w:rPr>
          <w:b/>
        </w:rPr>
        <w:t xml:space="preserve">摘要（ZH）: </w:t>
      </w:r>
      <w:r>
        <w:t>作者：F. Afzal 等人。 （GlueX 合作）基于杰斐逊实验室 GlueX 探测器收集的 $334\text{ }\text{ }{\mathrm{pb}}^{−1}$ 光生产数据，我们通过重建最终状态首次测量了排他反应 $γ+p→phi(1020){π}^{+}{π}^{−}p$ 的横截面${K}^{+}{K}^{−}{π}^{+}{π}^{−}p$ ...[物理。莱特牧师。 136, 251902] 2026 年 6 月 23 日星期二发布</w:t>
      </w:r>
    </w:p>
    <w:p>
      <w:pPr>
        <w:spacing w:before="0" w:after="200" w:lineRule="auto" w:line="276"/>
      </w:pPr>
      <w:r>
        <w:rPr>
          <w:b/>
        </w:rPr>
        <w:t xml:space="preserve">Abstract (EN): </w:t>
      </w:r>
      <w:r>
        <w:t>Author(s): F. Afzal et al. (The GlueX Collaboration)Based on $334\text{ }\text{ }{\mathrm{pb}}^{−1}$ of photoproduction data collected with the GlueX detector at Jefferson Lab, we have measured for the first time the cross section of the exclusive reaction $γ+p→ϕ(1020){π}^{+}{π}^{−}p$ by reconstructing the final state ${K}^{+}{K}^{−}{π}^{+}{π}^{−}p$ …[Phys. Rev. Lett. 136, 251902] Published Tue Jun 23, 2026</w:t>
      </w:r>
    </w:p>
    <w:p>
      <w:pPr>
        <w:spacing w:before="120" w:after="120"/>
      </w:pPr>
      <w:r>
        <w:rPr>
          <w:sz w:val="18"/>
        </w:rPr>
        <w:t>——————————————————————————————————————————————————————————————————————</w:t>
      </w:r>
    </w:p>
    <w:p>
      <w:pPr>
        <w:spacing w:before="160" w:after="40" w:line="240" w:lineRule="auto"/>
      </w:pPr>
      <w:r>
        <w:rPr>
          <w:b/>
        </w:rPr>
        <w:t xml:space="preserve">[203] </w:t>
      </w:r>
      <w:hyperlink r:id="rId647">
        <w:r>
          <w:rPr>
            <w:color w:val="1155CC"/>
            <w:u w:val="single"/>
          </w:rPr>
          <w:t>宇宙剪切力的量子阻尼：环量子宇宙学的新预测</w:t>
        </w:r>
      </w:hyperlink>
    </w:p>
    <w:p>
      <w:pPr>
        <w:spacing w:before="0" w:after="80"/>
      </w:pPr>
      <w:r>
        <w:rPr>
          <w:i/>
          <w:sz w:val="20"/>
        </w:rPr>
        <w:t>EN: Quantum Damping of Cosmological Shear: A New Prediction from Loop Quantum Cosmologies</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48">
        <w:r>
          <w:rPr>
            <w:color w:val="1155CC"/>
            <w:u w:val="single"/>
          </w:rPr>
          <w:t>10.1103/f8tr-bq61</w:t>
        </w:r>
      </w:hyperlink>
    </w:p>
    <w:p>
      <w:pPr>
        <w:spacing w:before="0" w:after="120"/>
      </w:pPr>
      <w:r>
        <w:rPr>
          <w:b/>
        </w:rPr>
        <w:t xml:space="preserve">Notes: </w:t>
      </w:r>
      <w:r>
        <w:t>abstract_source=rss_description</w:t>
      </w:r>
    </w:p>
    <w:p>
      <w:pPr>
        <w:spacing w:before="0" w:after="80" w:lineRule="auto" w:line="276"/>
      </w:pPr>
      <w:r>
        <w:rPr>
          <w:b/>
        </w:rPr>
        <w:t xml:space="preserve">摘要（ZH）: </w:t>
      </w:r>
      <w:r>
        <w:t>作者：Wen-Cong Gan、Leila L. Graef、Rudnei O. Ramos、Gustavo S. Vicente 和 Anzhong Wang 我们在修正环量子宇宙学 (mLQC-I) 中研究了 Bianchi I 宇宙的动力学，并揭示了一种稳健的各向同性机制：在反弹后剪切力被动态抑制，并在量子反弹后状态中快速衰减，与标准状态方程无关……[Phys.莱特牧师。 136, 251501] 2026 年 6 月 23 日星期二发布</w:t>
      </w:r>
    </w:p>
    <w:p>
      <w:pPr>
        <w:spacing w:before="0" w:after="200" w:lineRule="auto" w:line="276"/>
      </w:pPr>
      <w:r>
        <w:rPr>
          <w:b/>
        </w:rPr>
        <w:t xml:space="preserve">Abstract (EN): </w:t>
      </w:r>
      <w:r>
        <w:t>Author(s): Wen-Cong Gan, Leila L. Graef, Rudnei O. Ramos, Gustavo S. Vicente, and Anzhong WangWe study the dynamics of the Bianchi I universe in modified loop quantum cosmology (mLQC-I) and uncover a robust mechanism for isotropization: the shear is dynamically suppressed after the bounce and decays rapidly in the quantum postbounce regime, independently of the equation of state of standard …[Phys. Rev. Lett. 136, 251501] Published Tue Jun 23, 2026</w:t>
      </w:r>
    </w:p>
    <w:p>
      <w:pPr>
        <w:spacing w:before="120" w:after="120"/>
      </w:pPr>
      <w:r>
        <w:rPr>
          <w:sz w:val="18"/>
        </w:rPr>
        <w:t>——————————————————————————————————————————————————————————————————————</w:t>
      </w:r>
    </w:p>
    <w:p>
      <w:pPr>
        <w:spacing w:before="160" w:after="40" w:line="240" w:lineRule="auto"/>
      </w:pPr>
      <w:r>
        <w:rPr>
          <w:b/>
        </w:rPr>
        <w:t xml:space="preserve">[204] </w:t>
      </w:r>
      <w:hyperlink r:id="rId649">
        <w:r>
          <w:rPr>
            <w:color w:val="1155CC"/>
            <w:u w:val="single"/>
          </w:rPr>
          <w:t>通过偏振中子衍射观察块体 MnTe 中的交变磁序切换</w:t>
        </w:r>
      </w:hyperlink>
    </w:p>
    <w:p>
      <w:pPr>
        <w:spacing w:before="0" w:after="80"/>
      </w:pPr>
      <w:r>
        <w:rPr>
          <w:i/>
          <w:sz w:val="20"/>
        </w:rPr>
        <w:t>EN: Observation of Altermagnetic Order Switching in Bulk MnTe by Polarized Neutron Diffraction</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50">
        <w:r>
          <w:rPr>
            <w:color w:val="1155CC"/>
            <w:u w:val="single"/>
          </w:rPr>
          <w:t>10.1103/yklc-9n6t</w:t>
        </w:r>
      </w:hyperlink>
    </w:p>
    <w:p>
      <w:pPr>
        <w:spacing w:before="0" w:after="120"/>
      </w:pPr>
      <w:r>
        <w:rPr>
          <w:b/>
        </w:rPr>
        <w:t xml:space="preserve">Notes: </w:t>
      </w:r>
      <w:r>
        <w:t>abstract_source=rss_description</w:t>
      </w:r>
    </w:p>
    <w:p>
      <w:pPr>
        <w:spacing w:before="0" w:after="80" w:lineRule="auto" w:line="276"/>
      </w:pPr>
      <w:r>
        <w:rPr>
          <w:b/>
        </w:rPr>
        <w:t xml:space="preserve">摘要（ZH）: </w:t>
      </w:r>
      <w:r>
        <w:t>作者：Zheyuan Liu、Shinichiro Asai、Shingo Takahashi、Hiraku Saito、Taro Nakajima 和 Takatsugu Masuda 即使在非相对论极限下，以尼尔矢量为特征的交变磁序也会打破时间反转对称性 (TRS)。尽管自旋极化和反常输运现象以此顺序出现，但它们通过具有相反尼尔矢量的 TRS 连接反相域相互补偿。莱特牧师。 136, 256704] 2026 年 6 月 23 日星期二发布</w:t>
      </w:r>
    </w:p>
    <w:p>
      <w:pPr>
        <w:spacing w:before="0" w:after="200" w:lineRule="auto" w:line="276"/>
      </w:pPr>
      <w:r>
        <w:rPr>
          <w:b/>
        </w:rPr>
        <w:t xml:space="preserve">Abstract (EN): </w:t>
      </w:r>
      <w:r>
        <w:t>Author(s): Zheyuan Liu, Shinichiro Asai, Shingo Takahashi, Hiraku Saito, Taro Nakajima, and Takatsugu MasudaAltermagnetic order, characterized by the Néel vector, breaks time-reversal symmetry (TRS) even in the nonrelativistic limit. Although spin-polarized and anomalous transport phenomena emerge with this order, they are mutually compensated by TRS-connected antiphase domains with opposite Néel vectors.…[Phys. Rev. Lett. 136, 256704] Published Tue Jun 23, 2026</w:t>
      </w:r>
    </w:p>
    <w:p>
      <w:pPr>
        <w:spacing w:before="120" w:after="120"/>
      </w:pPr>
      <w:r>
        <w:rPr>
          <w:sz w:val="18"/>
        </w:rPr>
        <w:t>——————————————————————————————————————————————————————————————————————</w:t>
      </w:r>
    </w:p>
    <w:p>
      <w:pPr>
        <w:spacing w:before="160" w:after="40" w:line="240" w:lineRule="auto"/>
      </w:pPr>
      <w:r>
        <w:rPr>
          <w:b/>
        </w:rPr>
        <w:t xml:space="preserve">[205] </w:t>
      </w:r>
      <w:hyperlink r:id="rId651">
        <w:r>
          <w:rPr>
            <w:color w:val="1155CC"/>
            <w:u w:val="single"/>
          </w:rPr>
          <w:t>通过 $J/ψ→\mathrm{Λ}\overline{\mathrm{Λ}}$ 检验 $\mathrm{Λ}$ 中性衰变中的 $CP$ 对称性</w:t>
        </w:r>
      </w:hyperlink>
    </w:p>
    <w:p>
      <w:pPr>
        <w:spacing w:before="0" w:after="80"/>
      </w:pPr>
      <w:r>
        <w:rPr>
          <w:i/>
          <w:sz w:val="20"/>
        </w:rPr>
        <w:t>EN: Test of $CP$ Symmetry in the Neutral Decays of $\mathrm{Λ}$ via $J/ψ→\mathrm{Λ}\overline{\mathrm{Λ}}$</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52">
        <w:r>
          <w:rPr>
            <w:color w:val="1155CC"/>
            <w:u w:val="single"/>
          </w:rPr>
          <w:t>10.1103/5x9g-82jg</w:t>
        </w:r>
      </w:hyperlink>
    </w:p>
    <w:p>
      <w:pPr>
        <w:spacing w:before="0" w:after="120"/>
      </w:pPr>
      <w:r>
        <w:rPr>
          <w:b/>
        </w:rPr>
        <w:t xml:space="preserve">Notes: </w:t>
      </w:r>
      <w:r>
        <w:t>abstract_source=rss_description</w:t>
      </w:r>
    </w:p>
    <w:p>
      <w:pPr>
        <w:spacing w:before="0" w:after="80" w:lineRule="auto" w:line="276"/>
      </w:pPr>
      <w:r>
        <w:rPr>
          <w:b/>
        </w:rPr>
        <w:t xml:space="preserve">摘要（ZH）: </w:t>
      </w:r>
      <w:r>
        <w:t>作者：M. Ablikim 等人。 (BESIII协作)利用BESIII探测器采集的$(10\text{ }087±44)×{10}^{6}\text{ }\text{ }J/ψ$事件，对该过程进行全角度分析$J/ψ→\mathrm{Λ}\overline{\mathrm{Λ}}→n{π}^{0}\overline{p}{π}^{+}+\mathrm{c}.\mathrm{c}$。 $\mathrm{Λ}→n{π}^{0}$ 的衰减参数 ${α}_{0}$ 和...[Phys.牧师神父。莱特。 136, 251802] 2026 年 6 月 23 日星期二发布</w:t>
      </w:r>
    </w:p>
    <w:p>
      <w:pPr>
        <w:spacing w:before="0" w:after="200" w:lineRule="auto" w:line="276"/>
      </w:pPr>
      <w:r>
        <w:rPr>
          <w:b/>
        </w:rPr>
        <w:t xml:space="preserve">Abstract (EN): </w:t>
      </w:r>
      <w:r>
        <w:t>Author(s): M. Ablikim et al. (BESIII Collaboration)Using $(10\text{ }087±44)×{10}^{6}\text{ }\text{ }J/ψ$ events collected with the BESIII detector, a full angular analysis is carried out on the process $J/ψ→\mathrm{Λ}\overline{\mathrm{Λ}}→n{π}^{0}\overline{p}{π}^{+}+\mathrm{c}.\mathrm{c}$. The decay parameters ${α}_{0}$ for $\mathrm{Λ}→n{π}^{0}$ an…[Phys. Rev. Lett. 136, 251802] Published Tue Jun 23, 2026</w:t>
      </w:r>
    </w:p>
    <w:p>
      <w:pPr>
        <w:spacing w:before="120" w:after="120"/>
      </w:pPr>
      <w:r>
        <w:rPr>
          <w:sz w:val="18"/>
        </w:rPr>
        <w:t>——————————————————————————————————————————————————————————————————————</w:t>
      </w:r>
    </w:p>
    <w:p>
      <w:pPr>
        <w:spacing w:before="160" w:after="40" w:line="240" w:lineRule="auto"/>
      </w:pPr>
      <w:r>
        <w:rPr>
          <w:b/>
        </w:rPr>
        <w:t xml:space="preserve">[206] </w:t>
      </w:r>
      <w:hyperlink r:id="rId653">
        <w:r>
          <w:rPr>
            <w:color w:val="1155CC"/>
            <w:u w:val="single"/>
          </w:rPr>
          <w:t>强无序超导体中体局域低能模式引起的耗散</w:t>
        </w:r>
      </w:hyperlink>
    </w:p>
    <w:p>
      <w:pPr>
        <w:spacing w:before="0" w:after="80"/>
      </w:pPr>
      <w:r>
        <w:rPr>
          <w:i/>
          <w:sz w:val="20"/>
        </w:rPr>
        <w:t>EN: Dissipation due to Bulk Localized Low-Energy Modes in Strongly Disordered Superconductors</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54">
        <w:r>
          <w:rPr>
            <w:color w:val="1155CC"/>
            <w:u w:val="single"/>
          </w:rPr>
          <w:t>10.1103/923y-49z5</w:t>
        </w:r>
      </w:hyperlink>
    </w:p>
    <w:p>
      <w:pPr>
        <w:spacing w:before="0" w:after="120"/>
      </w:pPr>
      <w:r>
        <w:rPr>
          <w:b/>
        </w:rPr>
        <w:t xml:space="preserve">Notes: </w:t>
      </w:r>
      <w:r>
        <w:t>abstract_source=rss_description</w:t>
      </w:r>
    </w:p>
    <w:p>
      <w:pPr>
        <w:spacing w:before="0" w:after="80" w:lineRule="auto" w:line="276"/>
      </w:pPr>
      <w:r>
        <w:rPr>
          <w:b/>
        </w:rPr>
        <w:t xml:space="preserve">摘要（ZH）: </w:t>
      </w:r>
      <w:r>
        <w:t>作者：Anton V. Khvalyuk 和 Mikhail V. Feigel’man 强无序超导体中的微波耗散是由罕见弱点内的局域集体模式驱动的，这一理论见解为增强量子器件的相干时间提供了一种新的策略。莱特牧师。 136, 256001] 2026 年 6 月 23 日星期二发布</w:t>
      </w:r>
    </w:p>
    <w:p>
      <w:pPr>
        <w:spacing w:before="0" w:after="200" w:lineRule="auto" w:line="276"/>
      </w:pPr>
      <w:r>
        <w:rPr>
          <w:b/>
        </w:rPr>
        <w:t xml:space="preserve">Abstract (EN): </w:t>
      </w:r>
      <w:r>
        <w:t>Author(s): Anton V. Khvalyuk and Mikhail V. Feigel’manMicrowave dissipation in strongly disordered superconductors is driven by localized collective modes within rare weak spots, a theoretical insight which provides a fresh strategy to enhance coherence times in quantum devices.[Phys. Rev. Lett. 136, 256001] Published Tue Jun 23, 2026</w:t>
      </w:r>
    </w:p>
    <w:p>
      <w:pPr>
        <w:spacing w:before="120" w:after="120"/>
      </w:pPr>
      <w:r>
        <w:rPr>
          <w:sz w:val="18"/>
        </w:rPr>
        <w:t>——————————————————————————————————————————————————————————————————————</w:t>
      </w:r>
    </w:p>
    <w:p>
      <w:pPr>
        <w:spacing w:before="160" w:after="40" w:line="240" w:lineRule="auto"/>
      </w:pPr>
      <w:r>
        <w:rPr>
          <w:b/>
        </w:rPr>
        <w:t xml:space="preserve">[207] </w:t>
      </w:r>
      <w:hyperlink r:id="rId655">
        <w:r>
          <w:rPr>
            <w:color w:val="1155CC"/>
            <w:u w:val="single"/>
          </w:rPr>
          <w:t>声子晶体中的拓扑槽</w:t>
        </w:r>
      </w:hyperlink>
    </w:p>
    <w:p>
      <w:pPr>
        <w:spacing w:before="0" w:after="80"/>
      </w:pPr>
      <w:r>
        <w:rPr>
          <w:i/>
          <w:sz w:val="20"/>
        </w:rPr>
        <w:t>EN: Topological Slot in Phononic Crystals</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56">
        <w:r>
          <w:rPr>
            <w:color w:val="1155CC"/>
            <w:u w:val="single"/>
          </w:rPr>
          <w:t>10.1103/vf18-1kh7</w:t>
        </w:r>
      </w:hyperlink>
    </w:p>
    <w:p>
      <w:pPr>
        <w:spacing w:before="0" w:after="120"/>
      </w:pPr>
      <w:r>
        <w:rPr>
          <w:b/>
        </w:rPr>
        <w:t xml:space="preserve">Notes: </w:t>
      </w:r>
      <w:r>
        <w:t>abstract_source=rss_description</w:t>
      </w:r>
    </w:p>
    <w:p>
      <w:pPr>
        <w:spacing w:before="0" w:after="80" w:lineRule="auto" w:line="276"/>
      </w:pPr>
      <w:r>
        <w:rPr>
          <w:b/>
        </w:rPr>
        <w:t xml:space="preserve">摘要（ZH）: </w:t>
      </w:r>
      <w:r>
        <w:t>作者：王青、张银飞、邵刚桥、刘涵、邓伟银、何海龙、叶丽萍、陆久阳、柯曼珠、刘正友陈绝缘体的特点是手性边缘态的单向传播，由于体相拓扑保护，手性边缘态不受缺陷的影响。然而，这种鲁棒性对按需暂停或空间限制这些信息载体提出了根本性挑战。在这里，我们……[物理。莱特牧师。 136, 256602] 2026 年 6 月 23 日星期二发布</w:t>
      </w:r>
    </w:p>
    <w:p>
      <w:pPr>
        <w:spacing w:before="0" w:after="200" w:lineRule="auto" w:line="276"/>
      </w:pPr>
      <w:r>
        <w:rPr>
          <w:b/>
        </w:rPr>
        <w:t xml:space="preserve">Abstract (EN): </w:t>
      </w:r>
      <w:r>
        <w:t>Author(s): Qing Wang, Yinfei Zhang, Gangqiao Shao, Han Liu, Weiyin Deng, Hailong He, Liping Ye, Jiuyang Lu, Manzhu Ke, and Zhengyou LiuThe hallmark of Chern insulators is the unidirectional propagation of chiral edge states, which are immune to imperfections due to bulk topological protection. However, this robustness presents a fundamental challenge in pausing or spatially confining these information carriers on demand. Here, we p…[Phys. Rev. Lett. 136, 256602] Published Tue Jun 23, 2026</w:t>
      </w:r>
    </w:p>
    <w:p>
      <w:pPr>
        <w:spacing w:before="120" w:after="120"/>
      </w:pPr>
      <w:r>
        <w:rPr>
          <w:sz w:val="18"/>
        </w:rPr>
        <w:t>——————————————————————————————————————————————————————————————————————</w:t>
      </w:r>
    </w:p>
    <w:p>
      <w:pPr>
        <w:spacing w:before="160" w:after="40" w:line="240" w:lineRule="auto"/>
      </w:pPr>
      <w:r>
        <w:rPr>
          <w:b/>
        </w:rPr>
        <w:t xml:space="preserve">[208] </w:t>
      </w:r>
      <w:hyperlink r:id="rId657">
        <w:r>
          <w:rPr>
            <w:color w:val="1155CC"/>
            <w:u w:val="single"/>
          </w:rPr>
          <w:t>共极化和光谱可分离光子对的片上生成</w:t>
        </w:r>
      </w:hyperlink>
    </w:p>
    <w:p>
      <w:pPr>
        <w:spacing w:before="0" w:after="80"/>
      </w:pPr>
      <w:r>
        <w:rPr>
          <w:i/>
          <w:sz w:val="20"/>
        </w:rPr>
        <w:t>EN: On-Chip Generation of Copolarized and Spectrally Separable Photon Pairs</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58">
        <w:r>
          <w:rPr>
            <w:color w:val="1155CC"/>
            <w:u w:val="single"/>
          </w:rPr>
          <w:t>10.1103/cpwf-k58g</w:t>
        </w:r>
      </w:hyperlink>
    </w:p>
    <w:p>
      <w:pPr>
        <w:spacing w:before="0" w:after="120"/>
      </w:pPr>
      <w:r>
        <w:rPr>
          <w:b/>
        </w:rPr>
        <w:t xml:space="preserve">Notes: </w:t>
      </w:r>
      <w:r>
        <w:t>abstract_source=rss_description</w:t>
      </w:r>
    </w:p>
    <w:p>
      <w:pPr>
        <w:spacing w:before="0" w:after="80" w:lineRule="auto" w:line="276"/>
      </w:pPr>
      <w:r>
        <w:rPr>
          <w:b/>
        </w:rPr>
        <w:t xml:space="preserve">摘要（ZH）: </w:t>
      </w:r>
      <w:r>
        <w:t>作者：Xiaojie Wang、Lin Zhou、Yue Li、Sakthi Sanjeev Mohanraj、Xiaodong Shi、Zhuoyang Yu、Ran Yang、Xu Chen、Guangxing Wu、Hao Ha、Sihao Wang、Veerendra Dhyani 和 Di Zhu 高纯度单光子的片上生成对于可扩展的光子量子技术至关重要。自发参量下转换 (SPDC) 广泛用于生成单光子源的光子对，但光子对的固有光谱相关性通常会限制纯度……[Phys.莱特牧师。 136, 253801] 2026 年 6 月 23 日星期二发布</w:t>
      </w:r>
    </w:p>
    <w:p>
      <w:pPr>
        <w:spacing w:before="0" w:after="200" w:lineRule="auto" w:line="276"/>
      </w:pPr>
      <w:r>
        <w:rPr>
          <w:b/>
        </w:rPr>
        <w:t xml:space="preserve">Abstract (EN): </w:t>
      </w:r>
      <w:r>
        <w:t>Author(s): Xiaojie Wang, Lin Zhou, Yue Li, Sakthi Sanjeev Mohanraj, Xiaodong Shi, Zhuoyang Yu, Ran Yang, Xu Chen, Guangxing Wu, Hao Hao, Sihao Wang, Veerendra Dhyani, and Di ZhuOn-chip generation of high-purity single photons is essential for scalable photonic quantum technologies. Spontaneous parametric down conversion (SPDC) is widely used to generate photon pairs for heralded single-photon sources, but intrinsic spectral correlations of the pairs often limit the purity …[Phys. Rev. Lett. 136, 253801] Published Tue Jun 23, 2026</w:t>
      </w:r>
    </w:p>
    <w:p>
      <w:pPr>
        <w:spacing w:before="120" w:after="120"/>
      </w:pPr>
      <w:r>
        <w:rPr>
          <w:sz w:val="18"/>
        </w:rPr>
        <w:t>——————————————————————————————————————————————————————————————————————</w:t>
      </w:r>
    </w:p>
    <w:p>
      <w:pPr>
        <w:spacing w:before="160" w:after="40" w:line="240" w:lineRule="auto"/>
      </w:pPr>
      <w:r>
        <w:rPr>
          <w:b/>
        </w:rPr>
        <w:t xml:space="preserve">[209] </w:t>
      </w:r>
      <w:hyperlink r:id="rId659">
        <w:r>
          <w:rPr>
            <w:color w:val="1155CC"/>
            <w:u w:val="single"/>
          </w:rPr>
          <w:t>人工 SU(2) 规范场引起的声学非阿贝尔拓扑绝缘体</w:t>
        </w:r>
      </w:hyperlink>
    </w:p>
    <w:p>
      <w:pPr>
        <w:spacing w:before="0" w:after="80"/>
      </w:pPr>
      <w:r>
        <w:rPr>
          <w:i/>
          <w:sz w:val="20"/>
        </w:rPr>
        <w:t>EN: Acoustic Non-Abelian Topological Insulator Induced by Artificial SU(2) Gauge Fields</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60">
        <w:r>
          <w:rPr>
            <w:color w:val="1155CC"/>
            <w:u w:val="single"/>
          </w:rPr>
          <w:t>10.1103/wjh8-tlvd</w:t>
        </w:r>
      </w:hyperlink>
    </w:p>
    <w:p>
      <w:pPr>
        <w:spacing w:before="0" w:after="120"/>
      </w:pPr>
      <w:r>
        <w:rPr>
          <w:b/>
        </w:rPr>
        <w:t xml:space="preserve">Notes: </w:t>
      </w:r>
      <w:r>
        <w:t>abstract_source=rss_description</w:t>
      </w:r>
    </w:p>
    <w:p>
      <w:pPr>
        <w:spacing w:before="0" w:after="80" w:lineRule="auto" w:line="276"/>
      </w:pPr>
      <w:r>
        <w:rPr>
          <w:b/>
        </w:rPr>
        <w:t xml:space="preserve">摘要（ZH）: </w:t>
      </w:r>
      <w:r>
        <w:t>作者：王浩楠、刘辉、李占成、刘元硕、邓伟银、程华、刘正友、陈书奇非阿贝尔拓扑绝缘体，源于非阿贝尔规范场，不仅与粒子物理和自然的强弱力相关，而且还创造了令人垂涎的具有显着性质的拓扑现象。尽管已经做出了巨大的努力来开发人造非阿贝尔......[物理。莱特牧师。 136, 256603] 2026 年 6 月 23 日星期二发布</w:t>
      </w:r>
    </w:p>
    <w:p>
      <w:pPr>
        <w:spacing w:before="0" w:after="200" w:lineRule="auto" w:line="276"/>
      </w:pPr>
      <w:r>
        <w:rPr>
          <w:b/>
        </w:rPr>
        <w:t xml:space="preserve">Abstract (EN): </w:t>
      </w:r>
      <w:r>
        <w:t>Author(s): Haonan Wang, Hui Liu, Zhancheng Li, Yuanshuo Liu, Weiyin Deng, Hua Cheng, Zhengyou Liu, and Shuqi ChenNon-Abelian topological insulators, arising from a non-Abelian gauge field, not only link to particle physics and the strong and weak forces of nature, but also create coveted topological phenomena with remarkable properties. Although significant efforts have been made to develop artificial non-Abel…[Phys. Rev. Lett. 136, 256603] Published Tue Jun 23, 2026</w:t>
      </w:r>
    </w:p>
    <w:p>
      <w:pPr>
        <w:spacing w:before="120" w:after="120"/>
      </w:pPr>
      <w:r>
        <w:rPr>
          <w:sz w:val="18"/>
        </w:rPr>
        <w:t>——————————————————————————————————————————————————————————————————————</w:t>
      </w:r>
    </w:p>
    <w:p>
      <w:pPr>
        <w:spacing w:before="160" w:after="40" w:line="240" w:lineRule="auto"/>
      </w:pPr>
      <w:r>
        <w:rPr>
          <w:b/>
        </w:rPr>
        <w:t xml:space="preserve">[210] </w:t>
      </w:r>
      <w:hyperlink r:id="rId661">
        <w:r>
          <w:rPr>
            <w:color w:val="1155CC"/>
            <w:u w:val="single"/>
          </w:rPr>
          <w:t>具有自发标量化的渐近扁平黑洞内部的临界现象</w:t>
        </w:r>
      </w:hyperlink>
    </w:p>
    <w:p>
      <w:pPr>
        <w:spacing w:before="0" w:after="80"/>
      </w:pPr>
      <w:r>
        <w:rPr>
          <w:i/>
          <w:sz w:val="20"/>
        </w:rPr>
        <w:t>EN: Critical Phenomenon inside Asymptotically Flat Black Holes with Spontaneous Scalarization</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62">
        <w:r>
          <w:rPr>
            <w:color w:val="1155CC"/>
            <w:u w:val="single"/>
          </w:rPr>
          <w:t>10.1103/l4tf-kqyl</w:t>
        </w:r>
      </w:hyperlink>
    </w:p>
    <w:p>
      <w:pPr>
        <w:spacing w:before="0" w:after="120"/>
      </w:pPr>
      <w:r>
        <w:rPr>
          <w:b/>
        </w:rPr>
        <w:t xml:space="preserve">Notes: </w:t>
      </w:r>
      <w:r>
        <w:t>abstract_source=rss_description</w:t>
      </w:r>
    </w:p>
    <w:p>
      <w:pPr>
        <w:spacing w:before="0" w:after="80" w:lineRule="auto" w:line="276"/>
      </w:pPr>
      <w:r>
        <w:rPr>
          <w:b/>
        </w:rPr>
        <w:t xml:space="preserve">摘要（ZH）: </w:t>
      </w:r>
      <w:r>
        <w:t>作者：李力、孙泽、杨富国我们研究了零宇宙常数的爱因斯坦-麦克斯韦标量理论中自发标量化黑洞的非线性内部动力学，揭示了新颖的临界现象。我们证明，对于各种标量电磁耦合，标量黑洞不具有光滑的……[物理。莱特牧师。 136, 251402] 2026 年 6 月 23 日星期二发布</w:t>
      </w:r>
    </w:p>
    <w:p>
      <w:pPr>
        <w:spacing w:before="0" w:after="200" w:lineRule="auto" w:line="276"/>
      </w:pPr>
      <w:r>
        <w:rPr>
          <w:b/>
        </w:rPr>
        <w:t xml:space="preserve">Abstract (EN): </w:t>
      </w:r>
      <w:r>
        <w:t>Author(s): Li Li, Ze Sun, and Fu-Guo YangWe study the nonlinear interior dynamics of spontaneously scalarized black holes in Einstein-Maxwell-scalar theory with zero cosmological constant, revealing novel critical phenomena. We demonstrate that, for a wide range of scalar-electromagnetic couplings, scalarized black holes possess no smooth …[Phys. Rev. Lett. 136, 251402] Published Tue Jun 23, 2026</w:t>
      </w:r>
    </w:p>
    <w:p>
      <w:pPr>
        <w:spacing w:before="120" w:after="120"/>
      </w:pPr>
      <w:r>
        <w:rPr>
          <w:sz w:val="18"/>
        </w:rPr>
        <w:t>——————————————————————————————————————————————————————————————————————</w:t>
      </w:r>
    </w:p>
    <w:p>
      <w:pPr>
        <w:spacing w:before="160" w:after="40" w:line="240" w:lineRule="auto"/>
      </w:pPr>
      <w:r>
        <w:rPr>
          <w:b/>
        </w:rPr>
        <w:t xml:space="preserve">[211] </w:t>
      </w:r>
      <w:hyperlink r:id="rId663">
        <w:r>
          <w:rPr>
            <w:color w:val="1155CC"/>
            <w:u w:val="single"/>
          </w:rPr>
          <w:t>无黑洞解的黑洞热力学</w:t>
        </w:r>
      </w:hyperlink>
    </w:p>
    <w:p>
      <w:pPr>
        <w:spacing w:before="0" w:after="80"/>
      </w:pPr>
      <w:r>
        <w:rPr>
          <w:i/>
          <w:sz w:val="20"/>
        </w:rPr>
        <w:t>EN: Black Hole Thermodynamics without Black Hole Solutions</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64">
        <w:r>
          <w:rPr>
            <w:color w:val="1155CC"/>
            <w:u w:val="single"/>
          </w:rPr>
          <w:t>10.1103/w25x-6948</w:t>
        </w:r>
      </w:hyperlink>
    </w:p>
    <w:p>
      <w:pPr>
        <w:spacing w:before="0" w:after="120"/>
      </w:pPr>
      <w:r>
        <w:rPr>
          <w:b/>
        </w:rPr>
        <w:t xml:space="preserve">Notes: </w:t>
      </w:r>
      <w:r>
        <w:t>abstract_source=rss_description</w:t>
      </w:r>
    </w:p>
    <w:p>
      <w:pPr>
        <w:spacing w:before="0" w:after="80" w:lineRule="auto" w:line="276"/>
      </w:pPr>
      <w:r>
        <w:rPr>
          <w:b/>
        </w:rPr>
        <w:t xml:space="preserve">摘要（ZH）: </w:t>
      </w:r>
      <w:r>
        <w:t>作者：Meng-Nan Yang、Guan-Yi Lu 和 H. Lü我们考虑了受弦理论启发的爱因斯坦-麦克斯韦-麦克斯韦膨胀理论，并表明我们可以推导出带电黑洞的完整热力学量集，而无需构造黑洞解。我们认为该技术可以更广泛地应用于弦理论……[物理。莱特牧师。 136, 251403] 2026 年 6 月 23 日星期二发布</w:t>
      </w:r>
    </w:p>
    <w:p>
      <w:pPr>
        <w:spacing w:before="0" w:after="200" w:lineRule="auto" w:line="276"/>
      </w:pPr>
      <w:r>
        <w:rPr>
          <w:b/>
        </w:rPr>
        <w:t xml:space="preserve">Abstract (EN): </w:t>
      </w:r>
      <w:r>
        <w:t>Author(s): Meng-Nan Yang, Guan-Yi Lu, and H. LüWe consider the string-theory-inspired Einstein-Maxwell-Maxwell-dilaton theory and show that we can derive the complete set of thermodynamic quantities of charged black holes without having to construct the black hole solutions. We argue that the technique can be applied more broadly to string theor…[Phys. Rev. Lett. 136, 251403] Published Tue Jun 23, 2026</w:t>
      </w:r>
    </w:p>
    <w:p>
      <w:pPr>
        <w:spacing w:before="120" w:after="120"/>
      </w:pPr>
      <w:r>
        <w:rPr>
          <w:sz w:val="18"/>
        </w:rPr>
        <w:t>——————————————————————————————————————————————————————————————————————</w:t>
      </w:r>
    </w:p>
    <w:p>
      <w:pPr>
        <w:spacing w:before="160" w:after="40" w:line="240" w:lineRule="auto"/>
      </w:pPr>
      <w:r>
        <w:rPr>
          <w:b/>
        </w:rPr>
        <w:t xml:space="preserve">[212] </w:t>
      </w:r>
      <w:hyperlink r:id="rId665">
        <w:r>
          <w:rPr>
            <w:color w:val="1155CC"/>
            <w:u w:val="single"/>
          </w:rPr>
          <w:t>湍流原子玻色-爱因斯坦凝聚中阻尼的增强</w:t>
        </w:r>
      </w:hyperlink>
    </w:p>
    <w:p>
      <w:pPr>
        <w:spacing w:before="0" w:after="80"/>
      </w:pPr>
      <w:r>
        <w:rPr>
          <w:i/>
          <w:sz w:val="20"/>
        </w:rPr>
        <w:t>EN: Enhancement of Damping in a Turbulent Atomic Bose-Einstein Condensate</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66">
        <w:r>
          <w:rPr>
            <w:color w:val="1155CC"/>
            <w:u w:val="single"/>
          </w:rPr>
          <w:t>10.1103/nzvm-3mmb</w:t>
        </w:r>
      </w:hyperlink>
    </w:p>
    <w:p>
      <w:pPr>
        <w:spacing w:before="0" w:after="120"/>
      </w:pPr>
      <w:r>
        <w:rPr>
          <w:b/>
        </w:rPr>
        <w:t xml:space="preserve">Notes: </w:t>
      </w:r>
      <w:r>
        <w:t>abstract_source=rss_description</w:t>
      </w:r>
    </w:p>
    <w:p>
      <w:pPr>
        <w:spacing w:before="0" w:after="80" w:lineRule="auto" w:line="276"/>
      </w:pPr>
      <w:r>
        <w:rPr>
          <w:b/>
        </w:rPr>
        <w:t xml:space="preserve">摘要（ZH）: </w:t>
      </w:r>
      <w:r>
        <w:t>作者：Junghoon Lee、Jongmin Kim、Jongheum Jung 和 Y. Shin 湍流增强了经典流体中的动量传递，有效地增加了其粘度。我们通过测量含有静止自旋超流湍流的原子玻色-爱因斯坦凝聚体（BEC）中集体振荡的阻尼来研究超流体中的类似效应。使用...[物理。莱特牧师。 136, 253402] 2026 年 6 月 23 日星期二发布</w:t>
      </w:r>
    </w:p>
    <w:p>
      <w:pPr>
        <w:spacing w:before="0" w:after="200" w:lineRule="auto" w:line="276"/>
      </w:pPr>
      <w:r>
        <w:rPr>
          <w:b/>
        </w:rPr>
        <w:t xml:space="preserve">Abstract (EN): </w:t>
      </w:r>
      <w:r>
        <w:t>Author(s): Junghoon Lee, Jongmin Kim, Jongheum Jung, and Y. ShinTurbulence enhances momentum transport in classical fluids, effectively increasing their viscosity. We investigate an analogous effect in a superfluid by measuring the damping of collective oscillations in an atomic Bose-Einstein condensate (BEC) containing stationary spin-superflow turbulence. Usin…[Phys. Rev. Lett. 136, 253402] Published Tue Jun 23, 2026</w:t>
      </w:r>
    </w:p>
    <w:p>
      <w:pPr>
        <w:spacing w:before="120" w:after="120"/>
      </w:pPr>
      <w:r>
        <w:rPr>
          <w:sz w:val="18"/>
        </w:rPr>
        <w:t>——————————————————————————————————————————————————————————————————————</w:t>
      </w:r>
    </w:p>
    <w:p>
      <w:pPr>
        <w:spacing w:before="160" w:after="40" w:line="240" w:lineRule="auto"/>
      </w:pPr>
      <w:r>
        <w:rPr>
          <w:b/>
        </w:rPr>
        <w:t xml:space="preserve">[213] </w:t>
      </w:r>
      <w:hyperlink r:id="rId667">
        <w:r>
          <w:rPr>
            <w:color w:val="1155CC"/>
            <w:u w:val="single"/>
          </w:rPr>
          <w:t>主动润湿中的自发棘轮电流和过渡动力学</w:t>
        </w:r>
      </w:hyperlink>
    </w:p>
    <w:p>
      <w:pPr>
        <w:spacing w:before="0" w:after="80"/>
      </w:pPr>
      <w:r>
        <w:rPr>
          <w:i/>
          <w:sz w:val="20"/>
        </w:rPr>
        <w:t>EN: Spontaneous Ratchet Currents and Transition Dynamics in Active Wetting</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68">
        <w:r>
          <w:rPr>
            <w:color w:val="1155CC"/>
            <w:u w:val="single"/>
          </w:rPr>
          <w:t>10.1103/sq25-hfsb</w:t>
        </w:r>
      </w:hyperlink>
    </w:p>
    <w:p>
      <w:pPr>
        <w:spacing w:before="0" w:after="120"/>
      </w:pPr>
      <w:r>
        <w:rPr>
          <w:b/>
        </w:rPr>
        <w:t xml:space="preserve">Notes: </w:t>
      </w:r>
      <w:r>
        <w:t>abstract_source=rss_description</w:t>
      </w:r>
    </w:p>
    <w:p>
      <w:pPr>
        <w:spacing w:before="0" w:after="80" w:lineRule="auto" w:line="276"/>
      </w:pPr>
      <w:r>
        <w:rPr>
          <w:b/>
        </w:rPr>
        <w:t xml:space="preserve">摘要（ZH）: </w:t>
      </w:r>
      <w:r>
        <w:t>作者：Noah Grodzinski、Robert L. Jack 和 Michael E. Cates 主动润湿是一种真正的表面相变，与平衡状态下的临界润湿转变具有显着的相似性，但它也具有重要的差异，例如被动流体所禁止的动态转变路径。莱特牧师。 136, 257101] 2026 年 6 月 23 日星期二发布</w:t>
      </w:r>
    </w:p>
    <w:p>
      <w:pPr>
        <w:spacing w:before="0" w:after="200" w:lineRule="auto" w:line="276"/>
      </w:pPr>
      <w:r>
        <w:rPr>
          <w:b/>
        </w:rPr>
        <w:t xml:space="preserve">Abstract (EN): </w:t>
      </w:r>
      <w:r>
        <w:t>Author(s): Noah Grodzinski, Robert L. Jack, and Michael E. CatesActive wetting is a true surface phase transition that has remarkable similarities to critical wetting transitions in equilibrium, but it also features important differences, such as dynamical transition pathways that would be forbidden for passive fluids.[Phys. Rev. Lett. 136, 257101] Published Tue Jun 23, 2026</w:t>
      </w:r>
    </w:p>
    <w:p>
      <w:pPr>
        <w:spacing w:before="120" w:after="120"/>
      </w:pPr>
      <w:r>
        <w:rPr>
          <w:sz w:val="18"/>
        </w:rPr>
        <w:t>——————————————————————————————————————————————————————————————————————</w:t>
      </w:r>
    </w:p>
    <w:p>
      <w:pPr>
        <w:spacing w:before="160" w:after="40" w:line="240" w:lineRule="auto"/>
      </w:pPr>
      <w:r>
        <w:rPr>
          <w:b/>
        </w:rPr>
        <w:t xml:space="preserve">[214] </w:t>
      </w:r>
      <w:hyperlink r:id="rId669">
        <w:r>
          <w:rPr>
            <w:color w:val="1155CC"/>
            <w:u w:val="single"/>
          </w:rPr>
          <w:t>用于组合优化的三方克尔孤子伊辛机</w:t>
        </w:r>
      </w:hyperlink>
    </w:p>
    <w:p>
      <w:pPr>
        <w:spacing w:before="0" w:after="80"/>
      </w:pPr>
      <w:r>
        <w:rPr>
          <w:i/>
          <w:sz w:val="20"/>
        </w:rPr>
        <w:t>EN: Tripartite Kerr Soliton Ising Machine for Combinatorial Optimization</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70">
        <w:r>
          <w:rPr>
            <w:color w:val="1155CC"/>
            <w:u w:val="single"/>
          </w:rPr>
          <w:t>10.1103/pb9b-6hyk</w:t>
        </w:r>
      </w:hyperlink>
    </w:p>
    <w:p>
      <w:pPr>
        <w:spacing w:before="0" w:after="120"/>
      </w:pPr>
      <w:r>
        <w:rPr>
          <w:b/>
        </w:rPr>
        <w:t xml:space="preserve">Notes: </w:t>
      </w:r>
      <w:r>
        <w:t>abstract_source=rss_description</w:t>
      </w:r>
    </w:p>
    <w:p>
      <w:pPr>
        <w:spacing w:before="0" w:after="80" w:lineRule="auto" w:line="276"/>
      </w:pPr>
      <w:r>
        <w:rPr>
          <w:b/>
        </w:rPr>
        <w:t xml:space="preserve">摘要（ZH）: </w:t>
      </w:r>
      <w:r>
        <w:t>作者：Nitesh Chauhan、Yan Jin、Jizhao Zang 和 Scott B. Papp 我们介绍并探索了具有全连接性和三方（三次）交互的克尔孤子伊辛机，解锁了组合优化的有效方法。该机器是克尔谐振器中的孤子集合，其中可编程光电反馈电路......[物理。莱特牧师。 136, 257301] 2026 年 6 月 23 日星期二发布</w:t>
      </w:r>
    </w:p>
    <w:p>
      <w:pPr>
        <w:spacing w:before="0" w:after="200" w:lineRule="auto" w:line="276"/>
      </w:pPr>
      <w:r>
        <w:rPr>
          <w:b/>
        </w:rPr>
        <w:t xml:space="preserve">Abstract (EN): </w:t>
      </w:r>
      <w:r>
        <w:t>Author(s): Nitesh Chauhan, Yan Jin, Jizhao Zang, and Scott B. PappWe introduce and explore a Kerr soliton Ising machine with all-to-all connectivity and up to tripartite (cubic) interactions, unlocking efficient approaches for combinatorial optimization. The machine is an ensemble of solitons in a Kerr resonator, where a programmable optoelectronic feedback circui…[Phys. Rev. Lett. 136, 257301] Published Tue Jun 23, 2026</w:t>
      </w:r>
    </w:p>
    <w:p>
      <w:pPr>
        <w:spacing w:before="120" w:after="120"/>
      </w:pPr>
      <w:r>
        <w:rPr>
          <w:sz w:val="18"/>
        </w:rPr>
        <w:t>——————————————————————————————————————————————————————————————————————</w:t>
      </w:r>
    </w:p>
    <w:p>
      <w:pPr>
        <w:spacing w:before="160" w:after="40" w:line="240" w:lineRule="auto"/>
      </w:pPr>
      <w:r>
        <w:rPr>
          <w:b/>
        </w:rPr>
        <w:t xml:space="preserve">[215] </w:t>
      </w:r>
      <w:hyperlink r:id="rId671">
        <w:r>
          <w:rPr>
            <w:color w:val="1155CC"/>
            <w:u w:val="single"/>
          </w:rPr>
          <w:t>幅度和方向的记忆在非布朗悬架中共存和竞争</w:t>
        </w:r>
      </w:hyperlink>
    </w:p>
    <w:p>
      <w:pPr>
        <w:spacing w:before="0" w:after="80"/>
      </w:pPr>
      <w:r>
        <w:rPr>
          <w:i/>
          <w:sz w:val="20"/>
        </w:rPr>
        <w:t>EN: Memories of Amplitude and Direction Coexist and Compete in Non-Brownian Suspensions</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72">
        <w:r>
          <w:rPr>
            <w:color w:val="1155CC"/>
            <w:u w:val="single"/>
          </w:rPr>
          <w:t>10.1103/ckl2-lcpl</w:t>
        </w:r>
      </w:hyperlink>
    </w:p>
    <w:p>
      <w:pPr>
        <w:spacing w:before="0" w:after="120"/>
      </w:pPr>
      <w:r>
        <w:rPr>
          <w:b/>
        </w:rPr>
        <w:t xml:space="preserve">Notes: </w:t>
      </w:r>
      <w:r>
        <w:t>abstract_source=rss_description</w:t>
      </w:r>
    </w:p>
    <w:p>
      <w:pPr>
        <w:spacing w:before="0" w:after="80" w:lineRule="auto" w:line="276"/>
      </w:pPr>
      <w:r>
        <w:rPr>
          <w:b/>
        </w:rPr>
        <w:t xml:space="preserve">摘要（ZH）: </w:t>
      </w:r>
      <w:r>
        <w:t>作者：Surendra Padamata 和 Nathan C. KeimA 新实验阐明了某些颗粒-流体混合物的行为方式取决于其先前的流动。莱特牧师。 136, 258201] 2026 年 6 月 23 日星期二发布</w:t>
      </w:r>
    </w:p>
    <w:p>
      <w:pPr>
        <w:spacing w:before="0" w:after="200" w:lineRule="auto" w:line="276"/>
      </w:pPr>
      <w:r>
        <w:rPr>
          <w:b/>
        </w:rPr>
        <w:t xml:space="preserve">Abstract (EN): </w:t>
      </w:r>
      <w:r>
        <w:t>Author(s): Surendra Padamata and Nathan C. KeimA new experiment elucidates the ability of some particle–fluid mixtures to behave in ways that depend on their previous flow.[Phys. Rev. Lett. 136, 258201] Published Tue Jun 23, 2026</w:t>
      </w:r>
    </w:p>
    <w:p>
      <w:pPr>
        <w:spacing w:before="120" w:after="120"/>
      </w:pPr>
      <w:r>
        <w:rPr>
          <w:sz w:val="18"/>
        </w:rPr>
        <w:t>——————————————————————————————————————————————————————————————————————</w:t>
      </w:r>
    </w:p>
    <w:p>
      <w:pPr>
        <w:spacing w:before="160" w:after="40" w:line="240" w:lineRule="auto"/>
      </w:pPr>
      <w:r>
        <w:rPr>
          <w:b/>
        </w:rPr>
        <w:t xml:space="preserve">[216] </w:t>
      </w:r>
      <w:hyperlink r:id="rId673">
        <w:r>
          <w:rPr>
            <w:color w:val="1155CC"/>
            <w:u w:val="single"/>
          </w:rPr>
          <w:t>偶极-八极量子自旋液体中出射光子和自旋子的光谱划分</w:t>
        </w:r>
      </w:hyperlink>
    </w:p>
    <w:p>
      <w:pPr>
        <w:spacing w:before="0" w:after="80"/>
      </w:pPr>
      <w:r>
        <w:rPr>
          <w:i/>
          <w:sz w:val="20"/>
        </w:rPr>
        <w:t>EN: Spectroscopic Demarcation of Emergent Photons and Spinons in a Dipolar-Octupolar Quantum Spin Liquid</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74">
        <w:r>
          <w:rPr>
            <w:color w:val="1155CC"/>
            <w:u w:val="single"/>
          </w:rPr>
          <w:t>10.1103/svt2-m3pp</w:t>
        </w:r>
      </w:hyperlink>
    </w:p>
    <w:p>
      <w:pPr>
        <w:spacing w:before="0" w:after="120"/>
      </w:pPr>
      <w:r>
        <w:rPr>
          <w:b/>
        </w:rPr>
        <w:t xml:space="preserve">Notes: </w:t>
      </w:r>
      <w:r>
        <w:t>abstract_source=rss_description</w:t>
      </w:r>
    </w:p>
    <w:p>
      <w:pPr>
        <w:spacing w:before="0" w:after="80" w:lineRule="auto" w:line="276"/>
      </w:pPr>
      <w:r>
        <w:rPr>
          <w:b/>
        </w:rPr>
        <w:t xml:space="preserve">摘要（ZH）: </w:t>
      </w:r>
      <w:r>
        <w:t>作者：Bin Gau、Zhengbang Zhou、Tingjun Zhang、Andrey Podlesnyak、Sang-Wook Cheong、Yong Baek Kim 和 Peng Cheng Dai 量子自旋液体 (QSL) 中分级激发的识别仍然是凝聚态物理中的一个核心挑战。在偶极-八极 (DO) 烧绿石中，例如 ${\mathrm{Ce}}_{2}{\mathrm{Zr}}_{2}{\mathrm{O}}_{7}$，候选 $π$-通量量子自旋冰 (QSI) 态是预测的…[Phys.莱特牧师。 136, 256703] 2026 年 6 月 23 日星期二发布</w:t>
      </w:r>
    </w:p>
    <w:p>
      <w:pPr>
        <w:spacing w:before="0" w:after="200" w:lineRule="auto" w:line="276"/>
      </w:pPr>
      <w:r>
        <w:rPr>
          <w:b/>
        </w:rPr>
        <w:t xml:space="preserve">Abstract (EN): </w:t>
      </w:r>
      <w:r>
        <w:t>Author(s): Bin Gao, Zhengbang Zhou, Tingjun Zhang, Andrey Podlesnyak, Sang-Wook Cheong, Yong Baek Kim, and Pengcheng DaiThe identification of fractionalized excitations in quantum spin liquids (QSLs) remains a central challenge in condensed matter physics. In dipolar-octupolar (DO) pyrochlores, such as ${\mathrm{Ce}}_{2}{\mathrm{Zr}}_{2}{\mathrm{O}}_{7}$, the candidate $π$-flux quantum spin ice (QSI) state is predict…[Phys. Rev. Lett. 136, 256703] Published Tue Jun 23, 2026</w:t>
      </w:r>
    </w:p>
    <w:p>
      <w:pPr>
        <w:spacing w:before="120" w:after="120"/>
      </w:pPr>
      <w:r>
        <w:rPr>
          <w:sz w:val="18"/>
        </w:rPr>
        <w:t>——————————————————————————————————————————————————————————————————————</w:t>
      </w:r>
    </w:p>
    <w:p>
      <w:pPr>
        <w:spacing w:before="160" w:after="40" w:line="240" w:lineRule="auto"/>
      </w:pPr>
      <w:r>
        <w:rPr>
          <w:b/>
        </w:rPr>
        <w:t xml:space="preserve">[217] </w:t>
      </w:r>
      <w:hyperlink r:id="rId675">
        <w:r>
          <w:rPr>
            <w:color w:val="1155CC"/>
            <w:u w:val="single"/>
          </w:rPr>
          <w:t>直接观察${\mathrm{Fe}}_{5}{\mathrm{GeTe}}_{2}$中亚晶格相关的磁有序性和强电子-磁子耦合</w:t>
        </w:r>
      </w:hyperlink>
    </w:p>
    <w:p>
      <w:pPr>
        <w:spacing w:before="0" w:after="80"/>
      </w:pPr>
      <w:r>
        <w:rPr>
          <w:i/>
          <w:sz w:val="20"/>
        </w:rPr>
        <w:t>EN: Direct Observation of Sublattice-Dependent Magnetic Ordering and Strong Electron-Magnon Coupling in ${\mathrm{Fe}}_{5}{\mathrm{GeTe}}_{2}$</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76">
        <w:r>
          <w:rPr>
            <w:color w:val="1155CC"/>
            <w:u w:val="single"/>
          </w:rPr>
          <w:t>10.1103/9t6n-4myf</w:t>
        </w:r>
      </w:hyperlink>
    </w:p>
    <w:p>
      <w:pPr>
        <w:spacing w:before="0" w:after="120"/>
      </w:pPr>
      <w:r>
        <w:rPr>
          <w:b/>
        </w:rPr>
        <w:t xml:space="preserve">Notes: </w:t>
      </w:r>
      <w:r>
        <w:t>abstract_source=rss_description</w:t>
      </w:r>
    </w:p>
    <w:p>
      <w:pPr>
        <w:spacing w:before="0" w:after="80" w:lineRule="auto" w:line="276"/>
      </w:pPr>
      <w:r>
        <w:rPr>
          <w:b/>
        </w:rPr>
        <w:t xml:space="preserve">摘要（ZH）: </w:t>
      </w:r>
      <w:r>
        <w:t>作者：R. Xu、X. H. Chen、X. L. Li、Y. Z. Wang、J. H. Yao、Z. S. Zhu、S. Liao、S. W. Su、P. Li、Z. T. Liu、D. W. Shen、F. M. Li、Y. L. Wang、D. L. Feng 和 J. Jiang范德瓦尔斯室温铁磁体${\mathrm{Fe}}_{5}{\mathrm{GeTe}}_{2}$因其有趣的磁性和输运特性及其潜在应用而引起了相当大的研究兴趣，但其微观起源仍不清楚。使用角度分辨光电……[物理。莱特牧师。 136, 256701] 2026 年 6 月 23 日星期二发布</w:t>
      </w:r>
    </w:p>
    <w:p>
      <w:pPr>
        <w:spacing w:before="0" w:after="200" w:lineRule="auto" w:line="276"/>
      </w:pPr>
      <w:r>
        <w:rPr>
          <w:b/>
        </w:rPr>
        <w:t xml:space="preserve">Abstract (EN): </w:t>
      </w:r>
      <w:r>
        <w:t>Author(s): R. Xu, X. H. Chen, X. L. Li, Y. Z. Wang, J. H. Yao, Z. S. Zhao, S. Liao, S. W. Su, P. Li, Z. T. Liu, D. W. Shen, F. M. Li, Y. L. Wang, D. L. Feng, and J. JiangThe van der Waals room-temperature ferromagnet ${\mathrm{Fe}}_{5}{\mathrm{GeTe}}_{2}$ has garnered considerable research interest due to its intriguing magnetic and transport properties, as well as its potential applications, yet their microscopic origin remains unclear. Using angle-resolved photoem…[Phys. Rev. Lett. 136, 256701] Published Tue Jun 23, 2026</w:t>
      </w:r>
    </w:p>
    <w:p>
      <w:pPr>
        <w:spacing w:before="120" w:after="120"/>
      </w:pPr>
      <w:r>
        <w:rPr>
          <w:sz w:val="18"/>
        </w:rPr>
        <w:t>——————————————————————————————————————————————————————————————————————</w:t>
      </w:r>
    </w:p>
    <w:p>
      <w:pPr>
        <w:spacing w:before="160" w:after="40" w:line="240" w:lineRule="auto"/>
      </w:pPr>
      <w:r>
        <w:rPr>
          <w:b/>
        </w:rPr>
        <w:t xml:space="preserve">[218] </w:t>
      </w:r>
      <w:hyperlink r:id="rId677">
        <w:r>
          <w:rPr>
            <w:color w:val="1155CC"/>
            <w:u w:val="single"/>
          </w:rPr>
          <w:t>通过耦合矩阵工程实现串扰不敏感的俘获离子纠缠</w:t>
        </w:r>
      </w:hyperlink>
    </w:p>
    <w:p>
      <w:pPr>
        <w:spacing w:before="0" w:after="80"/>
      </w:pPr>
      <w:r>
        <w:rPr>
          <w:i/>
          <w:sz w:val="20"/>
        </w:rPr>
        <w:t>EN: Crosstalk Insensitive Trapped-Ion Entanglement through Coupling Matrix Engineering</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78">
        <w:r>
          <w:rPr>
            <w:color w:val="1155CC"/>
            <w:u w:val="single"/>
          </w:rPr>
          <w:t>10.1103/c6wf-z99k</w:t>
        </w:r>
      </w:hyperlink>
    </w:p>
    <w:p>
      <w:pPr>
        <w:spacing w:before="0" w:after="120"/>
      </w:pPr>
      <w:r>
        <w:rPr>
          <w:b/>
        </w:rPr>
        <w:t xml:space="preserve">Notes: </w:t>
      </w:r>
      <w:r>
        <w:t>abstract_source=rss_description</w:t>
      </w:r>
    </w:p>
    <w:p>
      <w:pPr>
        <w:spacing w:before="0" w:after="80" w:lineRule="auto" w:line="276"/>
      </w:pPr>
      <w:r>
        <w:rPr>
          <w:b/>
        </w:rPr>
        <w:t xml:space="preserve">摘要（ZH）: </w:t>
      </w:r>
      <w:r>
        <w:t>作者：Vikram Kashyap、Caleb Walton 和 Sara Mouradian 由于捕获离子纠缠门中的不完善寻址而导致的光学串扰会在目标离子及其组合的邻居离子组之间产生不必要的非局域纠缠，而使用标准量子纠错很难减轻这种纠缠。我们提出了一种设计纠缠操作的方法......[物理。莱特牧师。 136, 253601] 2026 年 6 月 23 日星期二发布</w:t>
      </w:r>
    </w:p>
    <w:p>
      <w:pPr>
        <w:spacing w:before="0" w:after="200" w:lineRule="auto" w:line="276"/>
      </w:pPr>
      <w:r>
        <w:rPr>
          <w:b/>
        </w:rPr>
        <w:t xml:space="preserve">Abstract (EN): </w:t>
      </w:r>
      <w:r>
        <w:t>Author(s): Vikram Kashyap, Caleb Walton, and Sara MouradianOptical crosstalk due to imperfect addressing in trapped-ion entangling gates generates unwanted nonlocal entanglement between target ions and their combined set of neighbors that is difficult to mitigate using standard quantum error correction. We present a method to design entangling operations th…[Phys. Rev. Lett. 136, 253601] Published Tue Jun 23, 2026</w:t>
      </w:r>
    </w:p>
    <w:p>
      <w:pPr>
        <w:spacing w:before="120" w:after="120"/>
      </w:pPr>
      <w:r>
        <w:rPr>
          <w:sz w:val="18"/>
        </w:rPr>
        <w:t>——————————————————————————————————————————————————————————————————————</w:t>
      </w:r>
    </w:p>
    <w:p>
      <w:pPr>
        <w:spacing w:before="160" w:after="40" w:line="240" w:lineRule="auto"/>
      </w:pPr>
      <w:r>
        <w:rPr>
          <w:b/>
        </w:rPr>
        <w:t xml:space="preserve">[219] </w:t>
      </w:r>
      <w:hyperlink r:id="rId679">
        <w:r>
          <w:rPr>
            <w:color w:val="1155CC"/>
            <w:u w:val="single"/>
          </w:rPr>
          <w:t>通过带电轻子味违规直接检测超轻暗物质的提案</w:t>
        </w:r>
      </w:hyperlink>
    </w:p>
    <w:p>
      <w:pPr>
        <w:spacing w:before="0" w:after="80"/>
      </w:pPr>
      <w:r>
        <w:rPr>
          <w:i/>
          <w:sz w:val="20"/>
        </w:rPr>
        <w:t>EN: Proposal for Direct Detection of Ultralight Dark Matter via Charged Lepton Flavor Violation</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80">
        <w:r>
          <w:rPr>
            <w:color w:val="1155CC"/>
            <w:u w:val="single"/>
          </w:rPr>
          <w:t>10.1103/gvf4-d2b9</w:t>
        </w:r>
      </w:hyperlink>
    </w:p>
    <w:p>
      <w:pPr>
        <w:spacing w:before="0" w:after="120"/>
      </w:pPr>
      <w:r>
        <w:rPr>
          <w:b/>
        </w:rPr>
        <w:t xml:space="preserve">Notes: </w:t>
      </w:r>
      <w:r>
        <w:t>abstract_source=rss_description</w:t>
      </w:r>
    </w:p>
    <w:p>
      <w:pPr>
        <w:spacing w:before="0" w:after="80" w:lineRule="auto" w:line="276"/>
      </w:pPr>
      <w:r>
        <w:rPr>
          <w:b/>
        </w:rPr>
        <w:t xml:space="preserve">摘要（ZH）: </w:t>
      </w:r>
      <w:r>
        <w:t>作者：Innes Bigaran、Patrick J. Fox、Yann Gouttenoire、Roni Harnik、Gordan Krnjaic、Tony Menzo 和 Jure Zupan 我们提出了一种在基于加速器的实验中使用带电粒子衰变的暗物质直接检测策略。如果超轻$({m}_{phi}≪\mathrm{eV})$暗物质具有错位丰度，则其局部场会以其质量设定的频率及时振荡。如果它也能改变口味……[物理。莱特牧师。 136, 251801] 2026 年 6 月 23 日星期二发布</w:t>
      </w:r>
    </w:p>
    <w:p>
      <w:pPr>
        <w:spacing w:before="0" w:after="200" w:lineRule="auto" w:line="276"/>
      </w:pPr>
      <w:r>
        <w:rPr>
          <w:b/>
        </w:rPr>
        <w:t xml:space="preserve">Abstract (EN): </w:t>
      </w:r>
      <w:r>
        <w:t>Author(s): Innes Bigaran, Patrick J. Fox, Yann Gouttenoire, Roni Harnik, Gordan Krnjaic, Tony Menzo, and Jure ZupanWe propose a dark matter direct-detection strategy using charged particle decays at accelerator-based experiments. If ultralight $({m}_{ϕ}≪\mathrm{eV})$ dark matter has a misalignment abundance, its local field oscillates in time at a frequency set by its mass. If it also couples to flavor-changing …[Phys. Rev. Lett. 136, 251801] Published Tue Jun 23, 2026</w:t>
      </w:r>
    </w:p>
    <w:p>
      <w:pPr>
        <w:spacing w:before="120" w:after="120"/>
      </w:pPr>
      <w:r>
        <w:rPr>
          <w:sz w:val="18"/>
        </w:rPr>
        <w:t>——————————————————————————————————————————————————————————————————————</w:t>
      </w:r>
    </w:p>
    <w:p>
      <w:pPr>
        <w:spacing w:before="160" w:after="40" w:line="240" w:lineRule="auto"/>
      </w:pPr>
      <w:r>
        <w:rPr>
          <w:b/>
        </w:rPr>
        <w:t xml:space="preserve">[220] </w:t>
      </w:r>
      <w:hyperlink r:id="rId681">
        <w:r>
          <w:rPr>
            <w:color w:val="1155CC"/>
            <w:u w:val="single"/>
          </w:rPr>
          <w:t>使用变压器进行灵活的引力波参数估计</w:t>
        </w:r>
      </w:hyperlink>
    </w:p>
    <w:p>
      <w:pPr>
        <w:spacing w:before="0" w:after="80"/>
      </w:pPr>
      <w:r>
        <w:rPr>
          <w:i/>
          <w:sz w:val="20"/>
        </w:rPr>
        <w:t>EN: Flexible Gravitational-Wave Parameter Estimation with Transformers</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82">
        <w:r>
          <w:rPr>
            <w:color w:val="1155CC"/>
            <w:u w:val="single"/>
          </w:rPr>
          <w:t>10.1103/n3ld-b4wv</w:t>
        </w:r>
      </w:hyperlink>
    </w:p>
    <w:p>
      <w:pPr>
        <w:spacing w:before="0" w:after="120"/>
      </w:pPr>
      <w:r>
        <w:rPr>
          <w:b/>
        </w:rPr>
        <w:t xml:space="preserve">Notes: </w:t>
      </w:r>
      <w:r>
        <w:t>abstract_source=rss_description</w:t>
      </w:r>
    </w:p>
    <w:p>
      <w:pPr>
        <w:spacing w:before="0" w:after="80" w:lineRule="auto" w:line="276"/>
      </w:pPr>
      <w:r>
        <w:rPr>
          <w:b/>
        </w:rPr>
        <w:t xml:space="preserve">摘要（ZH）: </w:t>
      </w:r>
      <w:r>
        <w:t>作者：Annalena Kofler、Maximilian Dax、Stephen R. Green、Jonas Wildberger、Nihar Gupte、Jakob H. Macke、Jonathan Gair、Alessandra Buonanno 和 Bernhard Schölkopf 引力波数据分析依赖于准确有效的方法从嘈杂的探测器信号中提取物理信息，但观测速度和复杂性的增加带来了越来越大的挑战。深度学习提供了传统推理的强大替代方案，但是……[物理。莱特牧师。 136, 251401] 2026 年 6 月 23 日星期二发布</w:t>
      </w:r>
    </w:p>
    <w:p>
      <w:pPr>
        <w:spacing w:before="0" w:after="200" w:lineRule="auto" w:line="276"/>
      </w:pPr>
      <w:r>
        <w:rPr>
          <w:b/>
        </w:rPr>
        <w:t xml:space="preserve">Abstract (EN): </w:t>
      </w:r>
      <w:r>
        <w:t>Author(s): Annalena Kofler, Maximilian Dax, Stephen R. Green, Jonas Wildberger, Nihar Gupte, Jakob H. Macke, Jonathan Gair, Alessandra Buonanno, and Bernhard SchölkopfGravitational-wave data analysis relies on accurate and efficient methods to extract physical information from noisy detector signals, yet the increasing rate and complexity of observations represent a growing challenge. Deep learning provides a powerful alternative to traditional inference, but exi…[Phys. Rev. Lett. 136, 251401] Published Tue Jun 23, 2026</w:t>
      </w:r>
    </w:p>
    <w:p>
      <w:pPr>
        <w:spacing w:before="120" w:after="120"/>
      </w:pPr>
      <w:r>
        <w:rPr>
          <w:sz w:val="18"/>
        </w:rPr>
        <w:t>——————————————————————————————————————————————————————————————————————</w:t>
      </w:r>
    </w:p>
    <w:p>
      <w:pPr>
        <w:spacing w:before="160" w:after="40" w:line="240" w:lineRule="auto"/>
      </w:pPr>
      <w:r>
        <w:rPr>
          <w:b/>
        </w:rPr>
        <w:t xml:space="preserve">[221] </w:t>
      </w:r>
      <w:hyperlink r:id="rId683">
        <w:r>
          <w:rPr>
            <w:color w:val="1155CC"/>
            <w:u w:val="single"/>
          </w:rPr>
          <w:t>Clifford 层次稳定器代码：横向非 Clifford 门和魔法状态</w:t>
        </w:r>
      </w:hyperlink>
    </w:p>
    <w:p>
      <w:pPr>
        <w:spacing w:before="0" w:after="80"/>
      </w:pPr>
      <w:r>
        <w:rPr>
          <w:i/>
          <w:sz w:val="20"/>
        </w:rPr>
        <w:t>EN: Clifford Hierarchy Stabilizer Codes: Transversal Non-Clifford Gates and Magic States</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84">
        <w:r>
          <w:rPr>
            <w:color w:val="1155CC"/>
            <w:u w:val="single"/>
          </w:rPr>
          <w:t>10.1103/j2q4-bnc6</w:t>
        </w:r>
      </w:hyperlink>
    </w:p>
    <w:p>
      <w:pPr>
        <w:spacing w:before="0" w:after="120"/>
      </w:pPr>
      <w:r>
        <w:rPr>
          <w:b/>
        </w:rPr>
        <w:t xml:space="preserve">Notes: </w:t>
      </w:r>
      <w:r>
        <w:t>abstract_source=rss_description</w:t>
      </w:r>
    </w:p>
    <w:p>
      <w:pPr>
        <w:spacing w:before="0" w:after="80" w:lineRule="auto" w:line="276"/>
      </w:pPr>
      <w:r>
        <w:rPr>
          <w:b/>
        </w:rPr>
        <w:t xml:space="preserve">摘要（ZH）: </w:t>
      </w:r>
      <w:r>
        <w:t>作者：Ryohei Kobayashi、Guanyu Zhu 和 Po-Shen Hsin 容错量子计算的一个基本问题是普适性和维度之间的权衡，例如 $n$ 维拓扑稳定器代码的 Bravyi-König 界。在这封信中，我们将拓扑泡利稳定器代码扩展到一类广泛的$n$维......[物理学。莱特牧师。 136, 250802] 2026 年 6 月 23 日星期二发布</w:t>
      </w:r>
    </w:p>
    <w:p>
      <w:pPr>
        <w:spacing w:before="0" w:after="200" w:lineRule="auto" w:line="276"/>
      </w:pPr>
      <w:r>
        <w:rPr>
          <w:b/>
        </w:rPr>
        <w:t xml:space="preserve">Abstract (EN): </w:t>
      </w:r>
      <w:r>
        <w:t>Author(s): Ryohei Kobayashi, Guanyu Zhu, and Po-Shen HsinA fundamental problem in fault-tolerant quantum computation is the tradeoff between universality and dimensionality, exemplified by the Bravyi-König bound for $n$-dimensional topological stabilizer codes. In this Letter, we extend topological Pauli stabilizer codes to a broad class of $n$-dimensiona…[Phys. Rev. Lett. 136, 250802] Published Tue Jun 23, 2026</w:t>
      </w:r>
    </w:p>
    <w:p>
      <w:pPr>
        <w:spacing w:before="120" w:after="120"/>
      </w:pPr>
      <w:r>
        <w:rPr>
          <w:sz w:val="18"/>
        </w:rPr>
        <w:t>——————————————————————————————————————————————————————————————————————</w:t>
      </w:r>
    </w:p>
    <w:p>
      <w:pPr>
        <w:spacing w:before="160" w:after="40" w:line="240" w:lineRule="auto"/>
      </w:pPr>
      <w:r>
        <w:rPr>
          <w:b/>
        </w:rPr>
        <w:t xml:space="preserve">[222] </w:t>
      </w:r>
      <w:hyperlink r:id="rId685">
        <w:r>
          <w:rPr>
            <w:color w:val="1155CC"/>
            <w:u w:val="single"/>
          </w:rPr>
          <w:t>特殊点的挤压增强传感</w:t>
        </w:r>
      </w:hyperlink>
    </w:p>
    <w:p>
      <w:pPr>
        <w:spacing w:before="0" w:after="80"/>
      </w:pPr>
      <w:r>
        <w:rPr>
          <w:i/>
          <w:sz w:val="20"/>
        </w:rPr>
        <w:t>EN: Squeezing-Enhanced Sensing at an Exceptional Point</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86">
        <w:r>
          <w:rPr>
            <w:color w:val="1155CC"/>
            <w:u w:val="single"/>
          </w:rPr>
          <w:t>10.1103/kmtx-7x9d</w:t>
        </w:r>
      </w:hyperlink>
    </w:p>
    <w:p>
      <w:pPr>
        <w:spacing w:before="0" w:after="120"/>
      </w:pPr>
      <w:r>
        <w:rPr>
          <w:b/>
        </w:rPr>
        <w:t xml:space="preserve">Notes: </w:t>
      </w:r>
      <w:r>
        <w:t>abstract_source=rss_description</w:t>
      </w:r>
    </w:p>
    <w:p>
      <w:pPr>
        <w:spacing w:before="0" w:after="80" w:lineRule="auto" w:line="276"/>
      </w:pPr>
      <w:r>
        <w:rPr>
          <w:b/>
        </w:rPr>
        <w:t xml:space="preserve">摘要（ZH）: </w:t>
      </w:r>
      <w:r>
        <w:t>作者：Changqing Wang、Deyuan Hu、Silvia Zorzetti、Anna Grassellino、Alexander Romanenko 和 Zheshen Zhang 突破测量精度的界限是传感和计量学的核心，受到挤压等非经典资源以及具有独特光谱响应的非厄米简并性的追求。然而，它们的融合仍然具有挑战性。我们发现感官的非凡增强……[物理。莱特牧师。 136, 250801] 2026 年 6 月 23 日星期二发布</w:t>
      </w:r>
    </w:p>
    <w:p>
      <w:pPr>
        <w:spacing w:before="0" w:after="200" w:lineRule="auto" w:line="276"/>
      </w:pPr>
      <w:r>
        <w:rPr>
          <w:b/>
        </w:rPr>
        <w:t xml:space="preserve">Abstract (EN): </w:t>
      </w:r>
      <w:r>
        <w:t>Author(s): Changqing Wang, Deyuan Hu, Silvia Zorzetti, Anna Grassellino, Alexander Romanenko, and Zheshen ZhangPushing the boundaries of measurement precision is central for sensing and metrology, pursued by nonclassical resources such as squeezing, as well as non-Hermitian degeneracies with distinct spectral response. Their convergence, however, remains challenging. We find extraordinary enhancement of sens…[Phys. Rev. Lett. 136, 250801] Published Tue Jun 23, 2026</w:t>
      </w:r>
    </w:p>
    <w:p>
      <w:pPr>
        <w:spacing w:before="120" w:after="120"/>
      </w:pPr>
      <w:r>
        <w:rPr>
          <w:sz w:val="18"/>
        </w:rPr>
        <w:t>——————————————————————————————————————————————————————————————————————</w:t>
      </w:r>
    </w:p>
    <w:p>
      <w:pPr>
        <w:spacing w:before="160" w:after="40" w:line="240" w:lineRule="auto"/>
      </w:pPr>
      <w:r>
        <w:rPr>
          <w:b/>
        </w:rPr>
        <w:t xml:space="preserve">[223] </w:t>
      </w:r>
      <w:hyperlink r:id="rId687">
        <w:r>
          <w:rPr>
            <w:color w:val="1155CC"/>
            <w:u w:val="single"/>
          </w:rPr>
          <w:t>使用前摇匀：通过单一驱动全面增强量子测温</w:t>
        </w:r>
      </w:hyperlink>
    </w:p>
    <w:p>
      <w:pPr>
        <w:spacing w:before="0" w:after="80"/>
      </w:pPr>
      <w:r>
        <w:rPr>
          <w:i/>
          <w:sz w:val="20"/>
        </w:rPr>
        <w:t>EN: Shake before Use: Universal Enhancement of Quantum Thermometry by Unitary Driving</w:t>
      </w:r>
    </w:p>
    <w:p>
      <w:pPr>
        <w:spacing w:before="0" w:after="120"/>
      </w:pPr>
      <w:r>
        <w:rPr>
          <w:b/>
        </w:rPr>
        <w:t xml:space="preserve">Source: </w:t>
      </w:r>
      <w:r>
        <w:t>Recent Articles in Phys. Rev. Lett.</w:t>
      </w:r>
      <w:r>
        <w:t xml:space="preserve">    </w:t>
      </w:r>
      <w:r>
        <w:rPr>
          <w:b/>
        </w:rPr>
        <w:t xml:space="preserve">Pub date: </w:t>
      </w:r>
      <w:r>
        <w:t>2026-06-23 10:00:00+00:00</w:t>
      </w:r>
      <w:r>
        <w:t xml:space="preserve">    </w:t>
      </w:r>
      <w:r>
        <w:rPr>
          <w:b/>
        </w:rPr>
        <w:t xml:space="preserve">DOI: </w:t>
      </w:r>
      <w:hyperlink r:id="rId688">
        <w:r>
          <w:rPr>
            <w:color w:val="1155CC"/>
            <w:u w:val="single"/>
          </w:rPr>
          <w:t>10.1103/z6rz-d9sq</w:t>
        </w:r>
      </w:hyperlink>
    </w:p>
    <w:p>
      <w:pPr>
        <w:spacing w:before="0" w:after="120"/>
      </w:pPr>
      <w:r>
        <w:rPr>
          <w:b/>
        </w:rPr>
        <w:t xml:space="preserve">Notes: </w:t>
      </w:r>
      <w:r>
        <w:t>abstract_source=rss_description</w:t>
      </w:r>
    </w:p>
    <w:p>
      <w:pPr>
        <w:spacing w:before="0" w:after="80" w:lineRule="auto" w:line="276"/>
      </w:pPr>
      <w:r>
        <w:rPr>
          <w:b/>
        </w:rPr>
        <w:t xml:space="preserve">摘要（ZH）: </w:t>
      </w:r>
      <w:r>
        <w:t>作者：Emanuele Tumbiolo、Lorenzo Maccone、Chiara Macchiavello、Matteo G. A. Paris 和 Giacomo Guarnieri 量子测温旨在在量子范围内以终极精度确定温度。标准平衡方法受到静态能量波动给出的量子费希尔信息的限制，在固定温度窗口之外失去灵敏度。非平衡策略有……[物理。莱特牧师。 136, 250401] 2026 年 6 月 23 日星期二发布</w:t>
      </w:r>
    </w:p>
    <w:p>
      <w:pPr>
        <w:spacing w:before="0" w:after="200" w:lineRule="auto" w:line="276"/>
      </w:pPr>
      <w:r>
        <w:rPr>
          <w:b/>
        </w:rPr>
        <w:t xml:space="preserve">Abstract (EN): </w:t>
      </w:r>
      <w:r>
        <w:t>Author(s): Emanuele Tumbiolo, Lorenzo Maccone, Chiara Macchiavello, Matteo G. A. Paris, and Giacomo GuarnieriQuantum thermometry aims at determining temperature with ultimate precision in the quantum regime. Standard equilibrium approaches, limited by the quantum Fisher information given by static energy fluctuations, lose sensitivity outside a fixed temperature window. Nonequilibrium strategies have there…[Phys. Rev. Lett. 136, 250401] Published Tue Jun 23, 2026</w:t>
      </w:r>
    </w:p>
    <w:p>
      <w:pPr>
        <w:spacing w:before="120" w:after="120"/>
      </w:pPr>
      <w:r>
        <w:rPr>
          <w:sz w:val="18"/>
        </w:rPr>
        <w:t>——————————————————————————————————————————————————————————————————————</w:t>
      </w:r>
    </w:p>
    <w:p>
      <w:pPr>
        <w:spacing w:before="160" w:after="40" w:line="240" w:lineRule="auto"/>
      </w:pPr>
      <w:r>
        <w:rPr>
          <w:b/>
        </w:rPr>
        <w:t xml:space="preserve">[224] </w:t>
      </w:r>
      <w:hyperlink r:id="rId689">
        <w:r>
          <w:rPr>
            <w:color w:val="1155CC"/>
            <w:u w:val="single"/>
          </w:rPr>
          <w:t>微观势模型中的低能$^{17}\mathrm{O}(n,γ)^{18}\mathrm{O}$反应及其对弱$r$过程的作用</w:t>
        </w:r>
      </w:hyperlink>
    </w:p>
    <w:p>
      <w:pPr>
        <w:spacing w:before="0" w:after="80"/>
      </w:pPr>
      <w:r>
        <w:rPr>
          <w:i/>
          <w:sz w:val="20"/>
        </w:rPr>
        <w:t>EN: Low-energy $^{17}\mathrm{O}(n,γ)^{18}\mathrm{O}$ reaction within the microscopic potential model and its role for the weak $r$ process</w:t>
      </w:r>
    </w:p>
    <w:p>
      <w:pPr>
        <w:spacing w:before="0" w:after="120"/>
      </w:pPr>
      <w:r>
        <w:rPr>
          <w:b/>
        </w:rPr>
        <w:t xml:space="preserve">Source: </w:t>
      </w:r>
      <w:r>
        <w:t>Recent Articles in Phys. Rev. C</w:t>
      </w:r>
      <w:r>
        <w:t xml:space="preserve">    </w:t>
      </w:r>
      <w:r>
        <w:rPr>
          <w:b/>
        </w:rPr>
        <w:t xml:space="preserve">Pub date: </w:t>
      </w:r>
      <w:r>
        <w:t>2026-06-23 10:00:00+00:00</w:t>
      </w:r>
      <w:r>
        <w:t xml:space="preserve">    </w:t>
      </w:r>
      <w:r>
        <w:rPr>
          <w:b/>
        </w:rPr>
        <w:t xml:space="preserve">DOI: </w:t>
      </w:r>
      <w:hyperlink r:id="rId690">
        <w:r>
          <w:rPr>
            <w:color w:val="1155CC"/>
            <w:u w:val="single"/>
          </w:rPr>
          <w:t>10.1103/7rgt-5ljy</w:t>
        </w:r>
      </w:hyperlink>
    </w:p>
    <w:p>
      <w:pPr>
        <w:spacing w:before="0" w:after="120"/>
      </w:pPr>
      <w:r>
        <w:rPr>
          <w:b/>
        </w:rPr>
        <w:t xml:space="preserve">Notes: </w:t>
      </w:r>
      <w:r>
        <w:t>abstract_source=rss_description</w:t>
      </w:r>
    </w:p>
    <w:p>
      <w:pPr>
        <w:spacing w:before="0" w:after="80" w:lineRule="auto" w:line="276"/>
      </w:pPr>
      <w:r>
        <w:rPr>
          <w:b/>
        </w:rPr>
        <w:t xml:space="preserve">摘要（ZH）: </w:t>
      </w:r>
      <w:r>
        <w:t>作者：Nguyen Le Anh、Jasmine Sarahi Andrews、Bui Minh Loc 和 Andre Sieverding中子辐射俘获反应 $^{17}\mathrm{O}(n,γ)^{18}\mathrm{O}$ 在核结构研究和天体物理核合成中发挥着关键作用，特别是在静水和爆炸恒星环境中的元素形成中。我们计算了 $^{17}\mathrm{O}(n…[Phys. Rev. C 113, 065807] 2026 年 6 月 23 日星期二发布</w:t>
      </w:r>
    </w:p>
    <w:p>
      <w:pPr>
        <w:spacing w:before="0" w:after="200" w:lineRule="auto" w:line="276"/>
      </w:pPr>
      <w:r>
        <w:rPr>
          <w:b/>
        </w:rPr>
        <w:t xml:space="preserve">Abstract (EN): </w:t>
      </w:r>
      <w:r>
        <w:t>Author(s): Nguyen Le Anh, Jasmine Sarahi Andrews, Bui Minh Loc, and Andre SieverdingThe neutron radiative capture reaction $^{17}\mathrm{O}(n,γ)^{18}\mathrm{O}$ plays a pivotal role in both nuclear structure studies and astrophysical nucleosynthesis, particularly in the formation of elements during hydrostatic and explosive stellar environments. We calculated the $^{17}\mathrm{O}(n…[Phys. Rev. C 113, 065807] Published Tue Jun 23, 2026</w:t>
      </w:r>
    </w:p>
    <w:p>
      <w:pPr>
        <w:spacing w:before="120" w:after="120"/>
      </w:pPr>
      <w:r>
        <w:rPr>
          <w:sz w:val="18"/>
        </w:rPr>
        <w:t>——————————————————————————————————————————————————————————————————————</w:t>
      </w:r>
    </w:p>
    <w:p>
      <w:pPr>
        <w:spacing w:before="160" w:after="40" w:line="240" w:lineRule="auto"/>
      </w:pPr>
      <w:r>
        <w:rPr>
          <w:b/>
        </w:rPr>
        <w:t xml:space="preserve">[225] </w:t>
      </w:r>
      <w:hyperlink r:id="rId691">
        <w:r>
          <w:rPr>
            <w:color w:val="1155CC"/>
            <w:u w:val="single"/>
          </w:rPr>
          <w:t>通过机器学习反演 Woods-Saxon 势参数</w:t>
        </w:r>
      </w:hyperlink>
    </w:p>
    <w:p>
      <w:pPr>
        <w:spacing w:before="0" w:after="80"/>
      </w:pPr>
      <w:r>
        <w:rPr>
          <w:i/>
          <w:sz w:val="20"/>
        </w:rPr>
        <w:t>EN: Inversion of Woods-Saxon potential parameters via machine learning</w:t>
      </w:r>
    </w:p>
    <w:p>
      <w:pPr>
        <w:spacing w:before="0" w:after="120"/>
      </w:pPr>
      <w:r>
        <w:rPr>
          <w:b/>
        </w:rPr>
        <w:t xml:space="preserve">Source: </w:t>
      </w:r>
      <w:r>
        <w:t>Recent Articles in Phys. Rev. C</w:t>
      </w:r>
      <w:r>
        <w:t xml:space="preserve">    </w:t>
      </w:r>
      <w:r>
        <w:rPr>
          <w:b/>
        </w:rPr>
        <w:t xml:space="preserve">Pub date: </w:t>
      </w:r>
      <w:r>
        <w:t>2026-06-23 10:00:00+00:00</w:t>
      </w:r>
      <w:r>
        <w:t xml:space="preserve">    </w:t>
      </w:r>
      <w:r>
        <w:rPr>
          <w:b/>
        </w:rPr>
        <w:t xml:space="preserve">DOI: </w:t>
      </w:r>
      <w:hyperlink r:id="rId692">
        <w:r>
          <w:rPr>
            <w:color w:val="1155CC"/>
            <w:u w:val="single"/>
          </w:rPr>
          <w:t>10.1103/zmqq-kx63</w:t>
        </w:r>
      </w:hyperlink>
    </w:p>
    <w:p>
      <w:pPr>
        <w:spacing w:before="0" w:after="120"/>
      </w:pPr>
      <w:r>
        <w:rPr>
          <w:b/>
        </w:rPr>
        <w:t xml:space="preserve">Notes: </w:t>
      </w:r>
      <w:r>
        <w:t>abstract_source=rss_description</w:t>
      </w:r>
    </w:p>
    <w:p>
      <w:pPr>
        <w:spacing w:before="0" w:after="80" w:lineRule="auto" w:line="276"/>
      </w:pPr>
      <w:r>
        <w:rPr>
          <w:b/>
        </w:rPr>
        <w:t xml:space="preserve">摘要（ZH）: </w:t>
      </w:r>
      <w:r>
        <w:t>作者：魏国军、徐浩、李志龙、李鹏程、赵清、王永嘉和李庆峰 Woods-Saxon (WS) 势是描述原子核中心平均场势的成熟模型，在核结构和核反应研究中发挥着至关重要的作用。目前，WS势的研究主要集中在正演问题，求解波函数......[Phys. Rev. C 113, 064908] 2026 年 6 月 23 日星期二发布</w:t>
      </w:r>
    </w:p>
    <w:p>
      <w:pPr>
        <w:spacing w:before="0" w:after="200" w:lineRule="auto" w:line="276"/>
      </w:pPr>
      <w:r>
        <w:rPr>
          <w:b/>
        </w:rPr>
        <w:t xml:space="preserve">Abstract (EN): </w:t>
      </w:r>
      <w:r>
        <w:t>Author(s): Guojun Wei, Hao Xu, Zhilong Li, Pengcheng Li, Qing Zhao, Yongjia Wang, and Qingfeng LiThe Woods-Saxon (WS) potential, a well-established model describing the central mean field potential in atomic nuclei, plays a critical role in studies of nuclear structure and nuclear reactions. Currently, research on the WS potential primarily focuses on the forward problem, solving for wave funct…[Phys. Rev. C 113, 064908] Published Tue Jun 23, 2026</w:t>
      </w:r>
    </w:p>
    <w:p>
      <w:pPr>
        <w:spacing w:before="120" w:after="120"/>
      </w:pPr>
      <w:r>
        <w:rPr>
          <w:sz w:val="18"/>
        </w:rPr>
        <w:t>——————————————————————————————————————————————————————————————————————</w:t>
      </w:r>
    </w:p>
    <w:p>
      <w:pPr>
        <w:spacing w:before="160" w:after="40" w:line="240" w:lineRule="auto"/>
      </w:pPr>
      <w:r>
        <w:rPr>
          <w:b/>
        </w:rPr>
        <w:t xml:space="preserve">[226] </w:t>
      </w:r>
      <w:hyperlink r:id="rId693">
        <w:r>
          <w:rPr>
            <w:color w:val="1155CC"/>
            <w:u w:val="single"/>
          </w:rPr>
          <w:t>单分子忆阻器实现神经形态应用的突触可塑性</w:t>
        </w:r>
      </w:hyperlink>
    </w:p>
    <w:p>
      <w:pPr>
        <w:spacing w:before="0" w:after="80"/>
      </w:pPr>
      <w:r>
        <w:rPr>
          <w:i/>
          <w:sz w:val="20"/>
        </w:rPr>
        <w:t>EN: Single‐Molecule Memristor Realizing Synaptic Plasticity for Neuromorphic Applications</w:t>
      </w:r>
    </w:p>
    <w:p>
      <w:pPr>
        <w:spacing w:before="0" w:after="120"/>
      </w:pPr>
      <w:r>
        <w:rPr>
          <w:b/>
        </w:rPr>
        <w:t xml:space="preserve">Source: </w:t>
      </w:r>
      <w:r>
        <w:t>Wiley: Angewandte Chemie International Edition: Table of Contents</w:t>
      </w:r>
      <w:r>
        <w:t xml:space="preserve">    </w:t>
      </w:r>
      <w:r>
        <w:rPr>
          <w:b/>
        </w:rPr>
        <w:t xml:space="preserve">Pub date: </w:t>
      </w:r>
      <w:r>
        <w:t>2026-06-23 10:21:19+00:00</w:t>
      </w:r>
      <w:r>
        <w:t xml:space="preserve">    </w:t>
      </w:r>
      <w:r>
        <w:rPr>
          <w:b/>
        </w:rPr>
        <w:t xml:space="preserve">DOI: </w:t>
      </w:r>
      <w:hyperlink r:id="rId694">
        <w:r>
          <w:rPr>
            <w:color w:val="1155CC"/>
            <w:u w:val="single"/>
          </w:rPr>
          <w:t>10.1002/anie.6931490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神经形态计算，特别是基于忆阻器的架构，为克服冯·诺依曼瓶颈提供了一条有前途的途径。单分子器件具有高集成密度和低能耗，代表了下一代计算的新兴平台。在这里，我们报道了第一个基于有机光伏材料Y6的光电挥发性单分子忆阻器。该器件表现出由电场引起的结构松弛驱动的可重复电导切换，从而能够模拟突触行为的渐进和线性电导调制。在红光照射下，Y6结的电导显着增加了457%，开关阈值显着降低，表现出强光响应性和低功耗操作。此外，频率相关的脉冲测试清楚地再现了短期突触可塑性（STP），证明了忆阻器模拟动态突触功能的能力。当将实验测量的 Y6 单分子忆阻器的电流响应纳入人工神经网络 (ANN) 模型时，系统实现了 71.50% 的语音识别准确率，与基准 ANN 的准确率 (74.90%) 非常接近。这项工作开创了在单分子忆阻器中实现突触功能的先河，并验证了其在人工神经网络中的应用。它为开发高度集成的分子级神经形态计算设备提供了一种新策略。</w:t>
      </w:r>
    </w:p>
    <w:p>
      <w:pPr>
        <w:spacing w:before="0" w:after="200" w:lineRule="auto" w:line="276"/>
      </w:pPr>
      <w:r>
        <w:rPr>
          <w:b/>
        </w:rPr>
        <w:t xml:space="preserve">Abstract (EN): </w:t>
      </w:r>
      <w:r>
        <w:t>Neuromorphic computing, particularly memristor‐based architectures, offers a promising route to overcome the von Neumann bottleneck. Single‐molecule devices, with their high integration density and low energy consumption, represent an emerging platform for next‐generation computing. Here, we report the first optoelectronic volatile single‐molecule memristor based on the organic photovoltaic material Y6. The device exhibits reproducible conductance switching driven by electric‐field‐induced structural relaxation, enabling gradual and linear conductance modulation that mimics synaptic behavior. Under red‐light illumination, the Y6 junction shows a remarkable 457% increase in conductance and a significantly reduced switching threshold, demonstrating strong photoresponsivity and low‐power operation. Furthermore, frequency‐dependent pulse tests clearly reproduce short‐term synaptic plasticity (STP), demonstrating the memristor's ability to emulate dynamic synaptic functions. When the experimentally measured current response of the Y6 single‐molecule memristor is incorporated into an artificial neural network (ANN) model, the system achieves a speech‐recognition accuracy of 71.50%, closely matching that of the benchmark ANN (74.90%). This work pioneers the realization of synaptic functionality in a single‐molecule memristor and validates its application within an artificial neural network. It provides a new strategy for developing highly integrated molecular‐scale neuromorphic computing devices.</w:t>
      </w:r>
    </w:p>
    <w:p>
      <w:pPr>
        <w:spacing w:before="120" w:after="120"/>
      </w:pPr>
      <w:r>
        <w:rPr>
          <w:sz w:val="18"/>
        </w:rPr>
        <w:t>——————————————————————————————————————————————————————————————————————</w:t>
      </w:r>
    </w:p>
    <w:p>
      <w:pPr>
        <w:spacing w:before="160" w:after="40" w:line="240" w:lineRule="auto"/>
      </w:pPr>
      <w:r>
        <w:rPr>
          <w:b/>
        </w:rPr>
        <w:t xml:space="preserve">[227] </w:t>
      </w:r>
      <w:hyperlink r:id="rId695">
        <w:r>
          <w:rPr>
            <w:color w:val="1155CC"/>
            <w:u w:val="single"/>
          </w:rPr>
          <w:t>用于活细胞中靶向近红外荧光和终身成像的 π 扩展 COUPY 荧光团</w:t>
        </w:r>
      </w:hyperlink>
    </w:p>
    <w:p>
      <w:pPr>
        <w:spacing w:before="0" w:after="80"/>
      </w:pPr>
      <w:r>
        <w:rPr>
          <w:i/>
          <w:sz w:val="20"/>
        </w:rPr>
        <w:t>EN: π‐Extended COUPY Fluorophores for Targeted Near‐Infrared Fluorescence and Lifetime Imaging in Live Cells</w:t>
      </w:r>
    </w:p>
    <w:p>
      <w:pPr>
        <w:spacing w:before="0" w:after="120"/>
      </w:pPr>
      <w:r>
        <w:rPr>
          <w:b/>
        </w:rPr>
        <w:t xml:space="preserve">Source: </w:t>
      </w:r>
      <w:r>
        <w:t>Wiley: Angewandte Chemie International Edition: Table of Contents</w:t>
      </w:r>
      <w:r>
        <w:t xml:space="preserve">    </w:t>
      </w:r>
      <w:r>
        <w:rPr>
          <w:b/>
        </w:rPr>
        <w:t xml:space="preserve">Pub date: </w:t>
      </w:r>
      <w:r>
        <w:t>2026-06-23 14:40:00+00:00</w:t>
      </w:r>
      <w:r>
        <w:t xml:space="preserve">    </w:t>
      </w:r>
      <w:r>
        <w:rPr>
          <w:b/>
        </w:rPr>
        <w:t xml:space="preserve">DOI: </w:t>
      </w:r>
      <w:hyperlink r:id="rId696">
        <w:r>
          <w:rPr>
            <w:color w:val="1155CC"/>
            <w:u w:val="single"/>
          </w:rPr>
          <w:t>10.1002/anie.9647759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在近红外 (NIR) 区域工作的荧光探针可提供深层组织可视化，背景干扰最小，光毒性降低，信噪比增强。然而，大多数传统的近红外荧光团表现出较差的光稳定性、低荧光量子产率和有限的化学通用性，这限制了它们在苛刻的生物环境中的使用。在这里，我们报告了一个新的 π 延伸 COUPY 染料家族（</w:t>
      </w:r>
      <w:r>
        <w:rPr>
          <w:vertAlign w:val="subscript"/>
        </w:rPr>
        <w:t>3</w:t>
      </w:r>
      <w:r>
        <w:t>–</w:t>
      </w:r>
      <w:r>
        <w:rPr>
          <w:vertAlign w:val="subscript"/>
        </w:rPr>
        <w:t>7</w:t>
      </w:r>
      <w:r>
        <w:t>），经过合理设计，通过香豆素支架的环外双键的乙烯基化来提供高效的远红/近红外性能。这种单一的结构修饰会导致吸收和发射光谱发生超过 100 nm 的红移，同时保留母体香豆素的紧凑结构和合成可及性。所得染料结合了高摩尔吸收率、中等到高量子产率以及在生物相关条件下出色的光稳定性。它们的性能在使用基于强度和荧光寿命成像显微镜（FLIM）的活细胞成像中得到了验证，证明了与先进成像技术的兼容性。此外，与临床相关肽的位点特异性生物缀合证实了它们对于靶向成像的适用性。总的来说，π-延伸 COUPY 染料代表了一类有前途的合成模块化、化学稳定性和生物相容性远红/近红外荧光团，用于高分辨率</w:t>
      </w:r>
    </w:p>
    <w:p>
      <w:pPr>
        <w:spacing w:before="0" w:after="200" w:lineRule="auto" w:line="276"/>
      </w:pPr>
      <w:r>
        <w:rPr>
          <w:b/>
        </w:rPr>
        <w:t xml:space="preserve">Abstract (EN): </w:t>
      </w:r>
      <w:r>
        <w:t>Fluorescent probes operating in the near‐infrared (NIR) region offer deep‐tissue visualization with minimal background interference, reduced phototoxicity, and enhanced signal‐to‐noise ratios. However, most conventional NIR fluorophores exhibit poor photostability, low fluorescence quantum yields, and limited chemical versatility, which constrain their use in demanding biological environments. Here, we report a new family of π‐extended COUPY dyes (</w:t>
      </w:r>
      <w:r>
        <w:rPr>
          <w:vertAlign w:val="subscript"/>
        </w:rPr>
        <w:t>3</w:t>
      </w:r>
      <w:r>
        <w:t>–</w:t>
      </w:r>
      <w:r>
        <w:rPr>
          <w:vertAlign w:val="subscript"/>
        </w:rPr>
        <w:t>7</w:t>
      </w:r>
      <w:r>
        <w:t>), rationally engineered to deliver efficient far‐red/NIR performance through vinylogation of the exocyclic double bond of the coumarin scaffold. This single structural modification induces a bathochromic shift exceeding 100 nm in both absorption and emission spectra while preserving the compact architecture and synthetic accessibility of the parent coumarin. The resulting dyes combine high molar absorptivity, moderate‐to‐high quantum yields, and exceptional photostability under biologically‐relevant conditions. Their performance was validated in live‐cell imaging using both intensity‐based and fluorescence lifetime imaging microscopy (FLIM), demonstrating compatibility with advanced imaging techniques. Furthermore, site‐specific bioconjugation to a clinically relevant peptide confirmed their suitability for targeted imaging. Collectively, π‐extended COUPY dyes represent a promising class of synthetically modular, chemically robust, and biologically compatible far‐red/NIR fluorophores for high‐resolution imaging, targeted strategies, and advanced bioimaging modalities, and provide a foundation for future studies aimed at evaluating their performance in more complex biological models.</w:t>
      </w:r>
    </w:p>
    <w:p>
      <w:pPr>
        <w:spacing w:before="120" w:after="120"/>
      </w:pPr>
      <w:r>
        <w:rPr>
          <w:sz w:val="18"/>
        </w:rPr>
        <w:t>——————————————————————————————————————————————————————————————————————</w:t>
      </w:r>
    </w:p>
    <w:p>
      <w:pPr>
        <w:spacing w:before="160" w:after="40" w:line="240" w:lineRule="auto"/>
      </w:pPr>
      <w:r>
        <w:rPr>
          <w:b/>
        </w:rPr>
        <w:t xml:space="preserve">[228] </w:t>
      </w:r>
      <w:hyperlink r:id="rId697">
        <w:r>
          <w:rPr>
            <w:color w:val="1155CC"/>
            <w:u w:val="single"/>
          </w:rPr>
          <w:t>具有可控层方向的二维共轭金属有机框架薄膜的水面合成可实现高性能化学电阻传感</w:t>
        </w:r>
      </w:hyperlink>
    </w:p>
    <w:p>
      <w:pPr>
        <w:spacing w:before="0" w:after="80"/>
      </w:pPr>
      <w:r>
        <w:rPr>
          <w:i/>
          <w:sz w:val="20"/>
        </w:rPr>
        <w:t>EN: On‐Water Surface Synthesis of 2D Conjugated Metal–Organic Framework Films With Controllable Layer Orientation Enabling High‐Performance Chemiresistive Sensing</w:t>
      </w:r>
    </w:p>
    <w:p>
      <w:pPr>
        <w:spacing w:before="0" w:after="120"/>
      </w:pPr>
      <w:r>
        <w:rPr>
          <w:b/>
        </w:rPr>
        <w:t xml:space="preserve">Source: </w:t>
      </w:r>
      <w:r>
        <w:t>Wiley: Advanced Materials: Table of Contents</w:t>
      </w:r>
      <w:r>
        <w:t xml:space="preserve">    </w:t>
      </w:r>
      <w:r>
        <w:rPr>
          <w:b/>
        </w:rPr>
        <w:t xml:space="preserve">Pub date: </w:t>
      </w:r>
      <w:r>
        <w:t>2026-06-23 16:38:22+00:00</w:t>
      </w:r>
      <w:r>
        <w:t xml:space="preserve">    </w:t>
      </w:r>
      <w:r>
        <w:rPr>
          <w:b/>
        </w:rPr>
        <w:t xml:space="preserve">DOI: </w:t>
      </w:r>
      <w:hyperlink r:id="rId698">
        <w:r>
          <w:rPr>
            <w:color w:val="1155CC"/>
            <w:u w:val="single"/>
          </w:rPr>
          <w:t>10.1002/adma.73785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二维共轭金属有机框架（2D</w:t>
      </w:r>
      <w:r>
        <w:t xml:space="preserve"> </w:t>
      </w:r>
      <w:r>
        <w:t>c</w:t>
      </w:r>
      <w:r>
        <w:t xml:space="preserve"> </w:t>
      </w:r>
      <w:r>
        <w:t>‐MOF）由于其独特的导电性和固有孔隙率组合，为电子设备，特别是化学电阻传感器提供了一个有吸引力的平台。然而，它们明显的结构和传输各向异性使得器件性能对层方向高度敏感，这强调了对合成策略的需求，以实现良好对齐的二维的受控合成</w:t>
      </w:r>
      <w:r>
        <w:t xml:space="preserve"> </w:t>
      </w:r>
      <w:r>
        <w:t>c</w:t>
      </w:r>
      <w:r>
        <w:t xml:space="preserve"> </w:t>
      </w:r>
      <w:r>
        <w:t>‐MOF 薄膜。在这里，我们介绍了一种表面活性剂单层辅助的水上合成方法，该方法可以对导电 Ni-HHTP (HHTP = 2,3,6,7,10,11-六羟基苯并菲)薄膜的层取向（面朝上与边朝上）进行编程</w:t>
      </w:r>
      <w:r>
        <w:rPr>
          <w:vertAlign w:val="subscript"/>
        </w:rPr>
        <w:t>2</w:t>
      </w:r>
      <w:r>
        <w:t>通过调节配体-表面活性剂单层静电与氢键相互作用来调节尺度区域。成像和散射技术明确地证实了优先的正面和边缘层方向，而电传输和光泵太赫兹探针光谱揭示了正面薄膜中层内电荷传输的显着增强，从而促进了它们集成到化学电阻传感中。耐化学性NH</w:t>
      </w:r>
      <w:r>
        <w:rPr>
          <w:vertAlign w:val="subscript"/>
        </w:rPr>
        <w:t>3</w:t>
      </w:r>
      <w:r>
        <w:t>基于正面 Ni-HHTP 薄膜的传感器在 50 ppm 下实现了 269.8% 的响应，在室温下实现了 8.45 ppb 的超低检测限，超过了边缘薄膜和之前报道的 2D</w:t>
      </w:r>
      <w:r>
        <w:t xml:space="preserve"> </w:t>
      </w:r>
      <w:r>
        <w:t>c</w:t>
      </w:r>
      <w:r>
        <w:t xml:space="preserve"> </w:t>
      </w:r>
      <w:r>
        <w:t>‑MOF 传感器。这些结果预计</w:t>
      </w:r>
    </w:p>
    <w:p>
      <w:pPr>
        <w:spacing w:before="0" w:after="200" w:lineRule="auto" w:line="276"/>
      </w:pPr>
      <w:r>
        <w:rPr>
          <w:b/>
        </w:rPr>
        <w:t xml:space="preserve">Abstract (EN): </w:t>
      </w:r>
      <w:r>
        <w:t>Two‐dimensional conjugated metal–organic frameworks (2D</w:t>
      </w:r>
      <w:r>
        <w:t xml:space="preserve"> </w:t>
      </w:r>
      <w:r>
        <w:t>c</w:t>
      </w:r>
      <w:r>
        <w:t xml:space="preserve"> </w:t>
      </w:r>
      <w:r>
        <w:t>‐MOFs) offer an appealing platform for electronic devices, particularly chemiresistive sensors, owing to their unique combination of electrical conductivity and intrinsic porosity. However, their pronounced structural and transport anisotropies render device performance highly sensitive to layer orientation, underscoring the need for synthetic strategies that enable the controlled synthesis of well‐aligned 2D</w:t>
      </w:r>
      <w:r>
        <w:t xml:space="preserve"> </w:t>
      </w:r>
      <w:r>
        <w:t>c</w:t>
      </w:r>
      <w:r>
        <w:t xml:space="preserve"> </w:t>
      </w:r>
      <w:r>
        <w:t>‐MOF films. Here, we introduce a surfactant monolayer‐assisted on‑water synthesis that programs the layer orientation of conductive Ni‑HHTP (HHTP = 2,3,6,7,10,11‐hexahydroxytriphenylene) films (face‑on vs. edge‑on) over cm</w:t>
      </w:r>
      <w:r>
        <w:rPr>
          <w:vertAlign w:val="subscript"/>
        </w:rPr>
        <w:t>2</w:t>
      </w:r>
      <w:r>
        <w:t>‑scale areas by tuning ligand‐surfactant monolayer electrostatic vs. hydrogen‑bonding interactions. Imaging and scattering techniques unambiguously confirm preferential face‐on and edge‐on layer orientations, while electrical transport and optical pump‐THz probe spectroscopy reveal markedly enhanced intralayer charge transport in face‐on films, motivating their integration into chemiresistive sensing. Chemiresistive NH</w:t>
      </w:r>
      <w:r>
        <w:rPr>
          <w:vertAlign w:val="subscript"/>
        </w:rPr>
        <w:t>3</w:t>
      </w:r>
      <w:r>
        <w:t>sensors based on face‑on Ni‑HHTP films achieve a response of 269.8% at 50 ppm and an ultralow detection limit of 8.45 ppb at room temperature, surpassing edge‑on films and previously reported 2D</w:t>
      </w:r>
      <w:r>
        <w:t xml:space="preserve"> </w:t>
      </w:r>
      <w:r>
        <w:t>c</w:t>
      </w:r>
      <w:r>
        <w:t xml:space="preserve"> </w:t>
      </w:r>
      <w:r>
        <w:t>‑MOF sensors. These results establish surfactant‐programmed on‐water synthesis as a new route to macroscopic orientation control in 2D</w:t>
      </w:r>
      <w:r>
        <w:t xml:space="preserve"> </w:t>
      </w:r>
      <w:r>
        <w:t>c</w:t>
      </w:r>
      <w:r>
        <w:t xml:space="preserve"> </w:t>
      </w:r>
      <w:r>
        <w:t>‐MOFs, enabling deliberate exploitation of their anisotropic charge transport in high‐performance sensing and electronic devices.</w:t>
      </w:r>
    </w:p>
    <w:p>
      <w:pPr>
        <w:spacing w:before="120" w:after="120"/>
      </w:pPr>
      <w:r>
        <w:rPr>
          <w:sz w:val="18"/>
        </w:rPr>
        <w:t>——————————————————————————————————————————————————————————————————————</w:t>
      </w:r>
    </w:p>
    <w:p>
      <w:pPr>
        <w:spacing w:before="160" w:after="40" w:line="240" w:lineRule="auto"/>
      </w:pPr>
      <w:r>
        <w:rPr>
          <w:b/>
        </w:rPr>
        <w:t xml:space="preserve">[229] </w:t>
      </w:r>
      <w:hyperlink r:id="rId699">
        <w:r>
          <w:rPr>
            <w:color w:val="1155CC"/>
            <w:u w:val="single"/>
          </w:rPr>
          <w:t>Nonlocal Metaspire：具有解耦机械模式的可扩展弹性材料平台</w:t>
        </w:r>
      </w:hyperlink>
    </w:p>
    <w:p>
      <w:pPr>
        <w:spacing w:before="0" w:after="80"/>
      </w:pPr>
      <w:r>
        <w:rPr>
          <w:i/>
          <w:sz w:val="20"/>
        </w:rPr>
        <w:t>EN: Nonlocal Metaspire: A Scalable Elastic Material Platform With Decoupled Mechanical Modes</w:t>
      </w:r>
    </w:p>
    <w:p>
      <w:pPr>
        <w:spacing w:before="0" w:after="120"/>
      </w:pPr>
      <w:r>
        <w:rPr>
          <w:b/>
        </w:rPr>
        <w:t xml:space="preserve">Source: </w:t>
      </w:r>
      <w:r>
        <w:t>Wiley: Advanced Materials: Table of Contents</w:t>
      </w:r>
      <w:r>
        <w:t xml:space="preserve">    </w:t>
      </w:r>
      <w:r>
        <w:rPr>
          <w:b/>
        </w:rPr>
        <w:t xml:space="preserve">Pub date: </w:t>
      </w:r>
      <w:r>
        <w:t>2026-06-23 16:45:44+00:00</w:t>
      </w:r>
      <w:r>
        <w:t xml:space="preserve">    </w:t>
      </w:r>
      <w:r>
        <w:rPr>
          <w:b/>
        </w:rPr>
        <w:t xml:space="preserve">DOI: </w:t>
      </w:r>
      <w:hyperlink r:id="rId700">
        <w:r>
          <w:rPr>
            <w:color w:val="1155CC"/>
            <w:u w:val="single"/>
          </w:rPr>
          <w:t>10.1002/adma.73822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局域超材料是与非相邻晶胞相互作用的超材料，由于其非凡的能带结构，最近作为波控制的新范例引起了越来越多的关注。然而，现有的非局域超材料在可扩展性方面仍然有限，使得难以实现多个非局域耦合和高维阵列。弹性非局域超材料还具有模式耦合的额外限制，这阻碍了对各个弹性波模式中独特的非局域波现象的清晰研究。本研究通过提出一种用于弹性非局域超材料的新材料平台，利用具有顺序旋转的“Metaspire”架构来解决这些局限性。随后，研究了 maxon 和 roton 周围的详细波动，并进一步研究了非对称性在弯曲带行为中的作用。此外，还进行了实际制造和实验验证以进一步支持所提出的方法。结果定量地证明了该方法的高可扩展性及其对模式耦合的抑制。所提出的材料平台为多功能波平台的开发提供了基础，从而实现了各种新波系统和设备。</w:t>
      </w:r>
    </w:p>
    <w:p>
      <w:pPr>
        <w:spacing w:before="0" w:after="200" w:lineRule="auto" w:line="276"/>
      </w:pPr>
      <w:r>
        <w:rPr>
          <w:b/>
        </w:rPr>
        <w:t xml:space="preserve">Abstract (EN): </w:t>
      </w:r>
      <w:r>
        <w:t>Nonlocal metamaterials, which are metamaterials that interact with non‐neighboring unit cells, have recently attracted growing attention as a new paradigm for wave control owing to their extraordinary band structures. However, existing nonlocal metamaterials remain limited in scalability, making it difficult to implement multiple nonlocal couplings and higher‐dimensional arrays. Elastic nonlocal metamaterials have an additional limitation of mode coupling, which hinders clear investigations of unique nonlocal wave phenomena in individual elastic wave modes. This study addresses these limitations by proposing a new material platform for elastic nonlocal metamaterials, leveraging the “Metaspire” architecture with sequential rotation. Subsequently, the detailed wave motions around the maxon and roton are investigated, and the role of nonsymmorphic symmetry in flexural band behavior is further examined. In addition, actual fabrication and experimental validation are conducted to further support the proposed approach. The results quantitatively demonstrate the high scalability of the proposed method and its suppression of mode coupling. The proposed material platform provides a basis for the development of multifunctional wave platforms, thereby enabling various new‐wave systems and devices.</w:t>
      </w:r>
    </w:p>
    <w:p>
      <w:pPr>
        <w:spacing w:before="120" w:after="120"/>
      </w:pPr>
      <w:r>
        <w:rPr>
          <w:sz w:val="18"/>
        </w:rPr>
        <w:t>——————————————————————————————————————————————————————————————————————</w:t>
      </w:r>
    </w:p>
    <w:p>
      <w:pPr>
        <w:spacing w:before="160" w:after="40" w:line="240" w:lineRule="auto"/>
      </w:pPr>
      <w:r>
        <w:rPr>
          <w:b/>
        </w:rPr>
        <w:t xml:space="preserve">[230] </w:t>
      </w:r>
      <w:hyperlink r:id="rId701">
        <w:r>
          <w:rPr>
            <w:color w:val="1155CC"/>
            <w:u w:val="single"/>
          </w:rPr>
          <w:t>巨噬细胞与生物活性水凝胶在细胞内凝胶化，用于牙周炎治疗中的协同中和、根除和骨促进</w:t>
        </w:r>
      </w:hyperlink>
    </w:p>
    <w:p>
      <w:pPr>
        <w:spacing w:before="0" w:after="80"/>
      </w:pPr>
      <w:r>
        <w:rPr>
          <w:i/>
          <w:sz w:val="20"/>
        </w:rPr>
        <w:t>EN: Macrophages Intracellularly Gelated With Bioactive Hydrogels for Synergistic Neutralization, Eradication, and Osteopromotion in Periodontitis Treatment</w:t>
      </w:r>
    </w:p>
    <w:p>
      <w:pPr>
        <w:spacing w:before="0" w:after="120"/>
      </w:pPr>
      <w:r>
        <w:rPr>
          <w:b/>
        </w:rPr>
        <w:t xml:space="preserve">Source: </w:t>
      </w:r>
      <w:r>
        <w:t>Wiley: Advanced Materials: Table of Contents</w:t>
      </w:r>
      <w:r>
        <w:t xml:space="preserve">    </w:t>
      </w:r>
      <w:r>
        <w:rPr>
          <w:b/>
        </w:rPr>
        <w:t xml:space="preserve">Pub date: </w:t>
      </w:r>
      <w:r>
        <w:t>2026-06-23 16:47:17+00:00</w:t>
      </w:r>
      <w:r>
        <w:t xml:space="preserve">    </w:t>
      </w:r>
      <w:r>
        <w:rPr>
          <w:b/>
        </w:rPr>
        <w:t xml:space="preserve">DOI: </w:t>
      </w:r>
      <w:hyperlink r:id="rId702">
        <w:r>
          <w:rPr>
            <w:color w:val="1155CC"/>
            <w:u w:val="single"/>
          </w:rPr>
          <w:t>10.1002/adma.202519288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传统的牙周炎治疗因缺乏具有中和毒素、根除病原体和促进骨质所需功能的一体化材料而受到限制。本研究利用巨噬细胞识别和中和病理刺激的先天能力，开发了新型工程巨噬细胞材料：植酸盐/锌</w:t>
      </w:r>
      <w:r>
        <w:rPr>
          <w:vertAlign w:val="subscript"/>
        </w:rPr>
        <w:t>2</w:t>
      </w:r>
      <w:r>
        <w:t>+</w:t>
      </w:r>
      <w:r>
        <w:t xml:space="preserve"> </w:t>
      </w:r>
      <w:r>
        <w:t>‐负载凝胶巨噬细胞（PZ‐GM）。这些材料是在室温下通过聚合聚阳离子水凝胶并负载植酸盐/锌制成的</w:t>
      </w:r>
      <w:r>
        <w:rPr>
          <w:vertAlign w:val="subscript"/>
        </w:rPr>
        <w:t>2</w:t>
      </w:r>
      <w:r>
        <w:t>+</w:t>
      </w:r>
      <w:r>
        <w:t xml:space="preserve"> </w:t>
      </w:r>
      <w:r>
        <w:t>将完整巨噬细胞膜的天然免疫中和功能与细胞内水凝胶的生物活性创新性地结合起来。研究发现 PZ-GM 可以根除 &gt;99.99% 的病原体，去除 &gt;90% 的细菌毒素，并消除 &gt;80% 的相关炎症因子，同时通过原位矿化和骨诱导促进骨修复。它们可以进一步融入到专为酸触发释放而设计的水凝胶中，确保有针对性地输送到发炎部位。在小鼠牙周炎模型中，PZ-GM通过双重机制促进牙周再生：改变细菌和毒素诱导的病理微环境，促进成骨微环境的重塑。此外，口腔微生物组的稳态得以恢复。总的来说，PZ-GM 代表了一种有前途的一体式中和-根除-骨治疗方法</w:t>
      </w:r>
    </w:p>
    <w:p>
      <w:pPr>
        <w:spacing w:before="0" w:after="200" w:lineRule="auto" w:line="276"/>
      </w:pPr>
      <w:r>
        <w:rPr>
          <w:b/>
        </w:rPr>
        <w:t xml:space="preserve">Abstract (EN): </w:t>
      </w:r>
      <w:r>
        <w:t>Conventional periodontitis therapy is limited by the lack of an all‐in‐one material with the desired functions of toxin neutralization, pathogen eradication, and osteopromotion. Exploiting the innate capacity of macrophages to recognize and neutralize pathological stimuli, this study develops novel engineered macrophage‐based materials: phytate/Zn</w:t>
      </w:r>
      <w:r>
        <w:rPr>
          <w:vertAlign w:val="subscript"/>
        </w:rPr>
        <w:t>2</w:t>
      </w:r>
      <w:r>
        <w:t>+</w:t>
      </w:r>
      <w:r>
        <w:t xml:space="preserve"> </w:t>
      </w:r>
      <w:r>
        <w:t>‐loaded gelated macrophages (PZ‐GMs). These materials are fabricated at room temperature by polymerizing polycationic hydrogels and loading phytate/Zn</w:t>
      </w:r>
      <w:r>
        <w:rPr>
          <w:vertAlign w:val="subscript"/>
        </w:rPr>
        <w:t>2</w:t>
      </w:r>
      <w:r>
        <w:t>+</w:t>
      </w:r>
      <w:r>
        <w:t xml:space="preserve"> </w:t>
      </w:r>
      <w:r>
        <w:t>into live macrophages, innovatively integrating the natural immune neutralization function of intact macrophage membranes with the bioactivity of intracellular hydrogels. PZ‐GMs are found to eradicate &amp;gt;99.99% of pathogens, remove &amp;gt;90% of bacterial toxins, and eliminate &amp;gt;80% of related inflammatory factors, while simultaneously promoting bone repair through in situ mineralization and osteoinduction. They can be further incorporated into a hydrogel designed for acid‐triggered release, ensuring targeted delivery to inflamed sites. In a murine periodontitis model, PZ‐GMs facilitate periodontal regeneration via a dual mechanism: transforming the pathological microenvironment induced by bacteria and toxins and fostering the remodeling of an osteogenic microenvironment. Furthermore, oral microbiome homeostasis is restored. Collectively, PZ‐GMs represent a promising all‐in‐one neutralization–eradication–osteopromotion material for highly efficient periodontitis therapy.</w:t>
      </w:r>
    </w:p>
    <w:p>
      <w:pPr>
        <w:spacing w:before="120" w:after="120"/>
      </w:pPr>
      <w:r>
        <w:rPr>
          <w:sz w:val="18"/>
        </w:rPr>
        <w:t>——————————————————————————————————————————————————————————————————————</w:t>
      </w:r>
    </w:p>
    <w:p>
      <w:pPr>
        <w:spacing w:before="160" w:after="40" w:line="240" w:lineRule="auto"/>
      </w:pPr>
      <w:r>
        <w:rPr>
          <w:b/>
        </w:rPr>
        <w:t xml:space="preserve">[231] </w:t>
      </w:r>
      <w:hyperlink r:id="rId703">
        <w:r>
          <w:rPr>
            <w:color w:val="1155CC"/>
            <w:u w:val="single"/>
          </w:rPr>
          <w:t>通过聚集门控 I 型光敏剂进行肿瘤激活光动力治疗的纳米隔离策略</w:t>
        </w:r>
      </w:hyperlink>
    </w:p>
    <w:p>
      <w:pPr>
        <w:spacing w:before="0" w:after="80"/>
      </w:pPr>
      <w:r>
        <w:rPr>
          <w:i/>
          <w:sz w:val="20"/>
        </w:rPr>
        <w:t>EN: A Nano‐Isolation Strategy for Tumor‐Activatable Photodynamic Therapy via Aggregation‐Gated Type I Photosensitizers</w:t>
      </w:r>
    </w:p>
    <w:p>
      <w:pPr>
        <w:spacing w:before="0" w:after="120"/>
      </w:pPr>
      <w:r>
        <w:rPr>
          <w:b/>
        </w:rPr>
        <w:t xml:space="preserve">Source: </w:t>
      </w:r>
      <w:r>
        <w:t>Wiley: Advanced Materials: Table of Contents</w:t>
      </w:r>
      <w:r>
        <w:t xml:space="preserve">    </w:t>
      </w:r>
      <w:r>
        <w:rPr>
          <w:b/>
        </w:rPr>
        <w:t xml:space="preserve">Pub date: </w:t>
      </w:r>
      <w:r>
        <w:t>2026-06-23 16:49:02+00:00</w:t>
      </w:r>
      <w:r>
        <w:t xml:space="preserve">    </w:t>
      </w:r>
      <w:r>
        <w:rPr>
          <w:b/>
        </w:rPr>
        <w:t xml:space="preserve">DOI: </w:t>
      </w:r>
      <w:hyperlink r:id="rId704">
        <w:r>
          <w:rPr>
            <w:color w:val="1155CC"/>
            <w:u w:val="single"/>
          </w:rPr>
          <w:t>10.1002/adma.73771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动力疗法（PDT）受到高氧依赖性和脱靶光毒性的阻碍，而现有的肿瘤激活策略受到激活后聚集诱导的活性氧（ROS）猝灭的严重困扰。我们通过开创一种智能“纳米隔离”策略来解决这些挑战，该策略与具有聚集门控ROS生成功能的聚集蛋白诱导发射（AIE）-半花青（Hcy）光敏剂协同作用。将推进型AIE基序引入平面Hcy衍生物中，构建扭曲的供体-π-受体光敏剂，其中构象扭曲最大的MTPAON表现出最好的AIE效果和最高的ROS生成量，主要产生较少的氧依赖性I型ROS。至关重要的是，MTPAON 的 ROS 生成受到聚集程度的控制，只有紧密堆积的聚集体才能激活 ROS 生成。利用这一点，我们开创了一种“纳米隔离”策略，将 MTPAON 以高聚合物比例（SSPEG-7 NP）封装在谷胱甘肽（GSH）响应纳米颗粒中。这种纳米隔离首先抑制 MTPAON 的紧密聚集并抑制 ROS 的产生。当遇到肿瘤过度表达的 GSH 时，SSPEG-7 NP 会分解并释放 MTPAON，在肿瘤细胞中形成 I 型 ROS 聚集体。因此，SSPEG-7 NPs 在低剂量激光照射下表现出良好的抗肿瘤性能，同时对正常组织的脱靶光毒性可以忽略不计。这种“纳米隔离”策略建立了精准 PDT 的新范例：利用刺激触发</w:t>
      </w:r>
    </w:p>
    <w:p>
      <w:pPr>
        <w:spacing w:before="0" w:after="200" w:lineRule="auto" w:line="276"/>
      </w:pPr>
      <w:r>
        <w:rPr>
          <w:b/>
        </w:rPr>
        <w:t xml:space="preserve">Abstract (EN): </w:t>
      </w:r>
      <w:r>
        <w:t>Photodynamic therapy (PDT) is hampered by high oxygen dependence and off‐target phototoxicity, and existing tumor‐activatable strategies are severely plagued by the aggregation‐induced reactive oxygen species (ROS) quenching post‐activation. We herein resolve these challenges through pioneering a smart “nano‐isolation” strategy, synergized with aggregatin‐induced emission (AIE)‐hemicyanine (Hcy) photosensitizers with an aggregation‐gated ROS generation feature. Propelled‐type AIE motifs were introduced to planar Hcy derivatives to construct twisted donor‐π‐acceptor photosensitizers, among which MTPAON with the largest conformational twist exhibited the best AIE effect and the highest ROS generation, predominantly generating less oxygen‐dependent type I ROS. Crucially, MTPAON's ROS generation is gated by aggregation degree, where only tightly packed aggregates activate ROS generation. Leveraging this, we pioneered a “nano‐isolation” strategy by encapsulating MTPAON in glutathione (GSH)‐responsive nanoparticles at a high polymer ratio (SSPEG‐7 NPs). This nano‐isolation initially suppresses MTPAON's tight aggregation and silences ROS generation. Upon encountering tumor‐overexpressed GSH, SSPEG‐7 NPs disassemble and release MTPAON to form type I ROS‐competent aggregates in tumor cells. SSPEG‐7 NPs thus demonstrated promising antitumor performance under low‐dose laser irradiation, while exhibiting negligible off‐target phototoxicity to normal tissues. This “nano‐isolation” strategy establishes a new paradigm for precision PDT: leveraging stimulus‐triggered aggregation to spatially control PDT activation, thereby reconciling the conflict between systemic safety and therapeutic potency.</w:t>
      </w:r>
    </w:p>
    <w:p>
      <w:pPr>
        <w:spacing w:before="120" w:after="120"/>
      </w:pPr>
      <w:r>
        <w:rPr>
          <w:sz w:val="18"/>
        </w:rPr>
        <w:t>——————————————————————————————————————————————————————————————————————</w:t>
      </w:r>
    </w:p>
    <w:p>
      <w:pPr>
        <w:spacing w:before="160" w:after="40" w:line="240" w:lineRule="auto"/>
      </w:pPr>
      <w:r>
        <w:rPr>
          <w:b/>
        </w:rPr>
        <w:t xml:space="preserve">[232] </w:t>
      </w:r>
      <w:hyperlink r:id="rId705">
        <w:r>
          <w:rPr>
            <w:color w:val="1155CC"/>
            <w:u w:val="single"/>
          </w:rPr>
          <w:t>热响应活性微球体实现了用于 DNA 数据存储的再生活性磁盘驱动系统</w:t>
        </w:r>
      </w:hyperlink>
    </w:p>
    <w:p>
      <w:pPr>
        <w:spacing w:before="0" w:after="80"/>
      </w:pPr>
      <w:r>
        <w:rPr>
          <w:i/>
          <w:sz w:val="20"/>
        </w:rPr>
        <w:t>EN: Thermo‐Responsive Living Microspheroids Enable a Regenerative Living Disk–Drive System for DNA Data Storage</w:t>
      </w:r>
    </w:p>
    <w:p>
      <w:pPr>
        <w:spacing w:before="0" w:after="120"/>
      </w:pPr>
      <w:r>
        <w:rPr>
          <w:b/>
        </w:rPr>
        <w:t xml:space="preserve">Source: </w:t>
      </w:r>
      <w:r>
        <w:t>Wiley: Advanced Materials: Table of Contents</w:t>
      </w:r>
      <w:r>
        <w:t xml:space="preserve">    </w:t>
      </w:r>
      <w:r>
        <w:rPr>
          <w:b/>
        </w:rPr>
        <w:t xml:space="preserve">Pub date: </w:t>
      </w:r>
      <w:r>
        <w:t>2026-06-23 16:49:47+00:00</w:t>
      </w:r>
      <w:r>
        <w:t xml:space="preserve">    </w:t>
      </w:r>
      <w:r>
        <w:rPr>
          <w:b/>
        </w:rPr>
        <w:t xml:space="preserve">DOI: </w:t>
      </w:r>
      <w:hyperlink r:id="rId706">
        <w:r>
          <w:rPr>
            <w:color w:val="1155CC"/>
            <w:u w:val="single"/>
          </w:rPr>
          <w:t>10.1002/adma.73806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DNA 提供了卓越的信息密度和长期稳定性，但其实际部署受到破坏性读出以及缺乏将纳米级分子信息与宏观设备级数据组织连接起来的可重用、物理可寻址架构的限制。在这里，我们提出了一种基于热响应工程活体记忆微球体（ELMM）的再生活体磁盘驱动器系统，其中数据编码细菌被封装为离散的文件级活体存储单元。每个 ELMM 包含一个克隆细菌群体，其中携带信息质粒（编码 26 × 26 像素图标有效负载和一到三色细胞内荧光检索索引）和帮助质粒（支持 CRISPR–Cas12a/λ-Red 重写数据序列和检索标签）。冻干 ELMM 数据库形成 Living Disk，它与光学检索器和桌面级 Living Drive 耦合，用于闭环检索、再生和数据库补充。释放的细菌重新生长以供下游读出或重写，同时一小部分被重新封装到新的 ELMM 中。经过四个月的环境干燥储存和 13 次冻干-再水化循环后，测试的系统保留了检索、再生和序列恢复能力。基于模型的性能估计仅作为理论架构级别的界限进行报告。这些结果建立了一个实验上有限但可扩展的架构，用于物理上可管理和再生的 DNA 记忆。</w:t>
      </w:r>
    </w:p>
    <w:p>
      <w:pPr>
        <w:spacing w:before="0" w:after="200" w:lineRule="auto" w:line="276"/>
      </w:pPr>
      <w:r>
        <w:rPr>
          <w:b/>
        </w:rPr>
        <w:t xml:space="preserve">Abstract (EN): </w:t>
      </w:r>
      <w:r>
        <w:t>DNA offers exceptional information density and long‐term stability, yet its practical deployment is limited by destructive readout and the absence of a reusable, physically addressable architecture that connects nanoscale molecular information with macroscale device‐level data organization. Here, we present a regenerative Living Disk–Drive system based on thermo‐responsive engineered living memory microspheroids (ELMMs), in which data‐encoded bacteria are encapsulated as discrete, file‐level living storage units. Each ELMM contains a clonal bacterial population carrying both an information plasmid, which encodes 26 × 26 pixel icon payloads and one‐ to three‐color intracellular fluorescent retrieval indices, and a help plasmid that enables CRISPR–Cas12a/λ‐Red rewriting of the data sequence and retrieval tag. A lyophilized ELMM database forms the Living Disk, which is coupled to an Optical Retriever and desktop‐scale Living Drive for closed‐loop retrieval, regeneration, and database replenishment. Released bacteria regrow for downstream readout or rewriting, while a fraction is re‐encapsulated into new ELMMs. The tested system retains retrieval, regrowth, and sequence recovery after four months of ambient dry storage and 13 lyophilization–rehydration cycles. Model‐based performance estimates are reported only as theoretical architecture‐level bounds. These results establish an experimentally bounded yet extensible architecture for physically manageable and regenerative DNA memory.</w:t>
      </w:r>
    </w:p>
    <w:p>
      <w:pPr>
        <w:spacing w:before="120" w:after="120"/>
      </w:pPr>
      <w:r>
        <w:rPr>
          <w:sz w:val="18"/>
        </w:rPr>
        <w:t>——————————————————————————————————————————————————————————————————————</w:t>
      </w:r>
    </w:p>
    <w:p>
      <w:pPr>
        <w:spacing w:before="160" w:after="40" w:line="240" w:lineRule="auto"/>
      </w:pPr>
      <w:r>
        <w:rPr>
          <w:b/>
        </w:rPr>
        <w:t xml:space="preserve">[233] </w:t>
      </w:r>
      <w:hyperlink r:id="rId707">
        <w:r>
          <w:rPr>
            <w:color w:val="1155CC"/>
            <w:u w:val="single"/>
          </w:rPr>
          <w:t>通过蓝相液晶弹性体单轴压缩的低温视觉机械传感</w:t>
        </w:r>
      </w:hyperlink>
    </w:p>
    <w:p>
      <w:pPr>
        <w:spacing w:before="0" w:after="80"/>
      </w:pPr>
      <w:r>
        <w:rPr>
          <w:i/>
          <w:sz w:val="20"/>
        </w:rPr>
        <w:t>EN: Low‐Temperature Visual Mechanical Sensing via Uniaxial Compression of Blue Phase Liquid Crystal Elastomer</w:t>
      </w:r>
    </w:p>
    <w:p>
      <w:pPr>
        <w:spacing w:before="0" w:after="120"/>
      </w:pPr>
      <w:r>
        <w:rPr>
          <w:b/>
        </w:rPr>
        <w:t xml:space="preserve">Source: </w:t>
      </w:r>
      <w:r>
        <w:t>Wiley: Advanced Materials: Table of Contents</w:t>
      </w:r>
      <w:r>
        <w:t xml:space="preserve">    </w:t>
      </w:r>
      <w:r>
        <w:rPr>
          <w:b/>
        </w:rPr>
        <w:t xml:space="preserve">Pub date: </w:t>
      </w:r>
      <w:r>
        <w:t>2026-06-23 16:56:42+00:00</w:t>
      </w:r>
      <w:r>
        <w:t xml:space="preserve">    </w:t>
      </w:r>
      <w:r>
        <w:rPr>
          <w:b/>
        </w:rPr>
        <w:t xml:space="preserve">DOI: </w:t>
      </w:r>
      <w:hyperlink r:id="rId708">
        <w:r>
          <w:rPr>
            <w:color w:val="1155CC"/>
            <w:u w:val="single"/>
          </w:rPr>
          <w:t>10.1002/adma.73781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温视觉机械传感材料在低温制造、极地勘探等领域具有广阔的应用前景。蓝相液晶（BPLC）因其优异的光学性能和独特的手性螺旋结构而成为低温视觉传感材料的有前途的候选材料。然而，由于低温柔性薄膜的制造困难以及对其热-光-机械-结构关系的理解不足，低温（&lt;0°C）视觉机械传感BPLC仍然面临挑战。在此，通过“全链延伸然后冷却辅助组装”策略制造了高质量的BPLC弹性体（BPLCE），并且基于聚合物交联网络（机械响应性）和BPLC结构（光学信号）的协同效应，它在-30至60°C范围内表现出视觉机械传感能力。所制备的 BPLCE 出现了高灵敏度（20°C∼60°C）和低灵敏度（−30°C∼20°C）的机械致变色机制，这些机制源自冷却时未聚合液晶的应力诱导相变，这通过光谱演变的温度依赖性剧烈变化、等效阻带位移的应力、恢复时间等得到了验证。此外，BPLCE 在压缩下经历了明显的手性光学转变。展示了偏振识别、临界压力警报和原位低温全场应力监测等潜在应用，这可能为先进的视觉机械传感器铺平道路</w:t>
      </w:r>
    </w:p>
    <w:p>
      <w:pPr>
        <w:spacing w:before="0" w:after="200" w:lineRule="auto" w:line="276"/>
      </w:pPr>
      <w:r>
        <w:rPr>
          <w:b/>
        </w:rPr>
        <w:t xml:space="preserve">Abstract (EN): </w:t>
      </w:r>
      <w:r>
        <w:t>Low‐temperature visual mechanical sensing materials hold great promise for applications in cryogenic manufacturing, polar exploration, etc. Blue phase liquid crystals (BPLCs) are a promising candidate for low‐temperature visual sensing materials based on their excellent optical properties and unique chiral helical structure. However, there remain challenges for low‐temperature (&amp;lt;0°C) visual mechanical sensing BPLCs due to difficulties in fabrication of low‐temperature flexible films and inadequate understanding of their thermal–optical–mechanical–structural relationships. Herein, a high‐quality BPLC elastomer (BPLCE) is fabricated via “full chain extension followed by cooling‐assisted assembly” strategy, and it exhibits visual mechanical sensing capabilities across −30 to 60°C based on the synergistic effect of the polymer cross‐linked network (mechanical responsiveness) and BPLC structure (optical signal). There appear high‐ (20°C∼60°C) and low‐sensitivity (−30°C∼20°C) mechanochromic regimes for the as‐prepared BPLCE originating from stress‐induced phase transition of unpolymerized liquid crystals upon cooling, which is validated by temperature‐dependent dramatic change in spectra evolution, stress for equivalent stopband shift, recovery time, etc. Additionally, BPLCE undergoes distinct chiral optical transitions under compression. Potential applications including polarization recognition, critical pressure alert, and in situ low‐temperature full‐field stress monitoring are demonstrated, which may pave a way for advanced visual mechanical sensing in cryogenic engineering.</w:t>
      </w:r>
    </w:p>
    <w:p>
      <w:pPr>
        <w:spacing w:before="120" w:after="120"/>
      </w:pPr>
      <w:r>
        <w:rPr>
          <w:sz w:val="18"/>
        </w:rPr>
        <w:t>——————————————————————————————————————————————————————————————————————</w:t>
      </w:r>
    </w:p>
    <w:p>
      <w:pPr>
        <w:spacing w:before="160" w:after="40" w:line="240" w:lineRule="auto"/>
      </w:pPr>
      <w:r>
        <w:rPr>
          <w:b/>
        </w:rPr>
        <w:t xml:space="preserve">[234] </w:t>
      </w:r>
      <w:hyperlink r:id="rId709">
        <w:r>
          <w:rPr>
            <w:color w:val="1155CC"/>
            <w:u w:val="single"/>
          </w:rPr>
          <w:t>使用软隐形眼镜传感器进行夜间眼压监测，用于青光眼治疗</w:t>
        </w:r>
      </w:hyperlink>
    </w:p>
    <w:p>
      <w:pPr>
        <w:spacing w:before="0" w:after="80"/>
      </w:pPr>
      <w:r>
        <w:rPr>
          <w:i/>
          <w:sz w:val="20"/>
        </w:rPr>
        <w:t>EN: Nocturnal Intraocular Pressure Monitoring With a Soft Contact Lens Sensor for Glaucoma Management</w:t>
      </w:r>
    </w:p>
    <w:p>
      <w:pPr>
        <w:spacing w:before="0" w:after="120"/>
      </w:pPr>
      <w:r>
        <w:rPr>
          <w:b/>
        </w:rPr>
        <w:t xml:space="preserve">Source: </w:t>
      </w:r>
      <w:r>
        <w:t>Wiley: Advanced Materials: Table of Contents</w:t>
      </w:r>
      <w:r>
        <w:t xml:space="preserve">    </w:t>
      </w:r>
      <w:r>
        <w:rPr>
          <w:b/>
        </w:rPr>
        <w:t xml:space="preserve">Pub date: </w:t>
      </w:r>
      <w:r>
        <w:t>2026-06-23 17:03:35+00:00</w:t>
      </w:r>
      <w:r>
        <w:t xml:space="preserve">    </w:t>
      </w:r>
      <w:r>
        <w:rPr>
          <w:b/>
        </w:rPr>
        <w:t xml:space="preserve">DOI: </w:t>
      </w:r>
      <w:hyperlink r:id="rId710">
        <w:r>
          <w:rPr>
            <w:color w:val="1155CC"/>
            <w:u w:val="single"/>
          </w:rPr>
          <w:t>10.1002/adma.73813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夜间眼内压 (IOP) 的测量对于青光眼治疗至关重要，但睡眠期间的卧式眼内压波动在诊所外基本上尚未测量。尽管现有的眼戴式可穿戴传感器能够实现无创眼压监测，但灵敏度、闭眼性能和夜间佩戴性方面的限制限制了对睡眠条件下夜间眼压变化的准确评估。在这里，我们推出了一种软隐形眼镜传感器，专为在家庭环境中连续监测夜间眼压而设计。该传感器将基于顺应性导体的电感电容电路直接集成到商用软性隐形眼镜上，从而实现与眼睛的紧密贴合。该设计实现了迄今为止可穿戴软隐形眼镜传感器中最高的 IOP 灵敏度，比我们早期的设计有了重大改进。因此，该传感器在仰卧、闭眼睡眠条件下可提供稳定、准确的 IOP 测量。对兔子和狗的动物研究以及对健康和青光眼眼睛的试点人体测量支持了初步的眼部耐受性和可行的传感器性能，从而能够在测试条件下进行姿势依赖性眼压跟踪和睡眠相关压力升高的检测。这些结果解决了早期隐形眼镜传感器的主要局限性，并支持夜间眼压动态的家庭监测。</w:t>
      </w:r>
    </w:p>
    <w:p>
      <w:pPr>
        <w:spacing w:before="0" w:after="200" w:lineRule="auto" w:line="276"/>
      </w:pPr>
      <w:r>
        <w:rPr>
          <w:b/>
        </w:rPr>
        <w:t xml:space="preserve">Abstract (EN): </w:t>
      </w:r>
      <w:r>
        <w:t>Measurement of nocturnal intraocular pressure (IOP) is essential for glaucoma management, yet recumbent IOP fluctuations during sleep remain largely unmeasured outside the clinic. Although existing eye‐worn wearable sensors enable noninvasive IOP monitoring, limitations in sensitivity, closed‐eye performance, and overnight wearability restrict accurate assessment of nocturnal IOP changes under sleep conditions. Here, we present a soft contact lens sensor designed for continuous monitoring of nocturnal IOP in a home setting. The sensor integrates a compliant conductor–based inductive–capacitive circuit directly onto a commercial soft contact lens, enabling close conformity to the eye. This design achieves the highest IOP sensitivity reported to date among wearable soft contact lens sensors, representing a substantial improvement over our earlier designs. As a result, the sensor provides stable and accurate IOP measurements under recumbent, closed‐eye sleep conditions. Animal studies in rabbits and dogs and pilot human measurements in healthy and glaucomatous eyes support preliminary ocular tolerability and feasible sensor performance, enabling posture‐dependent IOP tracking and detection of sleep‐relevant pressure elevations under the tested conditions. These results address key limitations of earlier contact lens sensors and support at‐home monitoring of nocturnal IOP dynamics.</w:t>
      </w:r>
    </w:p>
    <w:p>
      <w:pPr>
        <w:spacing w:before="120" w:after="120"/>
      </w:pPr>
      <w:r>
        <w:rPr>
          <w:sz w:val="18"/>
        </w:rPr>
        <w:t>——————————————————————————————————————————————————————————————————————</w:t>
      </w:r>
    </w:p>
    <w:p>
      <w:pPr>
        <w:spacing w:before="160" w:after="40" w:line="240" w:lineRule="auto"/>
      </w:pPr>
      <w:r>
        <w:rPr>
          <w:b/>
        </w:rPr>
        <w:t xml:space="preserve">[235] </w:t>
      </w:r>
      <w:hyperlink r:id="rId711">
        <w:r>
          <w:rPr>
            <w:color w:val="1155CC"/>
            <w:u w:val="single"/>
          </w:rPr>
          <w:t>涉及烯烃部分的选择性碳-碳键断裂</w:t>
        </w:r>
      </w:hyperlink>
    </w:p>
    <w:p>
      <w:pPr>
        <w:spacing w:before="0" w:after="80"/>
      </w:pPr>
      <w:r>
        <w:rPr>
          <w:i/>
          <w:sz w:val="20"/>
        </w:rPr>
        <w:t>EN: Selective carbon–carbon bond cleavage involving alkene moieties</w:t>
      </w:r>
    </w:p>
    <w:p>
      <w:pPr>
        <w:spacing w:before="0" w:after="120"/>
      </w:pPr>
      <w:r>
        <w:rPr>
          <w:b/>
        </w:rPr>
        <w:t xml:space="preserve">Source: </w:t>
      </w:r>
      <w:r>
        <w:t>RSC - Chem. Soc. Rev. latest articles</w:t>
      </w:r>
      <w:r>
        <w:t xml:space="preserve">    </w:t>
      </w:r>
      <w:r>
        <w:rPr>
          <w:b/>
        </w:rPr>
        <w:t xml:space="preserve">Pub date: </w:t>
      </w:r>
      <w:r>
        <w:t>2026-06-23 23:00:00+00:00</w:t>
      </w:r>
    </w:p>
    <w:p>
      <w:pPr>
        <w:spacing w:before="0" w:after="120"/>
      </w:pPr>
      <w:r>
        <w:rPr>
          <w:b/>
        </w:rPr>
        <w:t xml:space="preserve">Notes: </w:t>
      </w:r>
      <w:r>
        <w:t>abstract_source=rsc_html</w:t>
      </w:r>
    </w:p>
    <w:p>
      <w:pPr>
        <w:spacing w:before="0" w:after="80" w:lineRule="auto" w:line="276"/>
      </w:pPr>
      <w:r>
        <w:rPr>
          <w:b/>
        </w:rPr>
        <w:t xml:space="preserve">摘要（ZH）: </w:t>
      </w:r>
      <w:r>
        <w:t>碳-碳（C-C）键的选择性裂解已成为分子解构和骨架编辑的强大工具。然而，C-C 键的固有强度和低极性使其选择性断裂成为一项艰巨的挑战。烯烃是化学工业和合成界中一些最重要的化学品。烯烃的选择性解构官能化以产生密集官能化的分子支架非常有吸引力但具有挑战性。本综述重点关注烯烃 C-C 键功能化的发展。虽然传统方法主要涉及双键本身的裂解，但最近的进展开辟了两条不同且互补的途径：（1）选择性裂解与双键相邻的稳健σ键，包括C（乙烯基）-C和烯丙基C-C键，同时保留有价值的烯烃部分；（2）通过单原子（氮或碳）插入等新颖过程，超越传统的复分解，实现双键的转化裂解和重建。这篇综述全面总结了这些突破性的进展，强调了扩展复杂分子合成和编辑工具箱的机械原理和合成应用。</w:t>
      </w:r>
    </w:p>
    <w:p>
      <w:pPr>
        <w:spacing w:before="0" w:after="200" w:lineRule="auto" w:line="276"/>
      </w:pPr>
      <w:r>
        <w:rPr>
          <w:b/>
        </w:rPr>
        <w:t xml:space="preserve">Abstract (EN): </w:t>
      </w:r>
      <w:r>
        <w:t>The selective cleavage of carbon–carbon (C–C) bonds has emerged as a powerful tool for molecular deconstruction and skeletal editing. However, the inherent strength and low polarity of C–C bonds render their selective scission a formidable challenge. Alkenes are some of the most important chemicals in the chemical industry and synthetic community. Selective deconstructive functionalization of alkenes to produce densely functionalized molecular scaffolds is highly attractive but challenging. This review focuses on the development of C–C bond functionalization of olefins. While traditional approaches have predominantly involved cleavage of the double bond itself, recent advances have opened two distinct and complementary pathways: (1) the selective cleavage of robust σ-bonds adjacent to the double bond, including C(vinyl)–C and allylic C–C linkages, while preserving the valuable alkene moiety and (2) the transformative cleavage and reconstruction of the double bond through novel processes such as single-atom (nitrogen or carbon) insertion, moving beyond conventional metathesis. This review comprehensively summarizes these groundbreaking developments, highlighting the mechanistic principles and synthetic applications that are expanding the toolbox for complex molecule synthesis and editing.</w:t>
      </w:r>
    </w:p>
    <w:p>
      <w:pPr>
        <w:spacing w:before="120" w:after="120"/>
      </w:pPr>
      <w:r>
        <w:rPr>
          <w:sz w:val="18"/>
        </w:rPr>
        <w:t>——————————————————————————————————————————————————————————————————————</w:t>
      </w:r>
    </w:p>
    <w:p>
      <w:pPr>
        <w:spacing w:before="160" w:after="40" w:line="240" w:lineRule="auto"/>
      </w:pPr>
      <w:r>
        <w:rPr>
          <w:b/>
        </w:rPr>
        <w:t xml:space="preserve">[236] </w:t>
      </w:r>
      <w:hyperlink r:id="rId712">
        <w:r>
          <w:rPr>
            <w:color w:val="1155CC"/>
            <w:u w:val="single"/>
          </w:rPr>
          <w:t>全球海草生态系统地图</w:t>
        </w:r>
      </w:hyperlink>
    </w:p>
    <w:p>
      <w:pPr>
        <w:spacing w:before="0" w:after="80"/>
      </w:pPr>
      <w:r>
        <w:rPr>
          <w:i/>
          <w:sz w:val="20"/>
        </w:rPr>
        <w:t>EN: A global map of seagrass ecosystems</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13">
        <w:r>
          <w:rPr>
            <w:color w:val="1155CC"/>
            <w:u w:val="single"/>
          </w:rPr>
          <w:t>10.1038/d41586-026-01805-0</w:t>
        </w:r>
      </w:hyperlink>
    </w:p>
    <w:p>
      <w:pPr>
        <w:spacing w:before="0" w:after="120"/>
      </w:pPr>
      <w:r>
        <w:rPr>
          <w:b/>
        </w:rPr>
        <w:t xml:space="preserve">Notes: </w:t>
      </w:r>
      <w:r>
        <w:t>abstract_source=nature_html</w:t>
      </w:r>
    </w:p>
    <w:p>
      <w:pPr>
        <w:spacing w:before="0" w:after="80" w:lineRule="auto" w:line="276"/>
      </w:pPr>
      <w:r>
        <w:rPr>
          <w:b/>
        </w:rPr>
        <w:t xml:space="preserve">摘要（ZH）: </w:t>
      </w:r>
      <w:r>
        <w:t>结合卫星图像和机器学习，创建了第一张全面的海草草地地图，以促进这些重要生态系统的保护。结合卫星图像和机器学习，创建了第一张全面的海草草地地图，以促进这些重要生态系统的保护。</w:t>
      </w:r>
    </w:p>
    <w:p>
      <w:pPr>
        <w:spacing w:before="0" w:after="200" w:lineRule="auto" w:line="276"/>
      </w:pPr>
      <w:r>
        <w:rPr>
          <w:b/>
        </w:rPr>
        <w:t xml:space="preserve">Abstract (EN): </w:t>
      </w:r>
      <w:r>
        <w:t>Combining satellite imagery and machine learning has created the first comprehensive map of seagrass meadows, in a boost for the conservation of these crucial ecosystems. Combining satellite imagery and machine learning has created the first comprehensive map of seagrass meadows, in a boost for the conservation of these crucial ecosystems.</w:t>
      </w:r>
    </w:p>
    <w:p>
      <w:pPr>
        <w:spacing w:before="120" w:after="120"/>
      </w:pPr>
      <w:r>
        <w:rPr>
          <w:sz w:val="18"/>
        </w:rPr>
        <w:t>——————————————————————————————————————————————————————————————————————</w:t>
      </w:r>
    </w:p>
    <w:p>
      <w:pPr>
        <w:spacing w:before="160" w:after="40" w:line="240" w:lineRule="auto"/>
      </w:pPr>
      <w:r>
        <w:rPr>
          <w:b/>
        </w:rPr>
        <w:t xml:space="preserve">[237] </w:t>
      </w:r>
      <w:hyperlink r:id="rId714">
        <w:r>
          <w:rPr>
            <w:color w:val="1155CC"/>
            <w:u w:val="single"/>
          </w:rPr>
          <w:t>基因“巨簇”使细菌能够制造有效的抗生素混合物</w:t>
        </w:r>
      </w:hyperlink>
    </w:p>
    <w:p>
      <w:pPr>
        <w:spacing w:before="0" w:after="80"/>
      </w:pPr>
      <w:r>
        <w:rPr>
          <w:i/>
          <w:sz w:val="20"/>
        </w:rPr>
        <w:t>EN: ‘Megacluster’ of genes enables bacteria to make potent antibiotic mixture</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15">
        <w:r>
          <w:rPr>
            <w:color w:val="1155CC"/>
            <w:u w:val="single"/>
          </w:rPr>
          <w:t>10.1038/d41586-026-01804-1</w:t>
        </w:r>
      </w:hyperlink>
    </w:p>
    <w:p>
      <w:pPr>
        <w:spacing w:before="0" w:after="120"/>
      </w:pPr>
      <w:r>
        <w:rPr>
          <w:b/>
        </w:rPr>
        <w:t xml:space="preserve">Notes: </w:t>
      </w:r>
      <w:r>
        <w:t>abstract_source=nature_html</w:t>
      </w:r>
    </w:p>
    <w:p>
      <w:pPr>
        <w:spacing w:before="0" w:after="80" w:lineRule="auto" w:line="276"/>
      </w:pPr>
      <w:r>
        <w:rPr>
          <w:b/>
        </w:rPr>
        <w:t xml:space="preserve">摘要（ZH）: </w:t>
      </w:r>
      <w:r>
        <w:t>土壤细菌产生的分子混合物可以协同抑制微生物病原体的生长——这提出了一种应对抗生素耐药性感染的策略。土壤细菌产生的分子混合物可以协同抑制微生物病原体的生长——这提出了一种应对抗生素耐药性感染的策略。</w:t>
      </w:r>
    </w:p>
    <w:p>
      <w:pPr>
        <w:spacing w:before="0" w:after="200" w:lineRule="auto" w:line="276"/>
      </w:pPr>
      <w:r>
        <w:rPr>
          <w:b/>
        </w:rPr>
        <w:t xml:space="preserve">Abstract (EN): </w:t>
      </w:r>
      <w:r>
        <w:t>Soil bacteria make cocktails of molecules that synergistically inhibit the growth of microbial pathogens — suggesting a strategy for tackling antibiotic-resistant infections. Soil bacteria make cocktails of molecules that synergistically inhibit the growth of microbial pathogens — suggesting a strategy for tackling antibiotic-resistant infections.</w:t>
      </w:r>
    </w:p>
    <w:p>
      <w:pPr>
        <w:spacing w:before="120" w:after="120"/>
      </w:pPr>
      <w:r>
        <w:rPr>
          <w:sz w:val="18"/>
        </w:rPr>
        <w:t>——————————————————————————————————————————————————————————————————————</w:t>
      </w:r>
    </w:p>
    <w:p>
      <w:pPr>
        <w:spacing w:before="160" w:after="40" w:line="240" w:lineRule="auto"/>
      </w:pPr>
      <w:r>
        <w:rPr>
          <w:b/>
        </w:rPr>
        <w:t xml:space="preserve">[238] </w:t>
      </w:r>
      <w:hyperlink r:id="rId716">
        <w:r>
          <w:rPr>
            <w:color w:val="1155CC"/>
            <w:u w:val="single"/>
          </w:rPr>
          <w:t>将光纤从无源发射器转变为多模态传感平台</w:t>
        </w:r>
      </w:hyperlink>
    </w:p>
    <w:p>
      <w:pPr>
        <w:spacing w:before="0" w:after="80"/>
      </w:pPr>
      <w:r>
        <w:rPr>
          <w:i/>
          <w:sz w:val="20"/>
        </w:rPr>
        <w:t>EN: Transforming optical fibers from passive transmitters to multimodal sensory platforms</w:t>
      </w:r>
    </w:p>
    <w:p>
      <w:pPr>
        <w:spacing w:before="0" w:after="120"/>
      </w:pPr>
      <w:r>
        <w:rPr>
          <w:b/>
        </w:rPr>
        <w:t xml:space="preserve">Source: </w:t>
      </w:r>
      <w:r>
        <w:t>National Science Review Advance Access</w:t>
      </w:r>
      <w:r>
        <w:t xml:space="preserve">    </w:t>
      </w:r>
      <w:r>
        <w:rPr>
          <w:b/>
        </w:rPr>
        <w:t xml:space="preserve">Pub date: </w:t>
      </w:r>
      <w:r>
        <w:t>2026-06-24 00:00:00+00:00</w:t>
      </w:r>
      <w:r>
        <w:t xml:space="preserve">    </w:t>
      </w:r>
      <w:r>
        <w:rPr>
          <w:b/>
        </w:rPr>
        <w:t xml:space="preserve">DOI: </w:t>
      </w:r>
      <w:hyperlink r:id="rId717">
        <w:r>
          <w:rPr>
            <w:color w:val="1155CC"/>
            <w:u w:val="single"/>
          </w:rPr>
          <w:t>10.1093/nsr/nwag386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[239] </w:t>
      </w:r>
      <w:hyperlink r:id="rId718">
        <w:r>
          <w:rPr>
            <w:color w:val="1155CC"/>
            <w:u w:val="single"/>
          </w:rPr>
          <w:t>具有邻-B-π-B图案的四硼MR框架可实现高效黄色窄带OLED</w:t>
        </w:r>
      </w:hyperlink>
    </w:p>
    <w:p>
      <w:pPr>
        <w:spacing w:before="0" w:after="80"/>
      </w:pPr>
      <w:r>
        <w:rPr>
          <w:i/>
          <w:sz w:val="20"/>
        </w:rPr>
        <w:t>EN: Tetraboron MR framework with ortho-B-π-B pattern enables high-efficiency yellow narrowband OLEDs</w:t>
      </w:r>
    </w:p>
    <w:p>
      <w:pPr>
        <w:spacing w:before="0" w:after="120"/>
      </w:pPr>
      <w:r>
        <w:rPr>
          <w:b/>
        </w:rPr>
        <w:t xml:space="preserve">Source: </w:t>
      </w:r>
      <w:r>
        <w:t>National Science Review Advance Access</w:t>
      </w:r>
      <w:r>
        <w:t xml:space="preserve">    </w:t>
      </w:r>
      <w:r>
        <w:rPr>
          <w:b/>
        </w:rPr>
        <w:t xml:space="preserve">Pub date: </w:t>
      </w:r>
      <w:r>
        <w:t>2026-06-24 00:00:00+00:00</w:t>
      </w:r>
      <w:r>
        <w:t xml:space="preserve">    </w:t>
      </w:r>
      <w:r>
        <w:rPr>
          <w:b/>
        </w:rPr>
        <w:t xml:space="preserve">DOI: </w:t>
      </w:r>
      <w:hyperlink r:id="rId719">
        <w:r>
          <w:rPr>
            <w:color w:val="1155CC"/>
            <w:u w:val="single"/>
          </w:rPr>
          <w:t>10.1093/nsr/nwag389</w:t>
        </w:r>
      </w:hyperlink>
    </w:p>
    <w:p>
      <w:pPr>
        <w:spacing w:before="0" w:after="120"/>
      </w:pPr>
      <w:r>
        <w:rPr>
          <w:b/>
        </w:rPr>
        <w:t xml:space="preserve">Notes: </w:t>
      </w:r>
      <w:r>
        <w:t>abstract_source=rss_oup</w:t>
      </w:r>
    </w:p>
    <w:p>
      <w:pPr>
        <w:spacing w:before="0" w:after="80" w:lineRule="auto" w:line="276"/>
      </w:pPr>
      <w:r>
        <w:rPr>
          <w:b/>
        </w:rPr>
        <w:t xml:space="preserve">摘要（ZH）: </w:t>
      </w:r>
      <w:r>
        <w:t>具有邻硼-π-硼（B-π-B）模式的多重共振（MR）框架是对位B-π-B框架的有希望的替代品，用于实现红色窄带发射，但这种情况很少被报道，并且面临着重大的合成挑战。在这里，通过使用吲哚并[2,3-c]咔唑作为中心构件构建了一种包含邻-B-π-B图案的新型四硼MR框架ICZ4B。明确的硼化活性位点有助于高效的一次性四重硼化。 ICZ4B 不仅表现出明亮的黄色发射，半高全宽为 24 nm，而且还实现了 4.7 × 104 s−1 的改进的反向系间窜越 (RISC) 速率。非敏化器件实现了 36.5% 的出色外量子效率，代表了长波长下的最高结果之一。这项研究不仅提出了通过精心选择关键前体来实现具有邻-B-π-B模式的MR框架的可行途径，而且还为优化复杂MR框架的合成策略提供了见解。</w:t>
      </w:r>
    </w:p>
    <w:p>
      <w:pPr>
        <w:spacing w:before="0" w:after="200" w:lineRule="auto" w:line="276"/>
      </w:pPr>
      <w:r>
        <w:rPr>
          <w:b/>
        </w:rPr>
        <w:t xml:space="preserve">Abstract (EN): </w:t>
      </w:r>
      <w:r>
        <w:t>Multiple resonance (MR) frameworks with ortho-boron-π-boron (B-π-B) patterns are promising alternatives to those with para-B-π-B ones for realizing bathochromic narrowband emission, but such cases have been rarely reported, and suffer from significant synthetic challenges. Here, a novel tetraboron MR framework ICZ4B incorporating an ortho-B-π-B pattern was constructed by using indolo[2,3-c]carbazole as the central building block. The well-defined borylation active sites facilitate an efficient one-shot quadruple borylation. ICZ4B not only exhibits bright yellow emission with a small full width at half maximum of 24 nm, but also achieves an improved reverse intersystem crossing (RISC) rate of 4.7 × 104 s−1. The non-sensitized device realizes an outstanding external quantum efficiency of 36.5%, representing one of the highest results at long wavelengths. This study not only presents a feasible pathway for realizing MR frameworks with ortho-B-π-B patterns via delicate selection of key precursors, but also offers insights for optimizing synthetic strategies for complex MR frameworks.</w:t>
      </w:r>
    </w:p>
    <w:p>
      <w:pPr>
        <w:spacing w:before="120" w:after="120"/>
      </w:pPr>
      <w:r>
        <w:rPr>
          <w:sz w:val="18"/>
        </w:rPr>
        <w:t>——————————————————————————————————————————————————————————————————————</w:t>
      </w:r>
    </w:p>
    <w:p>
      <w:pPr>
        <w:spacing w:before="160" w:after="40" w:line="240" w:lineRule="auto"/>
      </w:pPr>
      <w:r>
        <w:rPr>
          <w:b/>
        </w:rPr>
        <w:t xml:space="preserve">[240] </w:t>
      </w:r>
      <w:hyperlink r:id="rId720">
        <w:r>
          <w:rPr>
            <w:color w:val="1155CC"/>
            <w:u w:val="single"/>
          </w:rPr>
          <w:t>太阳极日冕中具有大量能量的高频磁流体动力波</w:t>
        </w:r>
      </w:hyperlink>
    </w:p>
    <w:p>
      <w:pPr>
        <w:spacing w:before="0" w:after="80"/>
      </w:pPr>
      <w:r>
        <w:rPr>
          <w:i/>
          <w:sz w:val="20"/>
        </w:rPr>
        <w:t>EN: High-Frequency Magnetohydrodynamic Waves with Substantial Energy in the Solar Polar Corona</w:t>
      </w:r>
    </w:p>
    <w:p>
      <w:pPr>
        <w:spacing w:before="0" w:after="120"/>
      </w:pPr>
      <w:r>
        <w:rPr>
          <w:b/>
        </w:rPr>
        <w:t xml:space="preserve">Source: </w:t>
      </w:r>
      <w:r>
        <w:t>National Science Review Advance Access</w:t>
      </w:r>
      <w:r>
        <w:t xml:space="preserve">    </w:t>
      </w:r>
      <w:r>
        <w:rPr>
          <w:b/>
        </w:rPr>
        <w:t xml:space="preserve">Pub date: </w:t>
      </w:r>
      <w:r>
        <w:t>2026-06-24 00:00:00+00:00</w:t>
      </w:r>
      <w:r>
        <w:t xml:space="preserve">    </w:t>
      </w:r>
      <w:r>
        <w:rPr>
          <w:b/>
        </w:rPr>
        <w:t xml:space="preserve">DOI: </w:t>
      </w:r>
      <w:hyperlink r:id="rId721">
        <w:r>
          <w:rPr>
            <w:color w:val="1155CC"/>
            <w:u w:val="single"/>
          </w:rPr>
          <w:t>10.1093/nsr/nwag370</w:t>
        </w:r>
      </w:hyperlink>
    </w:p>
    <w:p>
      <w:pPr>
        <w:spacing w:before="0" w:after="120"/>
      </w:pPr>
      <w:r>
        <w:rPr>
          <w:b/>
        </w:rPr>
        <w:t xml:space="preserve">Notes: </w:t>
      </w:r>
      <w:r>
        <w:t>abstract_source=rss_oup</w:t>
      </w:r>
    </w:p>
    <w:p>
      <w:pPr>
        <w:spacing w:before="0" w:after="80" w:lineRule="auto" w:line="276"/>
      </w:pPr>
      <w:r>
        <w:rPr>
          <w:b/>
        </w:rPr>
        <w:t xml:space="preserve">摘要（ZH）: </w:t>
      </w:r>
      <w:r>
        <w:t>快速太阳风的加速和加热仍然是空间物理学中长期存在的挑战。一种领先的理论模型需要高频磁流体动力（MHD）波在日冕中传输和耗散足够的能量。然而，这种具有能量显着振幅的高频波从未被明确观测到，从而在理论和观测之间留下了关键差距。利用太阳轨道飞行器的极紫外成像仪的高节奏、高分辨率极紫外成像，我们识别出了太阳极区日冕羽流中先前隐藏的高频 MHD 波群。对检测到的传播扭结波的分析表明，超过三分之一的扭结波周期短于 100 秒，早期仪器基本上未检测到这一群体。功率谱分析表明，这些高频波携带大量的能量通量，而在较低节奏的数据中，这些能量通量被大大低估了。这些结果表明，高频 MHD 波可能对太阳极日冕的能量预算有重要贡献，并且可能在太阳风加速中发挥作用，突出了高分辨率观测对于探测磁化空间和天体物理等离子体中能量传输的价值。</w:t>
      </w:r>
    </w:p>
    <w:p>
      <w:pPr>
        <w:spacing w:before="0" w:after="200" w:lineRule="auto" w:line="276"/>
      </w:pPr>
      <w:r>
        <w:rPr>
          <w:b/>
        </w:rPr>
        <w:t xml:space="preserve">Abstract (EN): </w:t>
      </w:r>
      <w:r>
        <w:t>The acceleration and heating of the fast solar wind remain long-standing challenges in space physics. One type of leading theoretical models requires high-frequency magnetohydrodynamic (MHD) waves to transport and dissipate sufficient energy in the corona. However, such high-frequency waves with energetically significant amplitudes have never been unambiguously observed, leaving a key gap between theories and observations. Using high-cadence, high-resolution extreme-ultraviolet imaging from Solar Orbiter’s Extreme Ultraviolet Imager, we identify a previously hidden population of high-frequency MHD waves in coronal plumes of the solar polar region. An analysis of the detected propagating kink waves shows that over one-third have periods shorter than 100 s, a population largely undetected by earlier instruments. Power spectral analysis demonstrates that these high-frequency waves carry substantial energy flux, which are significantly underestimated in lower-cadence data. These results suggest that high-frequency MHD waves may contribute importantly to the energy budget of the solar polar corona and could play a role in solar wind acceleration, highlighting the value of high-resolution observations for probing energy transport in magnetized space and astrophysical plasmas.</w:t>
      </w:r>
    </w:p>
    <w:p>
      <w:pPr>
        <w:spacing w:before="120" w:after="120"/>
      </w:pPr>
      <w:r>
        <w:rPr>
          <w:sz w:val="18"/>
        </w:rPr>
        <w:t>——————————————————————————————————————————————————————————————————————</w:t>
      </w:r>
    </w:p>
    <w:p>
      <w:pPr>
        <w:spacing w:before="160" w:after="40" w:line="240" w:lineRule="auto"/>
      </w:pPr>
      <w:r>
        <w:rPr>
          <w:b/>
        </w:rPr>
        <w:t xml:space="preserve">[241] </w:t>
      </w:r>
      <w:hyperlink r:id="rId722">
        <w:r>
          <w:rPr>
            <w:color w:val="1155CC"/>
            <w:u w:val="single"/>
          </w:rPr>
          <w:t>遏制抗菌素耐药性国家行动计划的环境有效性：来自中国土壤的证据</w:t>
        </w:r>
      </w:hyperlink>
    </w:p>
    <w:p>
      <w:pPr>
        <w:spacing w:before="0" w:after="80"/>
      </w:pPr>
      <w:r>
        <w:rPr>
          <w:i/>
          <w:sz w:val="20"/>
        </w:rPr>
        <w:t>EN: Environmental Effectiveness of the National Action Plan to Contain Antimicrobial Resistance: Evidence from Chinese Soil</w:t>
      </w:r>
    </w:p>
    <w:p>
      <w:pPr>
        <w:spacing w:before="0" w:after="120"/>
      </w:pPr>
      <w:r>
        <w:rPr>
          <w:b/>
        </w:rPr>
        <w:t xml:space="preserve">Source: </w:t>
      </w:r>
      <w:r>
        <w:t>National Science Review Advance Access</w:t>
      </w:r>
      <w:r>
        <w:t xml:space="preserve">    </w:t>
      </w:r>
      <w:r>
        <w:rPr>
          <w:b/>
        </w:rPr>
        <w:t xml:space="preserve">Pub date: </w:t>
      </w:r>
      <w:r>
        <w:t>2026-06-24 00:00:00+00:00</w:t>
      </w:r>
      <w:r>
        <w:t xml:space="preserve">    </w:t>
      </w:r>
      <w:r>
        <w:rPr>
          <w:b/>
        </w:rPr>
        <w:t xml:space="preserve">DOI: </w:t>
      </w:r>
      <w:hyperlink r:id="rId723">
        <w:r>
          <w:rPr>
            <w:color w:val="1155CC"/>
            <w:u w:val="single"/>
          </w:rPr>
          <w:t>10.1093/nsr/nwag387</w:t>
        </w:r>
      </w:hyperlink>
    </w:p>
    <w:p>
      <w:pPr>
        <w:spacing w:before="0" w:after="120"/>
      </w:pPr>
      <w:r>
        <w:rPr>
          <w:b/>
        </w:rPr>
        <w:t xml:space="preserve">Notes: </w:t>
      </w:r>
      <w:r>
        <w:t>abstract_source=rss_oup</w:t>
      </w:r>
    </w:p>
    <w:p>
      <w:pPr>
        <w:spacing w:before="0" w:after="80" w:lineRule="auto" w:line="276"/>
      </w:pPr>
      <w:r>
        <w:rPr>
          <w:b/>
        </w:rPr>
        <w:t xml:space="preserve">摘要（ZH）: </w:t>
      </w:r>
      <w:r>
        <w:t>土壤抗生素抗性基因（ARG）代表了一种新出现的地球健康威胁。然而，抗菌素耐药性（AMR）控制政策对环境的影响仍不清楚。基于 2,243 个中国宏基因组，我们生成了中国土壤 ARG 的 14 年（2009 年至 2022 年）时空概况，并开发了一个基于交互式地图的开放获取平台。与2015年之前的样本相比，2016年之后农田中总抗微生物药物（52.6%）和一级抗微生物药物（77.0%）的相对丰度显着下降，恰逢国家抗生素耐药性控制政策时期（2016-2020年）。比较全球土壤抗性组（2,556 个宏基因组）揭示了农田的同质化，反映了各地区相似农业压力下 ARG 分布的趋同。这强调了从国家干预转向全球干预的必要性。我们的研究结果强调了将化学污染控制与农业最佳实践相结合的协调战略的重要性，以遏制“同一个健康”框架下抗微生物药物的传播。</w:t>
      </w:r>
    </w:p>
    <w:p>
      <w:pPr>
        <w:spacing w:before="0" w:after="200" w:lineRule="auto" w:line="276"/>
      </w:pPr>
      <w:r>
        <w:rPr>
          <w:b/>
        </w:rPr>
        <w:t xml:space="preserve">Abstract (EN): </w:t>
      </w:r>
      <w:r>
        <w:t>Soil antibiotic resistance genes (ARGs) represent an emerging planetary health threat. However, the environmental impacts of antimicrobial resistance (AMR) control policies remain unclear. Based on 2,243 Chinese metagenomes, we generated a 14–year (2009–2022) spatiotemporal profile of Chinese soil ARGs and developed an open–access platform based on the interactive map. Relative to pre-2015 samples, the relative abundance of total ARGs (52.6%) and Rank I ARGs (77.0%) in croplands decreased markedly after 2016, coinciding with the national AMR control policy period (2016–2020). Comparing soil resistomes globally (2,556 metagenomes) revealed homogenization in croplands, reflecting convergent ARGs profiles under similar agricultural pressures across regions. This underscores the need for a shift from national to global intervention. Our findings highlight the importance of coordinated strategies combining chemical pollution control with agricultural best practices to curb ARGs dissemination under the One-Health framework.</w:t>
      </w:r>
    </w:p>
    <w:p>
      <w:pPr>
        <w:spacing w:before="120" w:after="120"/>
      </w:pPr>
      <w:r>
        <w:rPr>
          <w:sz w:val="18"/>
        </w:rPr>
        <w:t>——————————————————————————————————————————————————————————————————————</w:t>
      </w:r>
    </w:p>
    <w:p>
      <w:pPr>
        <w:spacing w:before="160" w:after="40" w:line="240" w:lineRule="auto"/>
      </w:pPr>
      <w:r>
        <w:rPr>
          <w:b/>
        </w:rPr>
        <w:t xml:space="preserve">[242] </w:t>
      </w:r>
      <w:hyperlink r:id="rId724">
        <w:r>
          <w:rPr>
            <w:color w:val="1155CC"/>
            <w:u w:val="single"/>
          </w:rPr>
          <w:t>二维材料需要共享的实验记忆</w:t>
        </w:r>
      </w:hyperlink>
    </w:p>
    <w:p>
      <w:pPr>
        <w:spacing w:before="0" w:after="80"/>
      </w:pPr>
      <w:r>
        <w:rPr>
          <w:i/>
          <w:sz w:val="20"/>
        </w:rPr>
        <w:t>EN: Two-dimensional materials need a shared experimental memory</w:t>
      </w:r>
    </w:p>
    <w:p>
      <w:pPr>
        <w:spacing w:before="0" w:after="120"/>
      </w:pPr>
      <w:r>
        <w:rPr>
          <w:b/>
        </w:rPr>
        <w:t xml:space="preserve">Source: </w:t>
      </w:r>
      <w:r>
        <w:t>Nature Reviews Materials</w:t>
      </w:r>
      <w:r>
        <w:t xml:space="preserve">    </w:t>
      </w:r>
      <w:r>
        <w:rPr>
          <w:b/>
        </w:rPr>
        <w:t xml:space="preserve">Pub date: </w:t>
      </w:r>
      <w:r>
        <w:t>2026-06-24 00:00:00+00:00</w:t>
      </w:r>
      <w:r>
        <w:t xml:space="preserve">    </w:t>
      </w:r>
      <w:r>
        <w:rPr>
          <w:b/>
        </w:rPr>
        <w:t xml:space="preserve">DOI: </w:t>
      </w:r>
      <w:hyperlink r:id="rId725">
        <w:r>
          <w:rPr>
            <w:color w:val="1155CC"/>
            <w:u w:val="single"/>
          </w:rPr>
          <w:t>10.1038/s41578-026-00938-y</w:t>
        </w:r>
      </w:hyperlink>
    </w:p>
    <w:p>
      <w:pPr>
        <w:spacing w:before="0" w:after="120"/>
      </w:pPr>
      <w:r>
        <w:rPr>
          <w:b/>
        </w:rPr>
        <w:t xml:space="preserve">Notes: </w:t>
      </w:r>
      <w:r>
        <w:t>abstract_source=nature_html</w:t>
      </w:r>
    </w:p>
    <w:p>
      <w:pPr>
        <w:spacing w:before="0" w:after="80" w:lineRule="auto" w:line="276"/>
      </w:pPr>
      <w:r>
        <w:rPr>
          <w:b/>
        </w:rPr>
        <w:t xml:space="preserve">摘要（ZH）: </w:t>
      </w:r>
      <w:r>
        <w:t>二维材料科学并不缺乏可能性；然而，缺乏有组织的记忆。将已合成的材料、它们的制造方法以及它们与计算预测的关系联系起来可能会影响未来的发现。</w:t>
      </w:r>
    </w:p>
    <w:p>
      <w:pPr>
        <w:spacing w:before="0" w:after="200" w:lineRule="auto" w:line="276"/>
      </w:pPr>
      <w:r>
        <w:rPr>
          <w:b/>
        </w:rPr>
        <w:t xml:space="preserve">Abstract (EN): </w:t>
      </w:r>
      <w:r>
        <w:t>There is no lack of possibilities for two-dimensional materials science; however, there is a lack of organized memory. Connecting what materials have been synthesized, how they were made and how they relate to computational predictions could shape future discoveries.</w:t>
      </w:r>
    </w:p>
    <w:p>
      <w:pPr>
        <w:spacing w:before="120" w:after="120"/>
      </w:pPr>
      <w:r>
        <w:rPr>
          <w:sz w:val="18"/>
        </w:rPr>
        <w:t>——————————————————————————————————————————————————————————————————————</w:t>
      </w:r>
    </w:p>
    <w:p>
      <w:pPr>
        <w:spacing w:before="160" w:after="40" w:line="240" w:lineRule="auto"/>
      </w:pPr>
      <w:r>
        <w:rPr>
          <w:b/>
        </w:rPr>
        <w:t xml:space="preserve">[243] </w:t>
      </w:r>
      <w:hyperlink r:id="rId726">
        <w:r>
          <w:rPr>
            <w:color w:val="1155CC"/>
            <w:u w:val="single"/>
          </w:rPr>
          <w:t>为什么科学比以往任何时候都更需要人文学科</w:t>
        </w:r>
      </w:hyperlink>
    </w:p>
    <w:p>
      <w:pPr>
        <w:spacing w:before="0" w:after="80"/>
      </w:pPr>
      <w:r>
        <w:rPr>
          <w:i/>
          <w:sz w:val="20"/>
        </w:rPr>
        <w:t>EN: Why science needs the humanities more than ever</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27">
        <w:r>
          <w:rPr>
            <w:color w:val="1155CC"/>
            <w:u w:val="single"/>
          </w:rPr>
          <w:t>10.1038/d41586-026-01958-y</w:t>
        </w:r>
      </w:hyperlink>
    </w:p>
    <w:p>
      <w:pPr>
        <w:spacing w:before="0" w:after="120"/>
      </w:pPr>
      <w:r>
        <w:rPr>
          <w:b/>
        </w:rPr>
        <w:t xml:space="preserve">Notes: </w:t>
      </w:r>
      <w:r>
        <w:t>abstract_source=nature_html</w:t>
      </w:r>
    </w:p>
    <w:p>
      <w:pPr>
        <w:spacing w:before="0" w:after="80" w:lineRule="auto" w:line="276"/>
      </w:pPr>
      <w:r>
        <w:rPr>
          <w:b/>
        </w:rPr>
        <w:t xml:space="preserve">摘要（ZH）: </w:t>
      </w:r>
      <w:r>
        <w:t>从人工智能到生物技术，当今的科学突破提出了仅靠技术专业知识无法解决的伦理和社会挑战。从人工智能到生物技术，当今的科学突破提出了仅靠技术专业知识无法解决的伦理和社会挑战。</w:t>
      </w:r>
    </w:p>
    <w:p>
      <w:pPr>
        <w:spacing w:before="0" w:after="200" w:lineRule="auto" w:line="276"/>
      </w:pPr>
      <w:r>
        <w:rPr>
          <w:b/>
        </w:rPr>
        <w:t xml:space="preserve">Abstract (EN): </w:t>
      </w:r>
      <w:r>
        <w:t>From AI to biotechnology, today’s scientific breakthroughs raise ethical and social challenges that technical expertise alone cannot solve. From AI to biotechnology, today’s scientific breakthroughs raise ethical and social challenges that technical expertise alone cannot solve.</w:t>
      </w:r>
    </w:p>
    <w:p>
      <w:pPr>
        <w:spacing w:before="120" w:after="120"/>
      </w:pPr>
      <w:r>
        <w:rPr>
          <w:sz w:val="18"/>
        </w:rPr>
        <w:t>——————————————————————————————————————————————————————————————————————</w:t>
      </w:r>
    </w:p>
    <w:p>
      <w:pPr>
        <w:spacing w:before="160" w:after="40" w:line="240" w:lineRule="auto"/>
      </w:pPr>
      <w:r>
        <w:rPr>
          <w:b/>
        </w:rPr>
        <w:t xml:space="preserve">[244] </w:t>
      </w:r>
      <w:hyperlink r:id="rId728">
        <w:r>
          <w:rPr>
            <w:color w:val="1155CC"/>
            <w:u w:val="single"/>
          </w:rPr>
          <w:t>对尼安德特人种群动态和消亡的基因组见解</w:t>
        </w:r>
      </w:hyperlink>
    </w:p>
    <w:p>
      <w:pPr>
        <w:spacing w:before="0" w:after="80"/>
      </w:pPr>
      <w:r>
        <w:rPr>
          <w:i/>
          <w:sz w:val="20"/>
        </w:rPr>
        <w:t>EN: Genomic insights into the population dynamics and demise of Neanderthals</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29">
        <w:r>
          <w:rPr>
            <w:color w:val="1155CC"/>
            <w:u w:val="single"/>
          </w:rPr>
          <w:t>10.1038/d41586-026-01704-4</w:t>
        </w:r>
      </w:hyperlink>
    </w:p>
    <w:p>
      <w:pPr>
        <w:spacing w:before="0" w:after="120"/>
      </w:pPr>
      <w:r>
        <w:rPr>
          <w:b/>
        </w:rPr>
        <w:t xml:space="preserve">Notes: </w:t>
      </w:r>
      <w:r>
        <w:t>abstract_source=nature_html</w:t>
      </w:r>
    </w:p>
    <w:p>
      <w:pPr>
        <w:spacing w:before="0" w:after="80" w:lineRule="auto" w:line="276"/>
      </w:pPr>
      <w:r>
        <w:rPr>
          <w:b/>
        </w:rPr>
        <w:t xml:space="preserve">摘要（ZH）: </w:t>
      </w:r>
      <w:r>
        <w:t>来自尼安德特人骨骼遗骸的大量遗传数据反驳了一些假设，并引发了有关这些古代人类的新问题。来自尼安德特人骨骼遗骸的大量遗传数据反驳了一些假设，并引发了有关这些古代人类的新问题。</w:t>
      </w:r>
    </w:p>
    <w:p>
      <w:pPr>
        <w:spacing w:before="0" w:after="200" w:lineRule="auto" w:line="276"/>
      </w:pPr>
      <w:r>
        <w:rPr>
          <w:b/>
        </w:rPr>
        <w:t xml:space="preserve">Abstract (EN): </w:t>
      </w:r>
      <w:r>
        <w:t>A surge of genetic data from the skeletal remains of Neanderthals disproves some assumptions and generates fresh questions about these ancient hominins. A surge of genetic data from the skeletal remains of Neanderthals disproves some assumptions and generates fresh questions about these ancient hominins.</w:t>
      </w:r>
    </w:p>
    <w:p>
      <w:pPr>
        <w:spacing w:before="120" w:after="120"/>
      </w:pPr>
      <w:r>
        <w:rPr>
          <w:sz w:val="18"/>
        </w:rPr>
        <w:t>——————————————————————————————————————————————————————————————————————</w:t>
      </w:r>
    </w:p>
    <w:p>
      <w:pPr>
        <w:spacing w:before="160" w:after="40" w:line="240" w:lineRule="auto"/>
      </w:pPr>
      <w:r>
        <w:rPr>
          <w:b/>
        </w:rPr>
        <w:t xml:space="preserve">[245] </w:t>
      </w:r>
      <w:hyperlink r:id="rId730">
        <w:r>
          <w:rPr>
            <w:color w:val="1155CC"/>
            <w:u w:val="single"/>
          </w:rPr>
          <w:t>由土壤细菌制成的抗生素混合物可以杀死超级细菌</w:t>
        </w:r>
      </w:hyperlink>
    </w:p>
    <w:p>
      <w:pPr>
        <w:spacing w:before="0" w:after="80"/>
      </w:pPr>
      <w:r>
        <w:rPr>
          <w:i/>
          <w:sz w:val="20"/>
        </w:rPr>
        <w:t>EN: Antibiotic cocktail made by soil bacteria can kill superbugs</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31">
        <w:r>
          <w:rPr>
            <w:color w:val="1155CC"/>
            <w:u w:val="single"/>
          </w:rPr>
          <w:t>10.1038/d41586-026-01990-y</w:t>
        </w:r>
      </w:hyperlink>
    </w:p>
    <w:p>
      <w:pPr>
        <w:spacing w:before="0" w:after="120"/>
      </w:pPr>
      <w:r>
        <w:rPr>
          <w:b/>
        </w:rPr>
        <w:t xml:space="preserve">Notes: </w:t>
      </w:r>
      <w:r>
        <w:t>abstract_source=nature_html</w:t>
      </w:r>
    </w:p>
    <w:p>
      <w:pPr>
        <w:spacing w:before="0" w:after="80" w:lineRule="auto" w:line="276"/>
      </w:pPr>
      <w:r>
        <w:rPr>
          <w:b/>
        </w:rPr>
        <w:t xml:space="preserve">摘要（ZH）: </w:t>
      </w:r>
      <w:r>
        <w:t>链霉菌产生的四种抗生素化合物攻击重要代谢途径的多个部分。链霉菌产生的四种抗生素化合物攻击重要代谢途径的多个部分。</w:t>
      </w:r>
    </w:p>
    <w:p>
      <w:pPr>
        <w:spacing w:before="0" w:after="200" w:lineRule="auto" w:line="276"/>
      </w:pPr>
      <w:r>
        <w:rPr>
          <w:b/>
        </w:rPr>
        <w:t xml:space="preserve">Abstract (EN): </w:t>
      </w:r>
      <w:r>
        <w:t>Four antibiotic compounds produced in Streptomyces bacteria attack multiple parts of an essential metabolic pathway. Four antibiotic compounds produced in Streptomyces bacteria attack multiple parts of an essential metabolic pathway.</w:t>
      </w:r>
    </w:p>
    <w:p>
      <w:pPr>
        <w:spacing w:before="120" w:after="120"/>
      </w:pPr>
      <w:r>
        <w:rPr>
          <w:sz w:val="18"/>
        </w:rPr>
        <w:t>——————————————————————————————————————————————————————————————————————</w:t>
      </w:r>
    </w:p>
    <w:p>
      <w:pPr>
        <w:spacing w:before="160" w:after="40" w:line="240" w:lineRule="auto"/>
      </w:pPr>
      <w:r>
        <w:rPr>
          <w:b/>
        </w:rPr>
        <w:t xml:space="preserve">[246] </w:t>
      </w:r>
      <w:hyperlink r:id="rId732">
        <w:r>
          <w:rPr>
            <w:color w:val="1155CC"/>
            <w:u w:val="single"/>
          </w:rPr>
          <w:t>“我们”而不是“他们”：科学家必须利用他们的技能来帮助阻止两极分化和分裂</w:t>
        </w:r>
      </w:hyperlink>
    </w:p>
    <w:p>
      <w:pPr>
        <w:spacing w:before="0" w:after="80"/>
      </w:pPr>
      <w:r>
        <w:rPr>
          <w:i/>
          <w:sz w:val="20"/>
        </w:rPr>
        <w:t>EN: ‘Us’ not ‘them’: scientists must use their skills to help stop polarization and division</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33">
        <w:r>
          <w:rPr>
            <w:color w:val="1155CC"/>
            <w:u w:val="single"/>
          </w:rPr>
          <w:t>10.1038/d41586-026-01952-4</w:t>
        </w:r>
      </w:hyperlink>
    </w:p>
    <w:p>
      <w:pPr>
        <w:spacing w:before="0" w:after="120"/>
      </w:pPr>
      <w:r>
        <w:rPr>
          <w:b/>
        </w:rPr>
        <w:t xml:space="preserve">Notes: </w:t>
      </w:r>
      <w:r>
        <w:t>abstract_source=nature_html</w:t>
      </w:r>
    </w:p>
    <w:p>
      <w:pPr>
        <w:spacing w:before="0" w:after="80" w:lineRule="auto" w:line="276"/>
      </w:pPr>
      <w:r>
        <w:rPr>
          <w:b/>
        </w:rPr>
        <w:t xml:space="preserve">摘要（ZH）: </w:t>
      </w:r>
      <w:r>
        <w:t>研究人们分裂因素的研究人员也拥有探索团结人们的策略的工具。研究人们分裂因素的研究人员也拥有探索团结人们的策略的工具。</w:t>
      </w:r>
    </w:p>
    <w:p>
      <w:pPr>
        <w:spacing w:before="0" w:after="200" w:lineRule="auto" w:line="276"/>
      </w:pPr>
      <w:r>
        <w:rPr>
          <w:b/>
        </w:rPr>
        <w:t xml:space="preserve">Abstract (EN): </w:t>
      </w:r>
      <w:r>
        <w:t>Researchers who study what divides people also have the tools to explore strategies to unite them. Researchers who study what divides people also have the tools to explore strategies to unite them.</w:t>
      </w:r>
    </w:p>
    <w:p>
      <w:pPr>
        <w:spacing w:before="120" w:after="120"/>
      </w:pPr>
      <w:r>
        <w:rPr>
          <w:sz w:val="18"/>
        </w:rPr>
        <w:t>——————————————————————————————————————————————————————————————————————</w:t>
      </w:r>
    </w:p>
    <w:p>
      <w:pPr>
        <w:spacing w:before="160" w:after="40" w:line="240" w:lineRule="auto"/>
      </w:pPr>
      <w:r>
        <w:rPr>
          <w:b/>
        </w:rPr>
        <w:t xml:space="preserve">[247] </w:t>
      </w:r>
      <w:hyperlink r:id="rId734">
        <w:r>
          <w:rPr>
            <w:color w:val="1155CC"/>
            <w:u w:val="single"/>
          </w:rPr>
          <w:t>传染病mRNA疫苗的免疫机制</w:t>
        </w:r>
      </w:hyperlink>
    </w:p>
    <w:p>
      <w:pPr>
        <w:spacing w:before="0" w:after="80"/>
      </w:pPr>
      <w:r>
        <w:rPr>
          <w:i/>
          <w:sz w:val="20"/>
        </w:rPr>
        <w:t>EN: Immunological mechanisms of mRNA vaccines for infectious diseases</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35">
        <w:r>
          <w:rPr>
            <w:color w:val="1155CC"/>
            <w:u w:val="single"/>
          </w:rPr>
          <w:t>10.1038/s41586-026-10599-0</w:t>
        </w:r>
      </w:hyperlink>
    </w:p>
    <w:p>
      <w:pPr>
        <w:spacing w:before="0" w:after="120"/>
      </w:pPr>
      <w:r>
        <w:rPr>
          <w:b/>
        </w:rPr>
        <w:t xml:space="preserve">Notes: </w:t>
      </w:r>
      <w:r>
        <w:t>abstract_source=nature_html</w:t>
      </w:r>
    </w:p>
    <w:p>
      <w:pPr>
        <w:spacing w:before="0" w:after="80" w:lineRule="auto" w:line="276"/>
      </w:pPr>
      <w:r>
        <w:rPr>
          <w:b/>
        </w:rPr>
        <w:t xml:space="preserve">摘要（ZH）: </w:t>
      </w:r>
      <w:r>
        <w:t>核苷修饰的 mRNA-脂质纳米颗粒 (mRNA-LNP) 疫苗可针对严重的 COVID-19 提供高水平的保护，自 2020 年首次授权用于人类以来，已挽救了数百万人的生命。该疫苗平台的功效依赖于诱导强大且协调的先天和适应性免疫反应。深入了解 mRNA-LNP 疫苗驱动保护性免疫的作用机制对于推进具有改进的免疫原性和耐受性的下一代 mRNA 疫苗的开发至关重要。最近的一系列研究揭示了这种疫苗方式的运作方式。尽管如此，关键的知识差距仍然存在，包括了解免疫系统如何感知 LNP 并发挥其佐剂活性，识别对于引发保护性免疫反应至关重要的特定信号和细胞途径，以及确定将疫苗免疫原性和反应原性分开是否可行。在这里，我们回顾一下用于传染病的 mRNA-LNP 疫苗的免疫学机制的已知和未知特征。此外，我们还讨论了如何修改该疫苗平台的组件，以微调针对尚不存在或需要改进有效疫苗的挑战性病原体的免疫反应。</w:t>
      </w:r>
    </w:p>
    <w:p>
      <w:pPr>
        <w:spacing w:before="0" w:after="200" w:lineRule="auto" w:line="276"/>
      </w:pPr>
      <w:r>
        <w:rPr>
          <w:b/>
        </w:rPr>
        <w:t xml:space="preserve">Abstract (EN): </w:t>
      </w:r>
      <w:r>
        <w:t>Nucleoside-modified mRNA–lipid-nanoparticle (mRNA–LNP) vaccines confer a high level of protection against severe COVID-19 and, since their first authorization for human use in 2020, have saved millions of lives. The efficacy of this vaccine platform relies on the induction of powerful and coordinated innate and adaptive immune responses. A deep understanding of the mechanisms of action by which mRNA–LNP vaccines drive protective immunity is crucial for advancing the development of next-generation mRNA vaccines with improved immunogenicity and tolerability. A flurry of recent studies has shed light on aspects of this vaccine modality’s modus operandi. Nonetheless, key gaps in knowledge remain, including understanding how LNPs are sensed by the immune system and exert their adjuvant activity, identifying the specific signals and cellular pathways critical for eliciting protective immune responses and determining whether it is feasible to uncouple vaccine immunogenicity and reactogenicity. Here we review the known and unknown features of the immunological mechanisms of mRNA–LNP vaccines for infectious diseases. Furthermore, we discuss how the components of this vaccine platform can be modified to fine-tune immune responses against challenging pathogens for which effective vaccines do not exist or need improvement.</w:t>
      </w:r>
    </w:p>
    <w:p>
      <w:pPr>
        <w:spacing w:before="120" w:after="120"/>
      </w:pPr>
      <w:r>
        <w:rPr>
          <w:sz w:val="18"/>
        </w:rPr>
        <w:t>——————————————————————————————————————————————————————————————————————</w:t>
      </w:r>
    </w:p>
    <w:p>
      <w:pPr>
        <w:spacing w:before="160" w:after="40" w:line="240" w:lineRule="auto"/>
      </w:pPr>
      <w:r>
        <w:rPr>
          <w:b/>
        </w:rPr>
        <w:t xml:space="preserve">[248] </w:t>
      </w:r>
      <w:hyperlink r:id="rId736">
        <w:r>
          <w:rPr>
            <w:color w:val="1155CC"/>
            <w:u w:val="single"/>
          </w:rPr>
          <w:t>垃圾收集</w:t>
        </w:r>
      </w:hyperlink>
    </w:p>
    <w:p>
      <w:pPr>
        <w:spacing w:before="0" w:after="80"/>
      </w:pPr>
      <w:r>
        <w:rPr>
          <w:i/>
          <w:sz w:val="20"/>
        </w:rPr>
        <w:t>EN: Garbage collection</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37">
        <w:r>
          <w:rPr>
            <w:color w:val="1155CC"/>
            <w:u w:val="single"/>
          </w:rPr>
          <w:t>10.1038/d41586-026-01720-4</w:t>
        </w:r>
      </w:hyperlink>
    </w:p>
    <w:p>
      <w:pPr>
        <w:spacing w:before="0" w:after="120"/>
      </w:pPr>
      <w:r>
        <w:rPr>
          <w:b/>
        </w:rPr>
        <w:t xml:space="preserve">Notes: </w:t>
      </w:r>
      <w:r>
        <w:t>abstract_source=nature_html</w:t>
      </w:r>
    </w:p>
    <w:p>
      <w:pPr>
        <w:spacing w:before="0" w:after="80" w:lineRule="auto" w:line="276"/>
      </w:pPr>
      <w:r>
        <w:rPr>
          <w:b/>
        </w:rPr>
        <w:t xml:space="preserve">摘要（ZH）: </w:t>
      </w:r>
      <w:r>
        <w:t>有一种似曾相识的感觉。有一种似曾相识的感觉。</w:t>
      </w:r>
    </w:p>
    <w:p>
      <w:pPr>
        <w:spacing w:before="0" w:after="200" w:lineRule="auto" w:line="276"/>
      </w:pPr>
      <w:r>
        <w:rPr>
          <w:b/>
        </w:rPr>
        <w:t xml:space="preserve">Abstract (EN): </w:t>
      </w:r>
      <w:r>
        <w:t>A sense of déjà vu. A sense of déjà vu.</w:t>
      </w:r>
    </w:p>
    <w:p>
      <w:pPr>
        <w:spacing w:before="120" w:after="120"/>
      </w:pPr>
      <w:r>
        <w:rPr>
          <w:sz w:val="18"/>
        </w:rPr>
        <w:t>——————————————————————————————————————————————————————————————————————</w:t>
      </w:r>
    </w:p>
    <w:p>
      <w:pPr>
        <w:spacing w:before="160" w:after="40" w:line="240" w:lineRule="auto"/>
      </w:pPr>
      <w:r>
        <w:rPr>
          <w:b/>
        </w:rPr>
        <w:t xml:space="preserve">[249] </w:t>
      </w:r>
      <w:hyperlink r:id="rId738">
        <w:r>
          <w:rPr>
            <w:color w:val="1155CC"/>
            <w:u w:val="single"/>
          </w:rPr>
          <w:t>链霉菌巨簇编码协同生物素靶向抗生素</w:t>
        </w:r>
      </w:hyperlink>
    </w:p>
    <w:p>
      <w:pPr>
        <w:spacing w:before="0" w:after="80"/>
      </w:pPr>
      <w:r>
        <w:rPr>
          <w:i/>
          <w:sz w:val="20"/>
        </w:rPr>
        <w:t>EN: A Streptomyces megacluster encodes synergistic biotin-targeting antibiotics</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39">
        <w:r>
          <w:rPr>
            <w:color w:val="1155CC"/>
            <w:u w:val="single"/>
          </w:rPr>
          <w:t>10.1038/s41586-026-10647-9</w:t>
        </w:r>
      </w:hyperlink>
    </w:p>
    <w:p>
      <w:pPr>
        <w:spacing w:before="0" w:after="120"/>
      </w:pPr>
      <w:r>
        <w:rPr>
          <w:b/>
        </w:rPr>
        <w:t xml:space="preserve">Notes: </w:t>
      </w:r>
      <w:r>
        <w:t>abstract_source=nature_html</w:t>
      </w:r>
    </w:p>
    <w:p>
      <w:pPr>
        <w:spacing w:before="0" w:after="80" w:lineRule="auto" w:line="276"/>
      </w:pPr>
      <w:r>
        <w:rPr>
          <w:b/>
        </w:rPr>
        <w:t xml:space="preserve">摘要（ZH）: </w:t>
      </w:r>
      <w:r>
        <w:t>天然产物仍然是抗生素的主要来源，但传统上，发现工作将生物合成基因簇视为单个生物活性分子的来源1,2,3,4,5。越来越多的证据表明，微生物可以编码协调的多代谢系统，但此类系统的遗传结构和生物逻辑仍然知之甚少6,7,8,9,10,11,12。在这里，我们展示了链霉菌属。编码高度保守的生物合成巨簇，产生四个结构不同的天然产物家族——链霉亲和素、酸霉素、达帕霉素和2-甲基-7-酮-8-氨基壬酸（α-Me-KAPA）——以及生物素结合蛋白链霉亲和素。这些成分通过互补机制集中于细菌生物素代谢，包括酶抑制、前药激活、辅因子模拟和生物素隔离。编码的代谢物是共同产生的，并在革兰氏阴性菌和分枝杆菌物种中协同作用，链霉亲和素 S2 和 α-Me-KAPA 在多重耐药大肠杆菌感染的小鼠模型中显示出联合使用的功效增强。这个巨型簇揭示了一个基因编码的化学武器库，它可以作为针对保守代谢途径的自然进化的联合疗法。更广泛地说，我们的研究结果表明，高阶生物合成结构可能代表了被忽视的抗生素机制库，并支持从发现孤立的天然产物到重建天然协同系统的转变。</w:t>
      </w:r>
    </w:p>
    <w:p>
      <w:pPr>
        <w:spacing w:before="0" w:after="200" w:lineRule="auto" w:line="276"/>
      </w:pPr>
      <w:r>
        <w:rPr>
          <w:b/>
        </w:rPr>
        <w:t xml:space="preserve">Abstract (EN): </w:t>
      </w:r>
      <w:r>
        <w:t>Natural products remain a major source of antibiotics, but discovery efforts have traditionally treated biosynthetic gene clusters as sources of individual bioactive molecules1,2,3,4,5. Increasing evidence has suggested that microorganisms can instead encode coordinated multi-metabolite systems, yet the genetic architectures and biological logic of such systems remain poorly understood6,7,8,9,10,11,12. Here we show that Streptomyces spp. encode a highly conserved biosynthetic megacluster that produces four structurally distinct natural product families—stravidins, acidomycin, dapamycins, and 2-methyl-7-keto-8-aminopelargonic acid (α-Me-KAPA)—alongside the biotin-binding protein streptavidin. These components converge on bacterial biotin metabolism through complementary mechanisms, including enzyme inhibition, prodrug activation, cofactor mimicry and biotin sequestration. The encoded metabolites are co-produced and act synergistically across Gram-negative and mycobacterial species, with stravidin S2 and α-Me-KAPA showing enhanced efficacy in combination in a mouse model of multidrug-resistant Escherichia coli infection. This megacluster reveals a genetically encoded chemical arsenal that functions as a naturally evolved combination therapy against a conserved metabolic pathway. More broadly, our findings suggest that higher-order biosynthetic architectures may represent an overlooked reservoir of antibiotic mechanisms and support a shift from discovering isolated natural products to reconstructing native synergistic systems.</w:t>
      </w:r>
    </w:p>
    <w:p>
      <w:pPr>
        <w:spacing w:before="120" w:after="120"/>
      </w:pPr>
      <w:r>
        <w:rPr>
          <w:sz w:val="18"/>
        </w:rPr>
        <w:t>——————————————————————————————————————————————————————————————————————</w:t>
      </w:r>
    </w:p>
    <w:p>
      <w:pPr>
        <w:spacing w:before="160" w:after="40" w:line="240" w:lineRule="auto"/>
      </w:pPr>
      <w:r>
        <w:rPr>
          <w:b/>
        </w:rPr>
        <w:t xml:space="preserve">[250] </w:t>
      </w:r>
      <w:hyperlink r:id="rId740">
        <w:r>
          <w:rPr>
            <w:color w:val="1155CC"/>
            <w:u w:val="single"/>
          </w:rPr>
          <w:t>替代 RNA 解码可在哺乳动物中产生稳定且丰富的蛋白质</w:t>
        </w:r>
      </w:hyperlink>
    </w:p>
    <w:p>
      <w:pPr>
        <w:spacing w:before="0" w:after="80"/>
      </w:pPr>
      <w:r>
        <w:rPr>
          <w:i/>
          <w:sz w:val="20"/>
        </w:rPr>
        <w:t>EN: Alternate RNA decoding results in stable and abundant proteins in mammals</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41">
        <w:r>
          <w:rPr>
            <w:color w:val="1155CC"/>
            <w:u w:val="single"/>
          </w:rPr>
          <w:t>10.1038/s41586-026-10678-2</w:t>
        </w:r>
      </w:hyperlink>
    </w:p>
    <w:p>
      <w:pPr>
        <w:spacing w:before="0" w:after="120"/>
      </w:pPr>
      <w:r>
        <w:rPr>
          <w:b/>
        </w:rPr>
        <w:t xml:space="preserve">Notes: </w:t>
      </w:r>
      <w:r>
        <w:t>abstract_source=nature_html</w:t>
      </w:r>
    </w:p>
    <w:p>
      <w:pPr>
        <w:spacing w:before="0" w:after="80" w:lineRule="auto" w:line="276"/>
      </w:pPr>
      <w:r>
        <w:rPr>
          <w:b/>
        </w:rPr>
        <w:t xml:space="preserve">摘要（ZH）: </w:t>
      </w:r>
      <w:r>
        <w:t>氨基酸取代可能会显着改变蛋白质的稳定性和功能1,2。然而，由替代翻译（遗传密码的偏差）引起的取代的贡献尚不清楚。为了解决这个问题，我们分析了 1,000 多个人类样本的深层蛋白质组学、转录组学和基因组数据，其中包括 6 种癌症类型和 26 种健康人体组织。这项全局分析确定了 60,803 个碎片谱，对应于源自 1,767 个基因的蛋白质中的 8,746 个独特取代，其中包括 1,955 个可靠定位的位点。一些替换在样本之间共享，而其他替换则表现出很强的组织类型和癌症特异性。值得注意的是，对于数百种蛋白质来说，替代翻译的产物比其规范对应物更丰富，这表明存在有义密码子重新编码。重新编码的蛋白质包括转录因子、蛋白酶、信号蛋白和与神经变性相关的蛋白质。影响取代丰度的机制包括蛋白质稳定性、密码子频率、密码子-反密码子错配和 RNA 修饰。我们还描述了不同蛋白质结构域、组织类型和癌症中替代翻译的蛋白质形式比率的变化。这些比率与 gnomAD 数据库中本质上无序的区域和遗传多态性呈正相关，尽管多态性不能解释替换。替代翻译蛋白的序列、相对丰度和组织特异性在人类和小鼠之间是保守的。</w:t>
      </w:r>
    </w:p>
    <w:p>
      <w:pPr>
        <w:spacing w:before="0" w:after="200" w:lineRule="auto" w:line="276"/>
      </w:pPr>
      <w:r>
        <w:rPr>
          <w:b/>
        </w:rPr>
        <w:t xml:space="preserve">Abstract (EN): </w:t>
      </w:r>
      <w:r>
        <w:t>Amino acid substitutions may substantially alter protein stability and function1,2. However, the contribution of substitutions that arise from alternate translation (deviations from the genetic code) is unknown. Here to address this issue, we analysed deep proteomic, transcriptomic and genomic data from more than 1,000 human samples, including 6 cancer types and 26 healthy human tissues. This global analysis identified 60,803 fragmentation spectra corresponding to 8,746 unique substitutions in proteins derived from 1,767 genes, including 1,955 confidently localized sites. Some substitutions were shared across samples, whereas others exhibited strong tissue-type and cancer specificity. Notably, products of alternate translation were more abundant than their canonical counterparts for hundreds of proteins, which suggests that there is sense-codon recoding. Recoded proteins included transcription factors, proteases, signalling proteins and proteins associated with neurodegeneration. Mechanisms that contribute to substitution abundance included protein stability, codon frequency, codon–anticodon mismatches and RNA modifications. We also characterized how alternatively translated proteoform ratios vary across protein domains, tissue types and cancers. These ratios were positively associated with intrinsically disordered regions and genetic polymorphisms in the gnomAD database, although the polymorphisms could not account for the substitutions. The sequence, relative abundance and the tissue specificity of alternatively translated proteins were conserved between humans and mice. These results demonstrate the contribution of alternate translation to the diversification of mammalian proteomes and its association with protein stability, tissue-specific proteomes and disease.</w:t>
      </w:r>
    </w:p>
    <w:p>
      <w:pPr>
        <w:spacing w:before="120" w:after="120"/>
      </w:pPr>
      <w:r>
        <w:rPr>
          <w:sz w:val="18"/>
        </w:rPr>
        <w:t>——————————————————————————————————————————————————————————————————————</w:t>
      </w:r>
    </w:p>
    <w:p>
      <w:pPr>
        <w:spacing w:before="160" w:after="40" w:line="240" w:lineRule="auto"/>
      </w:pPr>
      <w:r>
        <w:rPr>
          <w:b/>
        </w:rPr>
        <w:t xml:space="preserve">[251] </w:t>
      </w:r>
      <w:hyperlink r:id="rId742">
        <w:r>
          <w:rPr>
            <w:color w:val="1155CC"/>
            <w:u w:val="single"/>
          </w:rPr>
          <w:t>长期寻找的 β-arrestin 蛋白化学抑制剂</w:t>
        </w:r>
      </w:hyperlink>
    </w:p>
    <w:p>
      <w:pPr>
        <w:spacing w:before="0" w:after="80"/>
      </w:pPr>
      <w:r>
        <w:rPr>
          <w:i/>
          <w:sz w:val="20"/>
        </w:rPr>
        <w:t>EN: Long-sought chemical inhibitors of β-arrestin proteins</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43">
        <w:r>
          <w:rPr>
            <w:color w:val="1155CC"/>
            <w:u w:val="single"/>
          </w:rPr>
          <w:t>10.1038/d41586-026-01894-x</w:t>
        </w:r>
      </w:hyperlink>
    </w:p>
    <w:p>
      <w:pPr>
        <w:spacing w:before="0" w:after="120"/>
      </w:pPr>
      <w:r>
        <w:rPr>
          <w:b/>
        </w:rPr>
        <w:t xml:space="preserve">Notes: </w:t>
      </w:r>
      <w:r>
        <w:t>abstract_source=nature_html</w:t>
      </w:r>
    </w:p>
    <w:p>
      <w:pPr>
        <w:spacing w:before="0" w:after="80" w:lineRule="auto" w:line="276"/>
      </w:pPr>
      <w:r>
        <w:rPr>
          <w:b/>
        </w:rPr>
        <w:t xml:space="preserve">摘要（ZH）: </w:t>
      </w:r>
      <w:r>
        <w:t>β-抑制蛋白通过 G 蛋白偶联受体 (GPCR) 超家族的成员调节信号传导。直接与 β-抑制蛋白结合并抑制其活性的小分子是探索其生物学特性的第一个化学工具，为针对传感器的、通路特异性的 GPCR 疗法开辟了途径。三种小分子破坏 β-抑制蛋白与 G 蛋白偶联受体蛋白的结合。</w:t>
      </w:r>
    </w:p>
    <w:p>
      <w:pPr>
        <w:spacing w:before="0" w:after="200" w:lineRule="auto" w:line="276"/>
      </w:pPr>
      <w:r>
        <w:rPr>
          <w:b/>
        </w:rPr>
        <w:t xml:space="preserve">Abstract (EN): </w:t>
      </w:r>
      <w:r>
        <w:t>Proteins called β-arrestins regulate signalling through members of the G protein-coupled receptor (GPCR) superfamily. Small molecules that bind directly to the β-arrestins and inhibit their activities are the first chemical tools to probe their biology, opening avenues for transducer-targeted, pathway-specific GPCR therapeutics. Three small molecules disrupt the engagement of β-arrestins with G-protein-coupled receptor proteins.</w:t>
      </w:r>
    </w:p>
    <w:p>
      <w:pPr>
        <w:spacing w:before="120" w:after="120"/>
      </w:pPr>
      <w:r>
        <w:rPr>
          <w:sz w:val="18"/>
        </w:rPr>
        <w:t>——————————————————————————————————————————————————————————————————————</w:t>
      </w:r>
    </w:p>
    <w:p>
      <w:pPr>
        <w:spacing w:before="160" w:after="40" w:line="240" w:lineRule="auto"/>
      </w:pPr>
      <w:r>
        <w:rPr>
          <w:b/>
        </w:rPr>
        <w:t xml:space="preserve">[252] </w:t>
      </w:r>
      <w:hyperlink r:id="rId744">
        <w:r>
          <w:rPr>
            <w:color w:val="1155CC"/>
            <w:u w:val="single"/>
          </w:rPr>
          <w:t>用于双向光控制的傅立叶像素</w:t>
        </w:r>
      </w:hyperlink>
    </w:p>
    <w:p>
      <w:pPr>
        <w:spacing w:before="0" w:after="80"/>
      </w:pPr>
      <w:r>
        <w:rPr>
          <w:i/>
          <w:sz w:val="20"/>
        </w:rPr>
        <w:t>EN: Fourier pixels for bidirectional light control</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45">
        <w:r>
          <w:rPr>
            <w:color w:val="1155CC"/>
            <w:u w:val="single"/>
          </w:rPr>
          <w:t>10.1038/s41586-026-10681-7</w:t>
        </w:r>
      </w:hyperlink>
    </w:p>
    <w:p>
      <w:pPr>
        <w:spacing w:before="0" w:after="120"/>
      </w:pPr>
      <w:r>
        <w:rPr>
          <w:b/>
        </w:rPr>
        <w:t xml:space="preserve">Notes: </w:t>
      </w:r>
      <w:r>
        <w:t>abstract_source=nature_html</w:t>
      </w:r>
    </w:p>
    <w:p>
      <w:pPr>
        <w:spacing w:before="0" w:after="80" w:lineRule="auto" w:line="276"/>
      </w:pPr>
      <w:r>
        <w:rPr>
          <w:b/>
        </w:rPr>
        <w:t xml:space="preserve">摘要（ZH）: </w:t>
      </w:r>
      <w:r>
        <w:t>数码相机1和显示器2使用执行单一功能的图像元素（像素3）：检测或发射光强度。为了充分利用电磁波的信息内容，需要更先进的元件。这推动了多功能组件的开发，例如，同时检测和发射强度4,5或提取强度和光谱信息6,7,8。然而，不存在既能感测又能生成光学波前并完全控制振幅、相位和偏振的像素，从而限制了复杂光场的双向控制和反馈。在这里，我们通过演示基于傅里叶光学的小型化衍射元件的多功能平台，提出了实现此类像素的途径9。我们使用等离激元表面波10，它可以在金属表面上相干11、高效地12、13、14、15传播。当这些等离子体激元发射到通过简单傅里叶分析设计的波状微结构16时，就会生成任意且无背景的光学波前。相反，可以感测入射光，并可以充分表征其幅度、相位和偏振。通过组合或叠加多个此类组件，我们创建了多功能“傅立叶像素”，可以对光场提供紧凑且精确的控制。我们的方法扩展到光子波导模式，为矢量可编程像素建立了一个可扩展的通用架构，应用于自适应光学17,18、全息显示19,20,21、光通信22,23和量子信息处理24。</w:t>
      </w:r>
    </w:p>
    <w:p>
      <w:pPr>
        <w:spacing w:before="0" w:after="200" w:lineRule="auto" w:line="276"/>
      </w:pPr>
      <w:r>
        <w:rPr>
          <w:b/>
        </w:rPr>
        <w:t xml:space="preserve">Abstract (EN): </w:t>
      </w:r>
      <w:r>
        <w:t>Digital cameras1 and displays2 use picture elements (pixels3) that perform a single function: detecting or emitting light intensity. To exploit the full information content of electromagnetic waves, more advanced elements are required. This has driven the development of multifunctional components that, for example, simultaneously detect and emit intensity4,5 or extract intensity and spectral information6,7,8. However, no pixel exists that both senses and generates optical wavefronts with full control over amplitude, phase and polarization, limiting bidirectional control and feedback of sophisticated light fields. Here we present a route to such pixels by demonstrating a versatile platform of miniaturized diffractive elements based on Fourier optics9. We use plasmonic surface waves10, which propagate coherently11 and efficiently12,13,14,15 across metallic surfaces. When these plasmons are launched towards wavy microstructures16 designed with simple Fourier analysis, arbitrary and background-free optical wavefronts are generated. Conversely, incoming light can be sensed, and its amplitude, phase and polarization can be fully characterized. By combining or superposing several such components, we create multifunctional ‘Fourier pixels’ that provide compact and accurate control over the optical field. Our approach, which we extend to photonic waveguide modes, establishes a scalable, universal architecture for vectorially programmable pixels with applications in adaptive optics17,18, holographic displays19,20,21, optical communication22,23 and quantum information processing24.</w:t>
      </w:r>
    </w:p>
    <w:p>
      <w:pPr>
        <w:spacing w:before="120" w:after="120"/>
      </w:pPr>
      <w:r>
        <w:rPr>
          <w:sz w:val="18"/>
        </w:rPr>
        <w:t>——————————————————————————————————————————————————————————————————————</w:t>
      </w:r>
    </w:p>
    <w:p>
      <w:pPr>
        <w:spacing w:before="160" w:after="40" w:line="240" w:lineRule="auto"/>
      </w:pPr>
      <w:r>
        <w:rPr>
          <w:b/>
        </w:rPr>
        <w:t xml:space="preserve">[253] </w:t>
      </w:r>
      <w:hyperlink r:id="rId746">
        <w:r>
          <w:rPr>
            <w:color w:val="1155CC"/>
            <w:u w:val="single"/>
          </w:rPr>
          <w:t>全球高分辨率海草绘图以支持保护</w:t>
        </w:r>
      </w:hyperlink>
    </w:p>
    <w:p>
      <w:pPr>
        <w:spacing w:before="0" w:after="80"/>
      </w:pPr>
      <w:r>
        <w:rPr>
          <w:i/>
          <w:sz w:val="20"/>
        </w:rPr>
        <w:t>EN: Global high-resolution mapping of seagrass to support conservation</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47">
        <w:r>
          <w:rPr>
            <w:color w:val="1155CC"/>
            <w:u w:val="single"/>
          </w:rPr>
          <w:t>10.1038/s41586-026-10704-3</w:t>
        </w:r>
      </w:hyperlink>
    </w:p>
    <w:p>
      <w:pPr>
        <w:spacing w:before="0" w:after="120"/>
      </w:pPr>
      <w:r>
        <w:rPr>
          <w:b/>
        </w:rPr>
        <w:t xml:space="preserve">Notes: </w:t>
      </w:r>
      <w:r>
        <w:t>abstract_source=nature_html</w:t>
      </w:r>
    </w:p>
    <w:p>
      <w:pPr>
        <w:spacing w:before="0" w:after="80" w:lineRule="auto" w:line="276"/>
      </w:pPr>
      <w:r>
        <w:rPr>
          <w:b/>
        </w:rPr>
        <w:t xml:space="preserve">摘要（ZH）: </w:t>
      </w:r>
      <w:r>
        <w:t>海草生态系统是沿海生物多样性的基础，并提供重要的生态系统服务，包括海岸线保护2、粮食安全3和气候缓解4。尽管人们越来越认识到海草是一种基于自然的气候解决方案，但它仍然是绘制最少、了解最少的沿海植被生态系统之一5。据我们所知，我们在这里展示了第一张全球 10 米空间分辨率地图以及清澈浅沿海水域海草范围的变化分析，这些地图来自两个时期（2019-2020 年和 2023-2024 年）的 475 万张 Sentinel-2 MSI 卫星图像。使用根据精选参考数据进行训练的深度学习分类器，我们在全球范围内识别出了 148,506 平方公里的海草，其中包括 5,961 平方公里的潮间带和 142,545 平方公里的潮下带区域。全球 69% 的海草面积集中在巴哈马、古巴、美国、澳大利亚和印度尼西亚，但只有 21% 的海草面积位于海洋保护区内。在为期 4 年的研究中，热带地区有 5,969 平方公里（4%）的海草消失，另外 6,221 平方公里（4.2%）的海草从茂密退化为稀疏覆盖。我们的研究结果确定了海草草甸热点和脆弱区域，为保护和气候政策提供信息。</w:t>
      </w:r>
    </w:p>
    <w:p>
      <w:pPr>
        <w:spacing w:before="0" w:after="200" w:lineRule="auto" w:line="276"/>
      </w:pPr>
      <w:r>
        <w:rPr>
          <w:b/>
        </w:rPr>
        <w:t xml:space="preserve">Abstract (EN): </w:t>
      </w:r>
      <w:r>
        <w:t>Seagrass ecosystems underpin coastal biodiversity1 and provide vital ecosystem services, including shoreline protection2, food security3 and climate mitigation4. Despite growing recognition as a nature-based climate solution, seagrasses are among the least mapped and most poorly understood vegetated coastal ecosystems5. Here we present, to our knowledge, the first global 10-m spatial resolution maps and change analysis of seagrass extent in clear, shallow coastal waters, derived from 4.75 million Sentinel-2 MSI satellite images for two periods (2019–2020 and 2023–2024). Using a deep-learning classifier trained on curated reference data, we identified 148,506 km2 of seagrass globally, including 5,961 km2 of intertidal and 142,545 km2 of subtidal areas. Sixty-nine per cent of global seagrass extent is concentrated in The Bahamas, Cuba, the USA, Australia and Indonesia, yet only 21% of seagrass areas are located within marine-protected areas. Over the 4 years of the study, 5,969 km2 (4%) of seagrass was lost, and an additional 6,221 km2 (4.2%) was degraded from dense to sparse cover in tropical regions. Our findings identify seagrass meadow hotspots and vulnerable regions to inform conservation and climate policy.</w:t>
      </w:r>
    </w:p>
    <w:p>
      <w:pPr>
        <w:spacing w:before="120" w:after="120"/>
      </w:pPr>
      <w:r>
        <w:rPr>
          <w:sz w:val="18"/>
        </w:rPr>
        <w:t>——————————————————————————————————————————————————————————————————————</w:t>
      </w:r>
    </w:p>
    <w:p>
      <w:pPr>
        <w:spacing w:before="160" w:after="40" w:line="240" w:lineRule="auto"/>
      </w:pPr>
      <w:r>
        <w:rPr>
          <w:b/>
        </w:rPr>
        <w:t xml:space="preserve">[254] </w:t>
      </w:r>
      <w:hyperlink r:id="rId748">
        <w:r>
          <w:rPr>
            <w:color w:val="1155CC"/>
            <w:u w:val="single"/>
          </w:rPr>
          <w:t>可溶液加工的二维六方铜铟硒化物半导体</w:t>
        </w:r>
      </w:hyperlink>
    </w:p>
    <w:p>
      <w:pPr>
        <w:spacing w:before="0" w:after="80"/>
      </w:pPr>
      <w:r>
        <w:rPr>
          <w:i/>
          <w:sz w:val="20"/>
        </w:rPr>
        <w:t>EN: Solution-processable two-dimensional hexagonal copper indium selenide semiconductors</w:t>
      </w:r>
    </w:p>
    <w:p>
      <w:pPr>
        <w:spacing w:before="0" w:after="120"/>
      </w:pPr>
      <w:r>
        <w:rPr>
          <w:b/>
        </w:rPr>
        <w:t xml:space="preserve">Source: </w:t>
      </w:r>
      <w:r>
        <w:t>Nature Electronics</w:t>
      </w:r>
      <w:r>
        <w:t xml:space="preserve">    </w:t>
      </w:r>
      <w:r>
        <w:rPr>
          <w:b/>
        </w:rPr>
        <w:t xml:space="preserve">Pub date: </w:t>
      </w:r>
      <w:r>
        <w:t>2026-06-24 00:00:00+00:00</w:t>
      </w:r>
      <w:r>
        <w:t xml:space="preserve">    </w:t>
      </w:r>
      <w:r>
        <w:rPr>
          <w:b/>
        </w:rPr>
        <w:t xml:space="preserve">DOI: </w:t>
      </w:r>
      <w:hyperlink r:id="rId749">
        <w:r>
          <w:rPr>
            <w:color w:val="1155CC"/>
            <w:u w:val="single"/>
          </w:rPr>
          <w:t>10.1038/s41928-026-01661-w</w:t>
        </w:r>
      </w:hyperlink>
    </w:p>
    <w:p>
      <w:pPr>
        <w:spacing w:before="0" w:after="120"/>
      </w:pPr>
      <w:r>
        <w:rPr>
          <w:b/>
        </w:rPr>
        <w:t xml:space="preserve">Notes: </w:t>
      </w:r>
      <w:r>
        <w:t>abstract_source=nature_html</w:t>
      </w:r>
    </w:p>
    <w:p>
      <w:pPr>
        <w:spacing w:before="0" w:after="80" w:lineRule="auto" w:line="276"/>
      </w:pPr>
      <w:r>
        <w:rPr>
          <w:b/>
        </w:rPr>
        <w:t xml:space="preserve">摘要（ZH）: </w:t>
      </w:r>
      <w:r>
        <w:t>可溶液加工的二维半导体可用于经济高效地制造大面积电子器件。然而，与使用高温化学气相沉积方法制备的二维材料相比，它们的电性能要低得多。在这里，我们报告了具有高迁移率值的晶圆级二维层状铜铟硒（CuIn5Se8）半导体的可溶液加工制造。空气稳定的基于溶液的墨水配方和薄膜组件允许在周围空气环境中沉积四英寸的 CuIn5Se8 薄膜。通过阐明可逆水吸附过程对电性能的影响，开发了适度退火步骤来消除表面水分子。由此产生的 CuIn5Se8 晶体管表现出 155 cm2 V−1 s−1 的平均电子迁移率和 107 的开/关比以及小的电流滞后。此外，强大的晶体管操作和较小的器件间差异使得能够将 100 多个晶体管集成到原型微处理器中，该微处理器可以以 2.2 kHz 的频率处理数字信号。</w:t>
      </w:r>
    </w:p>
    <w:p>
      <w:pPr>
        <w:spacing w:before="0" w:after="200" w:lineRule="auto" w:line="276"/>
      </w:pPr>
      <w:r>
        <w:rPr>
          <w:b/>
        </w:rPr>
        <w:t xml:space="preserve">Abstract (EN): </w:t>
      </w:r>
      <w:r>
        <w:t>Solution-processable two-dimensional semiconductors could be used for the cost-effective fabrication of large-area electronic devices. However, compared with two-dimensional materials made using high-temperature chemical vapour deposition methods, they exhibit much lower electrical performance. Here we report the solution-processable fabrication of wafer-scale two-dimensional layered copper indium selenide (CuIn5Se8) semiconductors with high mobility values. The air-stable solution-based ink formulation and film assembly allow four-inch CuIn5Se8 thin films to be deposited in the ambient air environment. By elucidating the impact of a reversible water adsorption process on electrical performance, a moderate annealing step is developed to eliminate surface water molecules. The resulting CuIn5Se8 transistors exhibit an average electron mobility of 155 cm2 V−1 s−1 and an on/off ratio of 107 with a small current hysteresis. Furthermore, the robust transistor operation and small device-to-device variation enable the integration of over 100 transistors into a prototypical microprocessor that can process digital signals at a frequency of 2.2 kHz.</w:t>
      </w:r>
    </w:p>
    <w:p>
      <w:pPr>
        <w:spacing w:before="120" w:after="120"/>
      </w:pPr>
      <w:r>
        <w:rPr>
          <w:sz w:val="18"/>
        </w:rPr>
        <w:t>——————————————————————————————————————————————————————————————————————</w:t>
      </w:r>
    </w:p>
    <w:p>
      <w:pPr>
        <w:spacing w:before="160" w:after="40" w:line="240" w:lineRule="auto"/>
      </w:pPr>
      <w:r>
        <w:rPr>
          <w:b/>
        </w:rPr>
        <w:t xml:space="preserve">[255] </w:t>
      </w:r>
      <w:hyperlink r:id="rId750">
        <w:r>
          <w:rPr>
            <w:color w:val="1155CC"/>
            <w:u w:val="single"/>
          </w:rPr>
          <w:t>甲磺酸在大气颗粒成核和生长中的作用</w:t>
        </w:r>
      </w:hyperlink>
    </w:p>
    <w:p>
      <w:pPr>
        <w:spacing w:before="0" w:after="80"/>
      </w:pPr>
      <w:r>
        <w:rPr>
          <w:i/>
          <w:sz w:val="20"/>
        </w:rPr>
        <w:t>EN: Role of methanesulfonic acid in atmospheric particle nucleation and growth</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51">
        <w:r>
          <w:rPr>
            <w:color w:val="1155CC"/>
            <w:u w:val="single"/>
          </w:rPr>
          <w:t>10.1038/s41586-026-10810-2</w:t>
        </w:r>
      </w:hyperlink>
    </w:p>
    <w:p>
      <w:pPr>
        <w:spacing w:before="0" w:after="120"/>
      </w:pPr>
      <w:r>
        <w:rPr>
          <w:b/>
        </w:rPr>
        <w:t xml:space="preserve">Notes: </w:t>
      </w:r>
      <w:r>
        <w:t>abstract_source=nature_html</w:t>
      </w:r>
    </w:p>
    <w:p>
      <w:pPr>
        <w:spacing w:before="0" w:after="80" w:lineRule="auto" w:line="276"/>
      </w:pPr>
      <w:r>
        <w:rPr>
          <w:b/>
        </w:rPr>
        <w:t xml:space="preserve">摘要（ZH）: </w:t>
      </w:r>
      <w:r>
        <w:t>来自海洋浮游植物的二甲硫醚 (DMS; CH3SCH3) 是大气硫的主要来源 1。其氧化产物包括硫酸 (SA; H2SO4) 和甲磺酸 (MSA; CH3SO3H)，在 10 °C 以下，甲磺酸的产量比 SA 更高 2。虽然已知 SA 会驱动新颗粒 3 的形成，这些颗粒随后可能生长并充当云凝结核 (CCN)，但 MSA 的作用仍不清楚4. 在此，在 CERN CLOUD（宇宙留下户外液滴）室的大气条件下进行的实验中，我们表明 MSA 在低于 -10 °C 的温度下与氨 (NH3) 一起成核，其速率与 SA-NH3 相当。此外，MSA和SA在-10℃以下协同成核，与NH3形成多酸分子簇。即使在超低 NH3 水平下，MSA 也能在低于 9 °C 和高于 40% 相对湿度 (RH) 的情况下驱动颗粒生长达到或接近动力学极限。由于 MSA 和 SA 在凉爽的海洋区域通常以相似的浓度共存，因此我们的研究结果表明，与单独使用 SA-NH3 相比，成核速率可能加快十倍，生长速率可能加快两倍。我们的全球模型模拟表明，MSA 可以提高 CCN 浓度，特别是在极地地区。我们认为，MSA 可能是当今和工业化前大气中凉爽、原始海洋区域生物颗粒的重要驱动因素，但在全球气候模型中却未被考虑到 5。</w:t>
      </w:r>
    </w:p>
    <w:p>
      <w:pPr>
        <w:spacing w:before="0" w:after="200" w:lineRule="auto" w:line="276"/>
      </w:pPr>
      <w:r>
        <w:rPr>
          <w:b/>
        </w:rPr>
        <w:t xml:space="preserve">Abstract (EN): </w:t>
      </w:r>
      <w:r>
        <w:t>Dimethylsulfide (DMS; CH3SCH3) from marine phytoplankton is a major source of atmospheric sulfur 1. Its oxidation products include sulfuric acid (SA; H2SO4) and methanesulfonic acid (MSA; CH3SO3H), which has a higher yield than SA below 10 °C 2. Whereas SA is known to drive the formation of new particles 3, which may subsequently grow and act as cloud condensation nuclei (CCN), the role of MSA remains unclear 4. Here, in experiments performed under atmospheric conditions at the CERN CLOUD (Cosmics Leaving OUtdoor Droplets) chamber, we show that MSA nucleates together with ammonia (NH3) below −10 °C, at rates comparable to SA-NH3. Moreover, MSA and SA nucleate synergistically below −10 °C, forming multi-acid molecular clusters with NH3. Even at ultra-low NH3 levels, MSA drives particle growth at or near the kinetic limit below 9 °C and above 40 % relative humidity (RH). Since MSA and SA generally coexist at similar concentrations in cool marine regions, our findings indicate that nucleation rates may be accelerated up to tenfold and growth rates up to twofold compared with SA-NH3 alone. Our global model simulations indicate that MSA can enhance CCN concentrations, especially in polar regions. We propose that MSA might be an important driver of biogenic particles in cool, pristine marine regions of both the present-day and pre-industrial atmospheres, and yet is unaccounted for in global climate models 5.</w:t>
      </w:r>
    </w:p>
    <w:p>
      <w:pPr>
        <w:spacing w:before="120" w:after="120"/>
      </w:pPr>
      <w:r>
        <w:rPr>
          <w:sz w:val="18"/>
        </w:rPr>
        <w:t>——————————————————————————————————————————————————————————————————————</w:t>
      </w:r>
    </w:p>
    <w:p>
      <w:pPr>
        <w:spacing w:before="160" w:after="40" w:line="240" w:lineRule="auto"/>
      </w:pPr>
      <w:r>
        <w:rPr>
          <w:b/>
        </w:rPr>
        <w:t xml:space="preserve">[256] </w:t>
      </w:r>
      <w:hyperlink r:id="rId752">
        <w:r>
          <w:rPr>
            <w:color w:val="1155CC"/>
            <w:u w:val="single"/>
          </w:rPr>
          <w:t>通过神经迭代选择扩展零次设计药物结合蛋白</w:t>
        </w:r>
      </w:hyperlink>
    </w:p>
    <w:p>
      <w:pPr>
        <w:spacing w:before="0" w:after="80"/>
      </w:pPr>
      <w:r>
        <w:rPr>
          <w:i/>
          <w:sz w:val="20"/>
        </w:rPr>
        <w:t>EN: Zero-shot design of drug-binding proteins via neural iterative selection−expansion</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53">
        <w:r>
          <w:rPr>
            <w:color w:val="1155CC"/>
            <w:u w:val="single"/>
          </w:rPr>
          <w:t>10.1038/s41586-026-10670-w</w:t>
        </w:r>
      </w:hyperlink>
    </w:p>
    <w:p>
      <w:pPr>
        <w:spacing w:before="0" w:after="120"/>
      </w:pPr>
      <w:r>
        <w:rPr>
          <w:b/>
        </w:rPr>
        <w:t xml:space="preserve">Notes: </w:t>
      </w:r>
      <w:r>
        <w:t>abstract_source=nature_html</w:t>
      </w:r>
    </w:p>
    <w:p>
      <w:pPr>
        <w:spacing w:before="0" w:after="80" w:lineRule="auto" w:line="276"/>
      </w:pPr>
      <w:r>
        <w:rPr>
          <w:b/>
        </w:rPr>
        <w:t xml:space="preserve">摘要（ZH）: </w:t>
      </w:r>
      <w:r>
        <w:t>与小分子结合的蛋白质的设计一直具有挑战性，因为它需要同时优化蛋白质序列、蛋白质结构和配体构象1,2,3,4,5,6,7。当前的深度学习算法一直在努力应对这种情况，排除了绑定器的零样本设计。在这里，我们展示了通过在迭代设计算法中结合两个神经网络，可以从头开始高精度地创建小分子结合蛋白。我们训练了一个图神经网络——配体感知序列工程消息传递神经网络（LASErMPNN）——为输入蛋白质骨架和对接配体设计兼容的蛋白质序列。我们将 LASErMPNN 与结构预测器配对，该结构预测器针对输入蛋白质序列和配体身份对三维蛋白质-配体复合物进行建模。这些互易网络的闭环迭代优化了序列-结构-配体兼容性，并且优于使用基于物理的能量函数的类似设计循环。我们使用称为神经迭代选择扩展 (NISE) 的策略来设计蛋白质，这些蛋白质使用不同的折叠，特异性结合两种化学上不同的小分子药物：exatecan 和 apixaban，成功率分别为 100% 和 83%。最紧密的 NISE 结合物具有纳摩尔至皮摩尔的亲和力，对于 exatecan 来说是第二领先方法的 70 倍，对于阿哌沙班来说是近 10,000 倍。 LASErMPNN 随后提出了两个氨基酸取代，无需任何实验即可将最紧密的 exatecan 结合剂的亲和力提高 100 倍</w:t>
      </w:r>
    </w:p>
    <w:p>
      <w:pPr>
        <w:spacing w:before="0" w:after="200" w:lineRule="auto" w:line="276"/>
      </w:pPr>
      <w:r>
        <w:rPr>
          <w:b/>
        </w:rPr>
        <w:t xml:space="preserve">Abstract (EN): </w:t>
      </w:r>
      <w:r>
        <w:t>The design of proteins that bind to small molecules has been challenging because it requires simultaneous optimization of the protein sequence, protein structure and ligand conformation1,2,3,4,5,6,7. Current deep-learning algorithms have struggled to navigate this landscape, precluding the zero-shot design of binders. Here we show that by combining two neural networks in an iterative design algorithm, small-molecule binding proteins can be created from scratch with high accuracy. We trained a graph neural network—ligand-aware sequence engineering message-passing neural network (LASErMPNN)—to design compatible protein sequences for an input protein backbone and docked ligand. We paired LASErMPNN with a structure predictor that models a three-dimensional protein–ligand complex for an input protein sequence and ligand identity. The closed-loop iteration of these reciprocal networks optimized sequence–structure–ligand compatibility, and outperformed a comparable design loop using a physics-based energy function. We used our strategy, termed neural iterative selection–expansion (NISE), to design proteins that, using different folds, specifically bind to two chemically distinct small-molecule drugs, exatecan and apixaban, with success rates of 100% and 83%, respectively. The tightest NISE binders had nanomolar-to-picomolar affinities, surpassing those of the next-leading method by 70-fold for exatecan and nearly 10,000-fold for apixaban. LASErMPNN then suggested two amino-acid substitutions that improved the affinity of the tightest exatecan binder by 100-fold without any experimental input. The optimized binder protected the labile lactone ring of exatecan from hydrolysis for days. Our work describes a general recipe for using neural networks to automate the design of small-molecule binding proteins for applications in drug delivery, sensing and catalysis.</w:t>
      </w:r>
    </w:p>
    <w:p>
      <w:pPr>
        <w:spacing w:before="120" w:after="120"/>
      </w:pPr>
      <w:r>
        <w:rPr>
          <w:sz w:val="18"/>
        </w:rPr>
        <w:t>——————————————————————————————————————————————————————————————————————</w:t>
      </w:r>
    </w:p>
    <w:p>
      <w:pPr>
        <w:spacing w:before="160" w:after="40" w:line="240" w:lineRule="auto"/>
      </w:pPr>
      <w:r>
        <w:rPr>
          <w:b/>
        </w:rPr>
        <w:t xml:space="preserve">[257] </w:t>
      </w:r>
      <w:hyperlink r:id="rId754">
        <w:r>
          <w:rPr>
            <w:color w:val="1155CC"/>
            <w:u w:val="single"/>
          </w:rPr>
          <w:t>膳食胆固醇激活 Ral 依赖性途径，驱动 LDLR 周转</w:t>
        </w:r>
      </w:hyperlink>
    </w:p>
    <w:p>
      <w:pPr>
        <w:spacing w:before="0" w:after="80"/>
      </w:pPr>
      <w:r>
        <w:rPr>
          <w:i/>
          <w:sz w:val="20"/>
        </w:rPr>
        <w:t>EN: Dietary cholesterol activates a Ral-dependent pathway driving LDLR turnover</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55">
        <w:r>
          <w:rPr>
            <w:color w:val="1155CC"/>
            <w:u w:val="single"/>
          </w:rPr>
          <w:t>10.1038/s41586-026-10697-z</w:t>
        </w:r>
      </w:hyperlink>
    </w:p>
    <w:p>
      <w:pPr>
        <w:spacing w:before="0" w:after="120"/>
      </w:pPr>
      <w:r>
        <w:rPr>
          <w:b/>
        </w:rPr>
        <w:t xml:space="preserve">Notes: </w:t>
      </w:r>
      <w:r>
        <w:t>abstract_source=nature_html</w:t>
      </w:r>
    </w:p>
    <w:p>
      <w:pPr>
        <w:spacing w:before="0" w:after="80" w:lineRule="auto" w:line="276"/>
      </w:pPr>
      <w:r>
        <w:rPr>
          <w:b/>
        </w:rPr>
        <w:t xml:space="preserve">摘要（ZH）: </w:t>
      </w:r>
      <w:r>
        <w:t>肝脏低密度脂蛋白受体 (LDLR) 的代谢是胆固醇稳态的关键决定因素1,2。协调 LDLR 运输和周转以响应营养信号（包括高膳食胆固醇）的分子开关仍然不明确3,4,5,6。在这里，我们确定了一条受 Ral GTPases 调节的新途径，该途径将细胞外胆固醇信号与控制 LDLR 周转的细胞内运输机制联系起来。长期膳食胆固醇通过增加 RAS 活性、将 LDLR 传送至溶酶体进行降解并独立于转录调控或 PCSK9 抑制其循环来激活 Ral 蛋白。通过肝细胞中 RalGAPB 缺失或组成型活性 Ral 突变体的过度表达来组成型激活 Ral，可降低 LDLR 水平并损害胆固醇清除率。 Ral 与内吞 RalBP1-REPS1 复合物结合，促进 LDLR 内化和溶酶体路径，其中 LDLR 被溶酶体蛋白酶组织蛋白酶 A (CTSA) 降解。 Ral 激活将 CTSA 引导至溶酶体成熟，同时限制其分泌，进一步促进溶酶体中 LDLR 的降解。该途径中的遗传变异与人类胆固醇的改变显着相关。 CTSA 活性的药理学抑制可增加肝脏 LDLR 功能并改善胆固醇清除率，为高胆固醇血症和心血管疾病提供潜在的新治疗策略。</w:t>
      </w:r>
    </w:p>
    <w:p>
      <w:pPr>
        <w:spacing w:before="0" w:after="200" w:lineRule="auto" w:line="276"/>
      </w:pPr>
      <w:r>
        <w:rPr>
          <w:b/>
        </w:rPr>
        <w:t xml:space="preserve">Abstract (EN): </w:t>
      </w:r>
      <w:r>
        <w:t>Metabolism of the hepatic low-density lipoprotein receptor (LDLR) is a key determinant of cholesterol homeostasis1,2. The molecular switches that coordinate LDLR trafficking and turnover in response to nutritional cues, including high dietary cholesterol, remain poorly defined3,4,5,6. Here we identify a new pathway regulated by Ral GTPases that links extracellular cholesterol signals to the intracellular trafficking machinery controlling LDLR turnover. Chronic dietary cholesterol activates the Ral proteins by increasing RAS activity, routing LDLR to lysosomes for degradation and inhibiting its recycling independently of transcriptional regulation or PCSK9. Constitutive activation of Ral via RalGAPB deletion or overexpression of constitutively active Ral mutants in hepatocytes reduces LDLR levels and impairs cholesterol clearance. Ral engages the endocytic RalBP1–REPS1 complex to promote LDLR internalization and lysosomal routing, where LDLR is degraded by the lysosomal protease cathepsin A (CTSA). Ral activation directs CTSA towards lysosomes for maturation while limiting its secretion, further promoting LDLR degradation in lysosomes. Genetic variants in this pathway significantly associate with altered cholesterol in humans. Pharmacological inhibition of CTSA activity increases hepatic LDLR function and improves cholesterol clearance, offering a potential new therapeutic strategy for hypercholesterolaemia and cardiovascular disease.</w:t>
      </w:r>
    </w:p>
    <w:p>
      <w:pPr>
        <w:spacing w:before="120" w:after="120"/>
      </w:pPr>
      <w:r>
        <w:rPr>
          <w:sz w:val="18"/>
        </w:rPr>
        <w:t>——————————————————————————————————————————————————————————————————————</w:t>
      </w:r>
    </w:p>
    <w:p>
      <w:pPr>
        <w:spacing w:before="160" w:after="40" w:line="240" w:lineRule="auto"/>
      </w:pPr>
      <w:r>
        <w:rPr>
          <w:b/>
        </w:rPr>
        <w:t xml:space="preserve">[258] </w:t>
      </w:r>
      <w:hyperlink r:id="rId756">
        <w:r>
          <w:rPr>
            <w:color w:val="1155CC"/>
            <w:u w:val="single"/>
          </w:rPr>
          <w:t>气候变化下提高作物营养价值的基因技术</w:t>
        </w:r>
      </w:hyperlink>
    </w:p>
    <w:p>
      <w:pPr>
        <w:spacing w:before="0" w:after="80"/>
      </w:pPr>
      <w:r>
        <w:rPr>
          <w:i/>
          <w:sz w:val="20"/>
        </w:rPr>
        <w:t>EN: Genetic technologies to enhance crop nutritional value under climate change</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57">
        <w:r>
          <w:rPr>
            <w:color w:val="1155CC"/>
            <w:u w:val="single"/>
          </w:rPr>
          <w:t>10.1038/s41586-026-10593-6</w:t>
        </w:r>
      </w:hyperlink>
    </w:p>
    <w:p>
      <w:pPr>
        <w:spacing w:before="0" w:after="120"/>
      </w:pPr>
      <w:r>
        <w:rPr>
          <w:b/>
        </w:rPr>
        <w:t xml:space="preserve">Notes: </w:t>
      </w:r>
      <w:r>
        <w:t>abstract_source=nature_html</w:t>
      </w:r>
    </w:p>
    <w:p>
      <w:pPr>
        <w:spacing w:before="0" w:after="80" w:lineRule="auto" w:line="276"/>
      </w:pPr>
      <w:r>
        <w:rPr>
          <w:b/>
        </w:rPr>
        <w:t xml:space="preserve">摘要（ZH）: </w:t>
      </w:r>
      <w:r>
        <w:t>目前，超过7亿人生活在热量饥饿之中，超过20亿人缺乏微量营养素，即所谓的“隐性饥饿”。从农业角度来看，实现零饥饿（联合国可持续发展目标2）需要同时实现三大目标：（1）提高产量； (2) 更高的维生素和矿物质密度，以维持推荐的每日摄入量（多重生物强化）； (3) 增强气候变化抵御能力。尽管绿色革命增加了全球卡路里产量，但由于优先考虑高产量而不是营养质量，从而加剧了隐性饥饿。全球气候变化带来的压力已被证明会降低几种微量营养素的密度。 CRISPR-Cas能够以极高的精度进行基因组编辑，已成为一项突破性的育种技术，已被许多国家采用。在这里，我们研究如何使用基于 CRISPR-Cas 的方法通过将微量营养素密度提高到缓解膳食维生素和矿物质缺乏所需的水平来实现生物强化目标。鉴于实现零饥饿的时间有限，我们认为 CRISPR-Cas 技术应与基于转化和其他技术的代谢工程相结合。我们还考虑代谢途径和当前 CRISPR-Cas 方法之外的未开发资源，以解决二十一世纪最重要的社会问题之一。</w:t>
      </w:r>
    </w:p>
    <w:p>
      <w:pPr>
        <w:spacing w:before="0" w:after="200" w:lineRule="auto" w:line="276"/>
      </w:pPr>
      <w:r>
        <w:rPr>
          <w:b/>
        </w:rPr>
        <w:t xml:space="preserve">Abstract (EN): </w:t>
      </w:r>
      <w:r>
        <w:t>At present, more than 700 million people live with caloric hunger, and more than two billion suffer from micronutrient deficiencies, known as ‘hidden hunger’. From an agricultural viewpoint, three major objectives need to be worked towards simultaneously to achieve zero hunger (the United Nations Sustainable Development Goal 2): (1) enhanced yield; (2) higher vitamin and mineral density to sustain recommended daily intake (multi-biofortification); and (3) enhanced climate-change resilience. Although the Green Revolution increased global calorie production, it exacerbated hidden hunger by prioritizing high yield over nutritional quality. Stress from global climate change has been shown to reduce the densities of several micronutrients. CRISPR–Cas, which allows genome editing with extremely high precision, has emerged as a groundbreaking breeding technology that has already been adopted by many countries. Here we examine how CRISPR–Cas-based approaches could be used to achieve biofortification targets by enhancing micronutrient densities to the levels necessary to alleviate dietary vitamin and mineral deficiencies. Given the limited time frame available to achieve zero hunger, we argue that CRISPR–Cas technologies should be combined with metabolic engineering based on transformation and other technologies. We also consider untapped resources beyond metabolic pathways and current CRISPR–Cas methodologies to address one of the most important societal issues of the twenty-first century.</w:t>
      </w:r>
    </w:p>
    <w:p>
      <w:pPr>
        <w:spacing w:before="120" w:after="120"/>
      </w:pPr>
      <w:r>
        <w:rPr>
          <w:sz w:val="18"/>
        </w:rPr>
        <w:t>——————————————————————————————————————————————————————————————————————</w:t>
      </w:r>
    </w:p>
    <w:p>
      <w:pPr>
        <w:spacing w:before="160" w:after="40" w:line="240" w:lineRule="auto"/>
      </w:pPr>
      <w:r>
        <w:rPr>
          <w:b/>
        </w:rPr>
        <w:t xml:space="preserve">[259] </w:t>
      </w:r>
      <w:hyperlink r:id="rId758">
        <w:r>
          <w:rPr>
            <w:color w:val="1155CC"/>
            <w:u w:val="single"/>
          </w:rPr>
          <w:t>STING 诱导免疫的突变景观</w:t>
        </w:r>
      </w:hyperlink>
    </w:p>
    <w:p>
      <w:pPr>
        <w:spacing w:before="0" w:after="80"/>
      </w:pPr>
      <w:r>
        <w:rPr>
          <w:i/>
          <w:sz w:val="20"/>
        </w:rPr>
        <w:t>EN: The mutational landscape of STING-induced immunity</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59">
        <w:r>
          <w:rPr>
            <w:color w:val="1155CC"/>
            <w:u w:val="single"/>
          </w:rPr>
          <w:t>10.1038/s41586-026-10685-3</w:t>
        </w:r>
      </w:hyperlink>
    </w:p>
    <w:p>
      <w:pPr>
        <w:spacing w:before="0" w:after="120"/>
      </w:pPr>
      <w:r>
        <w:rPr>
          <w:b/>
        </w:rPr>
        <w:t xml:space="preserve">Notes: </w:t>
      </w:r>
      <w:r>
        <w:t>abstract_source=nature_html</w:t>
      </w:r>
    </w:p>
    <w:p>
      <w:pPr>
        <w:spacing w:before="0" w:after="80" w:lineRule="auto" w:line="276"/>
      </w:pPr>
      <w:r>
        <w:rPr>
          <w:b/>
        </w:rPr>
        <w:t xml:space="preserve">摘要（ZH）: </w:t>
      </w:r>
      <w:r>
        <w:t>干扰素基因刺激物 (STING) 是一种进化保守的免疫信号蛋白，在宿主防御、癌症、衰老和炎症中发挥关键作用1,2,3。 STING 下游、I 型干扰素、炎症细胞因子信号传导和非典型自噬受多层机制的控制，该机制整合了配体诱导的结构转变、蛋白质-蛋白质相互作用和协调的细胞内运输4,5,6,7,8,9,10,11,12,13。尽管它在免疫中发挥着核心作用并作为治疗靶标14，但控制细胞中 STING（不）激活的序列元件仍不完全清楚。在这里，我们开发了一种大规模并行分析来系统地绘制 STING 的序列功能图谱。通过分析数千个单一氨基酸变体，我们确定了影响 STING 免疫刺激能力及其将配体识别转化为不同信号输出的能力的结构和功能决定因素。选择 STING 高度活跃变体的低温电子显微镜结构揭示了新的调控原则，决定了 STING 从非活性状态到信号传导状态的构象转变。突变效应在整个功能领域广泛存在，可以使 STING 对天然配体 2'3'-cGAMP15,16,17,18 敏感，或将干扰素诱导与非典型自噬解耦，从而证明可以通过单点替换获得多种可能的反应。最后，我们的数据显示了自然发生的 STING 蛋白变体的临床和进化相关性。 C</w:t>
      </w:r>
    </w:p>
    <w:p>
      <w:pPr>
        <w:spacing w:before="0" w:after="200" w:lineRule="auto" w:line="276"/>
      </w:pPr>
      <w:r>
        <w:rPr>
          <w:b/>
        </w:rPr>
        <w:t xml:space="preserve">Abstract (EN): </w:t>
      </w:r>
      <w:r>
        <w:t>Stimulator of interferon genes (STING) is an evolutionary conserved immune signalling protein with key roles in host defence, cancer, senescence and inflammation1,2,3. Downstream of STING, type I interferon, inflammatory cytokine signalling and non-canonical autophagy are governed by a multilayered mechanism integrating ligand-induced structural transitions, protein–protein interactions and coordinated intracellular trafficking4,5,6,7,8,9,10,11,12,13. Despite its central role in immunity and relevance as therapeutic target14, the sequence elements that govern STING (in)activation in cells remain incompletely understood. Here we developed a massively parallel assay to systematically chart the sequence-function landscape of STING. Profiling thousands of single amino-acid variants, we identified structural and functional determinants that shape the immunostimulatory capacity of STING and its ability to translate ligand recognition into distinct signalling outputs. Cryogenic-electron microscopy structures of select STING hyperactive variants revealed new regulatory principles dictating conformational transition from inactive to signalling-competent states of STING. Mutational effects are widespread across the functional landscape and can sensitize STING towards the natural ligand 2′3′-cGAMP15,16,17,18 or decouple interferon induction from non-canonical autophagy, demonstrating a diversity of possible responses that can be accessed through single point substitutions. Finally, our data showed the clinical and evolutionary relevance of naturally occurring STING protein variants. Collectively, these findings define molecular principles that tune STING activity and chart the landscape of its functional potential across immune contexts.</w:t>
      </w:r>
    </w:p>
    <w:p>
      <w:pPr>
        <w:spacing w:before="120" w:after="120"/>
      </w:pPr>
      <w:r>
        <w:rPr>
          <w:sz w:val="18"/>
        </w:rPr>
        <w:t>——————————————————————————————————————————————————————————————————————</w:t>
      </w:r>
    </w:p>
    <w:p>
      <w:pPr>
        <w:spacing w:before="160" w:after="40" w:line="240" w:lineRule="auto"/>
      </w:pPr>
      <w:r>
        <w:rPr>
          <w:b/>
        </w:rPr>
        <w:t xml:space="preserve">[260] </w:t>
      </w:r>
      <w:hyperlink r:id="rId760">
        <w:r>
          <w:rPr>
            <w:color w:val="1155CC"/>
            <w:u w:val="single"/>
          </w:rPr>
          <w:t>火山岩浆在海底雕刻出怪异的圆顶</w:t>
        </w:r>
      </w:hyperlink>
    </w:p>
    <w:p>
      <w:pPr>
        <w:spacing w:before="0" w:after="80"/>
      </w:pPr>
      <w:r>
        <w:rPr>
          <w:i/>
          <w:sz w:val="20"/>
        </w:rPr>
        <w:t>EN: Volcanic magma sculpts eerie domes on the sea floor</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61">
        <w:r>
          <w:rPr>
            <w:color w:val="1155CC"/>
            <w:u w:val="single"/>
          </w:rPr>
          <w:t>10.1038/d41586-026-01986-8</w:t>
        </w:r>
      </w:hyperlink>
    </w:p>
    <w:p>
      <w:pPr>
        <w:spacing w:before="0" w:after="120"/>
      </w:pPr>
      <w:r>
        <w:rPr>
          <w:b/>
        </w:rPr>
        <w:t xml:space="preserve">Notes: </w:t>
      </w:r>
      <w:r>
        <w:t>abstract_source=nature_html</w:t>
      </w:r>
    </w:p>
    <w:p>
      <w:pPr>
        <w:spacing w:before="0" w:after="80" w:lineRule="auto" w:line="276"/>
      </w:pPr>
      <w:r>
        <w:rPr>
          <w:b/>
        </w:rPr>
        <w:t xml:space="preserve">摘要（ZH）: </w:t>
      </w:r>
      <w:r>
        <w:t>从地下物质中冒出的二氧化碳可以凝固成高达五米的地层。从地下物质中冒出的二氧化碳可以凝固成高达五米的地层。</w:t>
      </w:r>
    </w:p>
    <w:p>
      <w:pPr>
        <w:spacing w:before="0" w:after="200" w:lineRule="auto" w:line="276"/>
      </w:pPr>
      <w:r>
        <w:rPr>
          <w:b/>
        </w:rPr>
        <w:t xml:space="preserve">Abstract (EN): </w:t>
      </w:r>
      <w:r>
        <w:t>Carbon dioxide bubbling up from underground material can solidify into formations of up to five metres tall. Carbon dioxide bubbling up from underground material can solidify into formations of up to five metres tall.</w:t>
      </w:r>
    </w:p>
    <w:p>
      <w:pPr>
        <w:spacing w:before="120" w:after="120"/>
      </w:pPr>
      <w:r>
        <w:rPr>
          <w:sz w:val="18"/>
        </w:rPr>
        <w:t>——————————————————————————————————————————————————————————————————————</w:t>
      </w:r>
    </w:p>
    <w:p>
      <w:pPr>
        <w:spacing w:before="160" w:after="40" w:line="240" w:lineRule="auto"/>
      </w:pPr>
      <w:r>
        <w:rPr>
          <w:b/>
        </w:rPr>
        <w:t xml:space="preserve">[261] </w:t>
      </w:r>
      <w:hyperlink r:id="rId762">
        <w:r>
          <w:rPr>
            <w:color w:val="1155CC"/>
            <w:u w:val="single"/>
          </w:rPr>
          <w:t>人工智能工具发现可对抗耐药性淋病的抗生素</w:t>
        </w:r>
      </w:hyperlink>
    </w:p>
    <w:p>
      <w:pPr>
        <w:spacing w:before="0" w:after="80"/>
      </w:pPr>
      <w:r>
        <w:rPr>
          <w:i/>
          <w:sz w:val="20"/>
        </w:rPr>
        <w:t>EN: AI tool spots antibiotics that fight drug-resistant gonorrhoea</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63">
        <w:r>
          <w:rPr>
            <w:color w:val="1155CC"/>
            <w:u w:val="single"/>
          </w:rPr>
          <w:t>10.1038/d41586-026-01987-7</w:t>
        </w:r>
      </w:hyperlink>
    </w:p>
    <w:p>
      <w:pPr>
        <w:spacing w:before="0" w:after="120"/>
      </w:pPr>
      <w:r>
        <w:rPr>
          <w:b/>
        </w:rPr>
        <w:t xml:space="preserve">Notes: </w:t>
      </w:r>
      <w:r>
        <w:t>abstract_source=nature_html</w:t>
      </w:r>
    </w:p>
    <w:p>
      <w:pPr>
        <w:spacing w:before="0" w:after="80" w:lineRule="auto" w:line="276"/>
      </w:pPr>
      <w:r>
        <w:rPr>
          <w:b/>
        </w:rPr>
        <w:t xml:space="preserve">摘要（ZH）: </w:t>
      </w:r>
      <w:r>
        <w:t>淋病奈瑟氏菌已经对大多数用于治疗它的抗生素产生了耐药性，但机器学习屏幕揭示了潜在的治疗方法。淋病奈瑟氏菌已经对大多数用于治疗它的抗生素产生了耐药性，但机器学习屏幕揭示了潜在的治疗方法。</w:t>
      </w:r>
    </w:p>
    <w:p>
      <w:pPr>
        <w:spacing w:before="0" w:after="200" w:lineRule="auto" w:line="276"/>
      </w:pPr>
      <w:r>
        <w:rPr>
          <w:b/>
        </w:rPr>
        <w:t xml:space="preserve">Abstract (EN): </w:t>
      </w:r>
      <w:r>
        <w:t>The bacterium Neisseria gonorrhoeae has evolved resistance to most antibiotics used to treat it, but a machine-learning screen reveals potential therapies. The bacterium Neisseria gonorrhoeae has evolved resistance to most antibiotics used to treat it, but a machine-learning screen reveals potential therapies.</w:t>
      </w:r>
    </w:p>
    <w:p>
      <w:pPr>
        <w:spacing w:before="120" w:after="120"/>
      </w:pPr>
      <w:r>
        <w:rPr>
          <w:sz w:val="18"/>
        </w:rPr>
        <w:t>——————————————————————————————————————————————————————————————————————</w:t>
      </w:r>
    </w:p>
    <w:p>
      <w:pPr>
        <w:spacing w:before="160" w:after="40" w:line="240" w:lineRule="auto"/>
      </w:pPr>
      <w:r>
        <w:rPr>
          <w:b/>
        </w:rPr>
        <w:t xml:space="preserve">[262] </w:t>
      </w:r>
      <w:hyperlink r:id="rId764">
        <w:r>
          <w:rPr>
            <w:color w:val="1155CC"/>
            <w:u w:val="single"/>
          </w:rPr>
          <w:t>人工智能训练数据漏洞可能会泄露医疗记录</w:t>
        </w:r>
      </w:hyperlink>
    </w:p>
    <w:p>
      <w:pPr>
        <w:spacing w:before="0" w:after="80"/>
      </w:pPr>
      <w:r>
        <w:rPr>
          <w:i/>
          <w:sz w:val="20"/>
        </w:rPr>
        <w:t>EN: Medical records could be revealed by AI training-data vulnerability</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65">
        <w:r>
          <w:rPr>
            <w:color w:val="1155CC"/>
            <w:u w:val="single"/>
          </w:rPr>
          <w:t>10.1038/d41586-026-02032-3</w:t>
        </w:r>
      </w:hyperlink>
    </w:p>
    <w:p>
      <w:pPr>
        <w:spacing w:before="0" w:after="120"/>
      </w:pPr>
      <w:r>
        <w:rPr>
          <w:b/>
        </w:rPr>
        <w:t xml:space="preserve">Notes: </w:t>
      </w:r>
      <w:r>
        <w:t>abstract_source=nature_html</w:t>
      </w:r>
    </w:p>
    <w:p>
      <w:pPr>
        <w:spacing w:before="0" w:after="80" w:lineRule="auto" w:line="276"/>
      </w:pPr>
      <w:r>
        <w:rPr>
          <w:b/>
        </w:rPr>
        <w:t xml:space="preserve">摘要（ZH）: </w:t>
      </w:r>
      <w:r>
        <w:t>对于训练数据中代表性不足的群体来说，识别风险更为严重，而且有证据表明宇宙比假设的更加不均匀。聆听科学界最伟大的故事 | 2026 年 6 月 24 日</w:t>
      </w:r>
    </w:p>
    <w:p>
      <w:pPr>
        <w:spacing w:before="0" w:after="200" w:lineRule="auto" w:line="276"/>
      </w:pPr>
      <w:r>
        <w:rPr>
          <w:b/>
        </w:rPr>
        <w:t xml:space="preserve">Abstract (EN): </w:t>
      </w:r>
      <w:r>
        <w:t>Identification risks are more severe for underrepresented groups in the training data — plus, evidence that the Universe is more uneven than assumed. Hear the biggest stories from the world of science | 24 June 2026</w:t>
      </w:r>
    </w:p>
    <w:p>
      <w:pPr>
        <w:spacing w:before="120" w:after="120"/>
      </w:pPr>
      <w:r>
        <w:rPr>
          <w:sz w:val="18"/>
        </w:rPr>
        <w:t>——————————————————————————————————————————————————————————————————————</w:t>
      </w:r>
    </w:p>
    <w:p>
      <w:pPr>
        <w:spacing w:before="160" w:after="40" w:line="240" w:lineRule="auto"/>
      </w:pPr>
      <w:r>
        <w:rPr>
          <w:b/>
        </w:rPr>
        <w:t xml:space="preserve">[263] </w:t>
      </w:r>
      <w:hyperlink r:id="rId766">
        <w:r>
          <w:rPr>
            <w:color w:val="1155CC"/>
            <w:u w:val="single"/>
          </w:rPr>
          <w:t>关于通过传输进行拓扑间隙检测的鲁棒性</w:t>
        </w:r>
      </w:hyperlink>
    </w:p>
    <w:p>
      <w:pPr>
        <w:spacing w:before="0" w:after="80"/>
      </w:pPr>
      <w:r>
        <w:rPr>
          <w:i/>
          <w:sz w:val="20"/>
        </w:rPr>
        <w:t>EN: On the robustness of topological gap detection via transport</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67">
        <w:r>
          <w:rPr>
            <w:color w:val="1155CC"/>
            <w:u w:val="single"/>
          </w:rPr>
          <w:t>10.1038/s41586-026-10567-8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[264] </w:t>
      </w:r>
      <w:hyperlink r:id="rId768">
        <w:r>
          <w:rPr>
            <w:color w:val="1155CC"/>
            <w:u w:val="single"/>
          </w:rPr>
          <w:t>附录：MPXV 从火足绳松鼠到黑白眉猴的传播</w:t>
        </w:r>
      </w:hyperlink>
    </w:p>
    <w:p>
      <w:pPr>
        <w:spacing w:before="0" w:after="80"/>
      </w:pPr>
      <w:r>
        <w:rPr>
          <w:i/>
          <w:sz w:val="20"/>
        </w:rPr>
        <w:t>EN: Addendum: Transmission of MPXV from fire-footed rope squirrels to sooty mangabeys</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69">
        <w:r>
          <w:rPr>
            <w:color w:val="1155CC"/>
            <w:u w:val="single"/>
          </w:rPr>
          <w:t>10.1038/s41586-026-10767-2</w:t>
        </w:r>
      </w:hyperlink>
    </w:p>
    <w:p>
      <w:pPr>
        <w:spacing w:before="0" w:after="120"/>
      </w:pPr>
      <w:r>
        <w:rPr>
          <w:b/>
        </w:rPr>
        <w:t xml:space="preserve">Notes: </w:t>
      </w:r>
      <w:r>
        <w:t>abstract_source=openalex</w:t>
      </w:r>
    </w:p>
    <w:p>
      <w:pPr>
        <w:spacing w:before="0" w:after="80" w:lineRule="auto" w:line="276"/>
      </w:pPr>
      <w:r>
        <w:rPr>
          <w:b/>
        </w:rPr>
        <w:t xml:space="preserve">摘要（ZH）: </w:t>
      </w:r>
      <w:r>
        <w:t>在《自然》杂志的论文中，我们发现了 MPXV 从火足绳松鼠 (F.pyrropus) 传播到乌白眉猴的过程。最近的一项研究表明，西非火足绳松鼠种群已进化为一个单独的物种，名为 F. leucostigma（参考文献 1）。我们同意这一提议，并报告说，线粒体基因组系统发育将火脚绳松鼠置于我们的研究中的新分类群中。这一分类学修订尚未被主要参考数据库广泛采用，因此我们在文章中保留了目前占主导地位的命名法（所有种群的单一物种名称：F.pyrropus）。</w:t>
      </w:r>
    </w:p>
    <w:p>
      <w:pPr>
        <w:spacing w:before="0" w:after="200" w:lineRule="auto" w:line="276"/>
      </w:pPr>
      <w:r>
        <w:rPr>
          <w:b/>
        </w:rPr>
        <w:t xml:space="preserve">Abstract (EN): </w:t>
      </w:r>
      <w:r>
        <w:t>In our Nature paper we identified transmission of MPXV from a fire-footed rope squirrel ( F. pyrropus ) to sooty mangabeys. A recent study suggested the elevation of West African populations of fire-footed rope squirrel to a separate species under the name F. leucostigma (ref. 1 ). We agree with this proposal and report that a mitogenomic phylogeny places the fire-footed rope squirrel in our study in the new taxon. This taxonomic revision has not yet been broadly adopted by major reference databases, so we retained the currently predominant nomenclature (a single species name for all populations: F. pyrropus ) in our article.</w:t>
      </w:r>
    </w:p>
    <w:p>
      <w:pPr>
        <w:spacing w:before="120" w:after="120"/>
      </w:pPr>
      <w:r>
        <w:rPr>
          <w:sz w:val="18"/>
        </w:rPr>
        <w:t>——————————————————————————————————————————————————————————————————————</w:t>
      </w:r>
    </w:p>
    <w:p>
      <w:pPr>
        <w:spacing w:before="160" w:after="40" w:line="240" w:lineRule="auto"/>
      </w:pPr>
      <w:r>
        <w:rPr>
          <w:b/>
        </w:rPr>
        <w:t xml:space="preserve">[265] </w:t>
      </w:r>
      <w:hyperlink r:id="rId770">
        <w:r>
          <w:rPr>
            <w:color w:val="1155CC"/>
            <w:u w:val="single"/>
          </w:rPr>
          <w:t>回复：关于通过传输进行拓扑间隙检测的鲁棒性</w:t>
        </w:r>
      </w:hyperlink>
    </w:p>
    <w:p>
      <w:pPr>
        <w:spacing w:before="0" w:after="80"/>
      </w:pPr>
      <w:r>
        <w:rPr>
          <w:i/>
          <w:sz w:val="20"/>
        </w:rPr>
        <w:t>EN: Reply to: On the robustness of topological gap detection via transport</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71">
        <w:r>
          <w:rPr>
            <w:color w:val="1155CC"/>
            <w:u w:val="single"/>
          </w:rPr>
          <w:t>10.1038/s41586-026-10568-7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[266] </w:t>
      </w:r>
      <w:hyperlink r:id="rId772">
        <w:r>
          <w:rPr>
            <w:color w:val="1155CC"/>
            <w:u w:val="single"/>
          </w:rPr>
          <w:t>外尔半金属粒子空穴对称性破缺导致的巨宽带圆二色性</w:t>
        </w:r>
      </w:hyperlink>
    </w:p>
    <w:p>
      <w:pPr>
        <w:spacing w:before="0" w:after="80"/>
      </w:pPr>
      <w:r>
        <w:rPr>
          <w:i/>
          <w:sz w:val="20"/>
        </w:rPr>
        <w:t>EN: Giant and broadband circular dichroism from particle–hole symmetry breaking in Weyl semimetals</w:t>
      </w:r>
    </w:p>
    <w:p>
      <w:pPr>
        <w:spacing w:before="0" w:after="120"/>
      </w:pPr>
      <w:r>
        <w:rPr>
          <w:b/>
        </w:rPr>
        <w:t xml:space="preserve">Source: </w:t>
      </w:r>
      <w:r>
        <w:t>Nature Materials</w:t>
      </w:r>
      <w:r>
        <w:t xml:space="preserve">    </w:t>
      </w:r>
      <w:r>
        <w:rPr>
          <w:b/>
        </w:rPr>
        <w:t xml:space="preserve">Pub date: </w:t>
      </w:r>
      <w:r>
        <w:t>2026-06-24 00:00:00+00:00</w:t>
      </w:r>
      <w:r>
        <w:t xml:space="preserve">    </w:t>
      </w:r>
      <w:r>
        <w:rPr>
          <w:b/>
        </w:rPr>
        <w:t xml:space="preserve">DOI: </w:t>
      </w:r>
      <w:hyperlink r:id="rId773">
        <w:r>
          <w:rPr>
            <w:color w:val="1155CC"/>
            <w:u w:val="single"/>
          </w:rPr>
          <w:t>10.1038/s41563-026-02630-6</w:t>
        </w:r>
      </w:hyperlink>
    </w:p>
    <w:p>
      <w:pPr>
        <w:spacing w:before="0" w:after="120"/>
      </w:pPr>
      <w:r>
        <w:rPr>
          <w:b/>
        </w:rPr>
        <w:t xml:space="preserve">Notes: </w:t>
      </w:r>
      <w:r>
        <w:t>abstract_source=nature_html</w:t>
      </w:r>
    </w:p>
    <w:p>
      <w:pPr>
        <w:spacing w:before="0" w:after="80" w:lineRule="auto" w:line="276"/>
      </w:pPr>
      <w:r>
        <w:rPr>
          <w:b/>
        </w:rPr>
        <w:t xml:space="preserve">摘要（ZH）: </w:t>
      </w:r>
      <w:r>
        <w:t>圆二色性源于材料结构中的对称性破缺，并导致左旋和右旋圆偏振光的不同吸收。然而，大多数材料的圆二色性本质上很弱并且光谱很窄，特别是在中远红外区域。在这里，我们发现了由极端粒子空穴对称性破缺驱动的磁场驱动的外尔半金属 Mn(Bi,Sb)2Te4 中巨大的红外圆二色性。螺旋分辨磁红外光谱显示圆二色性超过 3,000 mdeg (~130 mdeg nm−1)，并且在 6–13 μm 光谱范围内具有超度响应。 II 型外尔色散朗道能级固有的强能带嵌套效应增强了光学共振。基于对称性的 k·p 模型再现了这些磁红外响应，并证明磁化引起的不对称自旋轨道耦合会产生粒子空穴对称性破缺，从而抑制价朗道带中的自旋向上、宇称偶数波函数分量，从而产生明显的光学螺旋选择性。我们的研究结果表明，粒子空穴对称性破缺是实现量子材料中螺旋分辨光学控制的有效途径。</w:t>
      </w:r>
    </w:p>
    <w:p>
      <w:pPr>
        <w:spacing w:before="0" w:after="200" w:lineRule="auto" w:line="276"/>
      </w:pPr>
      <w:r>
        <w:rPr>
          <w:b/>
        </w:rPr>
        <w:t xml:space="preserve">Abstract (EN): </w:t>
      </w:r>
      <w:r>
        <w:t>Circular dichroism originates from symmetry breaking in a material structure and leads to differential absorption of left-handed and right-handed circularly polarized light. However, circular dichroism in most materials is inherently weak and spectrally narrow, especially in the mid-to-far infrared. Here we uncover giant infrared circular dichroism in the magnetic-field-forced Weyl semimetal Mn(Bi,Sb)2Te4 driven by extreme particle–hole symmetry breaking. Helicity-resolved magneto-infrared spectroscopy reveals circular dichroism exceeding 3,000 mdeg (~130 mdeg nm−1) with an above-degree response extending over the 6–13 μm spectral range. The optical resonances are enhanced by a strong band nesting effect intrinsic to the Landau levels of type-II Weyl dispersion. A symmetry-based k·p model reproduces these magneto-infrared responses and demonstrates that magnetization-induced asymmetric spin–orbit coupling generates particle–hole symmetry breaking, which suppresses spin-up, parity-even wavefunction components in the valence Landau band and thereby produces pronounced optical helicity-selectivity. Our findings establish particle–hole symmetry breaking as an effective route towards helicity-resolved optical control in quantum materials.</w:t>
      </w:r>
    </w:p>
    <w:p>
      <w:pPr>
        <w:spacing w:before="120" w:after="120"/>
      </w:pPr>
      <w:r>
        <w:rPr>
          <w:sz w:val="18"/>
        </w:rPr>
        <w:t>——————————————————————————————————————————————————————————————————————</w:t>
      </w:r>
    </w:p>
    <w:p>
      <w:pPr>
        <w:spacing w:before="160" w:after="40" w:line="240" w:lineRule="auto"/>
      </w:pPr>
      <w:r>
        <w:rPr>
          <w:b/>
        </w:rPr>
        <w:t xml:space="preserve">[267] </w:t>
      </w:r>
      <w:hyperlink r:id="rId774">
        <w:r>
          <w:rPr>
            <w:color w:val="1155CC"/>
            <w:u w:val="single"/>
          </w:rPr>
          <w:t>作者更正：cBAF 复合体成分和 MYC 在 CD8+ T 细胞命运的早期合作</w:t>
        </w:r>
      </w:hyperlink>
    </w:p>
    <w:p>
      <w:pPr>
        <w:spacing w:before="0" w:after="80"/>
      </w:pPr>
      <w:r>
        <w:rPr>
          <w:i/>
          <w:sz w:val="20"/>
        </w:rPr>
        <w:t>EN: Author Correction: cBAF complex components and MYC cooperate early in CD8+ T cell fate</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75">
        <w:r>
          <w:rPr>
            <w:color w:val="1155CC"/>
            <w:u w:val="single"/>
          </w:rPr>
          <w:t>10.1038/s41586-026-10813-z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[268] </w:t>
      </w:r>
      <w:hyperlink r:id="rId776">
        <w:r>
          <w:rPr>
            <w:color w:val="1155CC"/>
            <w:u w:val="single"/>
          </w:rPr>
          <w:t>晶格畸变激活超强钢的变形孪晶</w:t>
        </w:r>
      </w:hyperlink>
    </w:p>
    <w:p>
      <w:pPr>
        <w:spacing w:before="0" w:after="80"/>
      </w:pPr>
      <w:r>
        <w:rPr>
          <w:i/>
          <w:sz w:val="20"/>
        </w:rPr>
        <w:t>EN: Lattice distortion activates deformation twinning in ultrastrong steel</w:t>
      </w:r>
    </w:p>
    <w:p>
      <w:pPr>
        <w:spacing w:before="0" w:after="120"/>
      </w:pPr>
      <w:r>
        <w:rPr>
          <w:b/>
        </w:rPr>
        <w:t xml:space="preserve">Source: </w:t>
      </w:r>
      <w:r>
        <w:t>Nature Materials</w:t>
      </w:r>
      <w:r>
        <w:t xml:space="preserve">    </w:t>
      </w:r>
      <w:r>
        <w:rPr>
          <w:b/>
        </w:rPr>
        <w:t xml:space="preserve">Pub date: </w:t>
      </w:r>
      <w:r>
        <w:t>2026-06-24 00:00:00+00:00</w:t>
      </w:r>
      <w:r>
        <w:t xml:space="preserve">    </w:t>
      </w:r>
      <w:r>
        <w:rPr>
          <w:b/>
        </w:rPr>
        <w:t xml:space="preserve">DOI: </w:t>
      </w:r>
      <w:hyperlink r:id="rId777">
        <w:r>
          <w:rPr>
            <w:color w:val="1155CC"/>
            <w:u w:val="single"/>
          </w:rPr>
          <w:t>10.1038/s41563-026-02642-2</w:t>
        </w:r>
      </w:hyperlink>
    </w:p>
    <w:p>
      <w:pPr>
        <w:spacing w:before="0" w:after="120"/>
      </w:pPr>
      <w:r>
        <w:rPr>
          <w:b/>
        </w:rPr>
        <w:t xml:space="preserve">Notes: </w:t>
      </w:r>
      <w:r>
        <w:t>abstract_source=nature_html</w:t>
      </w:r>
    </w:p>
    <w:p>
      <w:pPr>
        <w:spacing w:before="0" w:after="80" w:lineRule="auto" w:line="276"/>
      </w:pPr>
      <w:r>
        <w:rPr>
          <w:b/>
        </w:rPr>
        <w:t xml:space="preserve">摘要（ZH）: </w:t>
      </w:r>
      <w:r>
        <w:t>超强韧性马氏体钢是通过利用其严重的晶格畸变来实现的，该畸变激活了孪晶作为马氏体中的塑性载体。</w:t>
      </w:r>
    </w:p>
    <w:p>
      <w:pPr>
        <w:spacing w:before="0" w:after="200" w:lineRule="auto" w:line="276"/>
      </w:pPr>
      <w:r>
        <w:rPr>
          <w:b/>
        </w:rPr>
        <w:t xml:space="preserve">Abstract (EN): </w:t>
      </w:r>
      <w:r>
        <w:t>Ultrastrong and ductile martensitic steel is achieved by taking advantage of its severe lattice distortion, which activates twinning as the plasticity carrier in martensite.</w:t>
      </w:r>
    </w:p>
    <w:p>
      <w:pPr>
        <w:spacing w:before="120" w:after="120"/>
      </w:pPr>
      <w:r>
        <w:rPr>
          <w:sz w:val="18"/>
        </w:rPr>
        <w:t>——————————————————————————————————————————————————————————————————————</w:t>
      </w:r>
    </w:p>
    <w:p>
      <w:pPr>
        <w:spacing w:before="160" w:after="40" w:line="240" w:lineRule="auto"/>
      </w:pPr>
      <w:r>
        <w:rPr>
          <w:b/>
        </w:rPr>
        <w:t xml:space="preserve">[269] </w:t>
      </w:r>
      <w:hyperlink r:id="rId778">
        <w:r>
          <w:rPr>
            <w:color w:val="1155CC"/>
            <w:u w:val="single"/>
          </w:rPr>
          <w:t>β-抑制蛋白的小分子调节</w:t>
        </w:r>
      </w:hyperlink>
    </w:p>
    <w:p>
      <w:pPr>
        <w:spacing w:before="0" w:after="80"/>
      </w:pPr>
      <w:r>
        <w:rPr>
          <w:i/>
          <w:sz w:val="20"/>
        </w:rPr>
        <w:t>EN: Small-molecule modulation of β-arrestins</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79">
        <w:r>
          <w:rPr>
            <w:color w:val="1155CC"/>
            <w:u w:val="single"/>
          </w:rPr>
          <w:t>10.1038/s41586-026-10683-5</w:t>
        </w:r>
      </w:hyperlink>
    </w:p>
    <w:p>
      <w:pPr>
        <w:spacing w:before="0" w:after="120"/>
      </w:pPr>
      <w:r>
        <w:rPr>
          <w:b/>
        </w:rPr>
        <w:t xml:space="preserve">Notes: </w:t>
      </w:r>
      <w:r>
        <w:t>abstract_source=nature_html</w:t>
      </w:r>
    </w:p>
    <w:p>
      <w:pPr>
        <w:spacing w:before="0" w:after="80" w:lineRule="auto" w:line="276"/>
      </w:pPr>
      <w:r>
        <w:rPr>
          <w:b/>
        </w:rPr>
        <w:t xml:space="preserve">摘要（ZH）: </w:t>
      </w:r>
      <w:r>
        <w:t>β-抑制蛋白是 G 蛋白偶联受体 (GPCR) 信号传导的多功能调节剂，可协调 GPCR 超家族中的各种下游信号传导事件和生理反应1,2,3。尽管 GPCR 药理学已发展到靶向正构和变构位点以及 G 蛋白和 GPCR 激酶，但调节 β-抑制蛋白活性的直接化学工具仍然明显缺乏。在此，我们报告了选择性靶向β-抑制蛋白的小分子抑制剂的鉴定，并通过综合药理学、生化、生物物理和结构分析描述了其作用机制。这些抑制剂破坏 β-arrestin 与激动剂激活的 GPCR 的结合，损害脱敏、内化和 β-arrestin 依赖性生理功能，同时避免 G 蛋白 - 受体偶联。冷冻电子显微镜、分子动力学模拟和结构引导诱变表明，一种调节剂 Cmpd-5 与 β-arrestin1 中央嵴内的一个口袋接合，该口袋由中间环、C 环和套索环形成，这是一个关键的受体结合界面，稳定了与完全 β-arrestin-受体接合不相容的独特构象。总之，这些发现建立了 β-抑制蛋白调节的机制框架，揭示了基于结构的药物设计的新型变构位点，并为针对传感器的、通路特异性的 GPCR 治疗药物开辟了新途径。</w:t>
      </w:r>
    </w:p>
    <w:p>
      <w:pPr>
        <w:spacing w:before="0" w:after="200" w:lineRule="auto" w:line="276"/>
      </w:pPr>
      <w:r>
        <w:rPr>
          <w:b/>
        </w:rPr>
        <w:t xml:space="preserve">Abstract (EN): </w:t>
      </w:r>
      <w:r>
        <w:t>β-Arrestins are multifunctional regulators of G-protein-coupled receptor (GPCR) signalling and orchestrate diverse downstream signalling events and physiological responses across the GPCR superfamily1,2,3. Although GPCR pharmacology has advanced to target orthosteric and allosteric sites, as well as G proteins and GPCR kinases, direct chemical tools to modulate β-arrestin activities have remained conspicuously absent. Here we report the identification of small-molecule inhibitors that selectively target β-arrestins and delineate their mechanism of action through integrated pharmacological, biochemical, biophysical and structural analyses. These inhibitors disrupt β-arrestin engagement with agonist-activated GPCRs, impairing desensitization, internalization and β-arrestin-dependent physiological functions while sparing G protein–receptor coupling. Cryo-electron microscopy, molecular dynamics simulations and structure-guided mutagenesis reveal that one modulator, Cmpd-5, engages a pocket within the central crest of β-arrestin1 formed by the middle, C and lariat loops, a critical receptor-binding interface, stabilizing a distinct conformation that is incompatible with full β-arrestin–receptor engagement. Together, these findings establish a mechanistic framework for β-arrestin modulation, reveal a novel allosteric site for structure-based drug design, and open new avenues for transducer-targeted, pathway-specific GPCR therapeutic agents.</w:t>
      </w:r>
    </w:p>
    <w:p>
      <w:pPr>
        <w:spacing w:before="120" w:after="120"/>
      </w:pPr>
      <w:r>
        <w:rPr>
          <w:sz w:val="18"/>
        </w:rPr>
        <w:t>——————————————————————————————————————————————————————————————————————</w:t>
      </w:r>
    </w:p>
    <w:p>
      <w:pPr>
        <w:spacing w:before="160" w:after="40" w:line="240" w:lineRule="auto"/>
      </w:pPr>
      <w:r>
        <w:rPr>
          <w:b/>
        </w:rPr>
        <w:t xml:space="preserve">[270] </w:t>
      </w:r>
      <w:hyperlink r:id="rId780">
        <w:r>
          <w:rPr>
            <w:color w:val="1155CC"/>
            <w:u w:val="single"/>
          </w:rPr>
          <w:t>微型电网故障的相互作用原因</w:t>
        </w:r>
      </w:hyperlink>
    </w:p>
    <w:p>
      <w:pPr>
        <w:spacing w:before="0" w:after="80"/>
      </w:pPr>
      <w:r>
        <w:rPr>
          <w:i/>
          <w:sz w:val="20"/>
        </w:rPr>
        <w:t>EN: Interacting causes of mini-grid failure</w:t>
      </w:r>
    </w:p>
    <w:p>
      <w:pPr>
        <w:spacing w:before="0" w:after="120"/>
      </w:pPr>
      <w:r>
        <w:rPr>
          <w:b/>
        </w:rPr>
        <w:t xml:space="preserve">Source: </w:t>
      </w:r>
      <w:r>
        <w:t>Nature Energy</w:t>
      </w:r>
      <w:r>
        <w:t xml:space="preserve">    </w:t>
      </w:r>
      <w:r>
        <w:rPr>
          <w:b/>
        </w:rPr>
        <w:t xml:space="preserve">Pub date: </w:t>
      </w:r>
      <w:r>
        <w:t>2026-06-24 00:00:00+00:00</w:t>
      </w:r>
      <w:r>
        <w:t xml:space="preserve">    </w:t>
      </w:r>
      <w:r>
        <w:rPr>
          <w:b/>
        </w:rPr>
        <w:t xml:space="preserve">DOI: </w:t>
      </w:r>
      <w:hyperlink r:id="rId781">
        <w:r>
          <w:rPr>
            <w:color w:val="1155CC"/>
            <w:u w:val="single"/>
          </w:rPr>
          <w:t>10.1038/s41560-026-02100-y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[271] </w:t>
      </w:r>
      <w:hyperlink r:id="rId782">
        <w:r>
          <w:rPr>
            <w:color w:val="1155CC"/>
            <w:u w:val="single"/>
          </w:rPr>
          <w:t>量化 X 射线损伤</w:t>
        </w:r>
      </w:hyperlink>
    </w:p>
    <w:p>
      <w:pPr>
        <w:spacing w:before="0" w:after="80"/>
      </w:pPr>
      <w:r>
        <w:rPr>
          <w:i/>
          <w:sz w:val="20"/>
        </w:rPr>
        <w:t>EN: Quantifying X-ray damage</w:t>
      </w:r>
    </w:p>
    <w:p>
      <w:pPr>
        <w:spacing w:before="0" w:after="120"/>
      </w:pPr>
      <w:r>
        <w:rPr>
          <w:b/>
        </w:rPr>
        <w:t xml:space="preserve">Source: </w:t>
      </w:r>
      <w:r>
        <w:t>Nature Energy</w:t>
      </w:r>
      <w:r>
        <w:t xml:space="preserve">    </w:t>
      </w:r>
      <w:r>
        <w:rPr>
          <w:b/>
        </w:rPr>
        <w:t xml:space="preserve">Pub date: </w:t>
      </w:r>
      <w:r>
        <w:t>2026-06-24 00:00:00+00:00</w:t>
      </w:r>
      <w:r>
        <w:t xml:space="preserve">    </w:t>
      </w:r>
      <w:r>
        <w:rPr>
          <w:b/>
        </w:rPr>
        <w:t xml:space="preserve">DOI: </w:t>
      </w:r>
      <w:hyperlink r:id="rId783">
        <w:r>
          <w:rPr>
            <w:color w:val="1155CC"/>
            <w:u w:val="single"/>
          </w:rPr>
          <w:t>10.1038/s41560-026-02098-3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[272] </w:t>
      </w:r>
      <w:hyperlink r:id="rId784">
        <w:r>
          <w:rPr>
            <w:color w:val="1155CC"/>
            <w:u w:val="single"/>
          </w:rPr>
          <w:t>晶体管栅极电介质的工业可靠性测试</w:t>
        </w:r>
      </w:hyperlink>
    </w:p>
    <w:p>
      <w:pPr>
        <w:spacing w:before="0" w:after="80"/>
      </w:pPr>
      <w:r>
        <w:rPr>
          <w:i/>
          <w:sz w:val="20"/>
        </w:rPr>
        <w:t>EN: Industrial reliability testing of transistor gate dielectrics</w:t>
      </w:r>
    </w:p>
    <w:p>
      <w:pPr>
        <w:spacing w:before="0" w:after="120"/>
      </w:pPr>
      <w:r>
        <w:rPr>
          <w:b/>
        </w:rPr>
        <w:t xml:space="preserve">Source: </w:t>
      </w:r>
      <w:r>
        <w:t>Nature Electronics</w:t>
      </w:r>
      <w:r>
        <w:t xml:space="preserve">    </w:t>
      </w:r>
      <w:r>
        <w:rPr>
          <w:b/>
        </w:rPr>
        <w:t xml:space="preserve">Pub date: </w:t>
      </w:r>
      <w:r>
        <w:t>2026-06-24 00:00:00+00:00</w:t>
      </w:r>
      <w:r>
        <w:t xml:space="preserve">    </w:t>
      </w:r>
      <w:r>
        <w:rPr>
          <w:b/>
        </w:rPr>
        <w:t xml:space="preserve">DOI: </w:t>
      </w:r>
      <w:hyperlink r:id="rId785">
        <w:r>
          <w:rPr>
            <w:color w:val="1155CC"/>
            <w:u w:val="single"/>
          </w:rPr>
          <w:t>10.1038/s41928-026-01644-x</w:t>
        </w:r>
      </w:hyperlink>
    </w:p>
    <w:p>
      <w:pPr>
        <w:spacing w:before="0" w:after="120"/>
      </w:pPr>
      <w:r>
        <w:rPr>
          <w:b/>
        </w:rPr>
        <w:t xml:space="preserve">Notes: </w:t>
      </w:r>
      <w:r>
        <w:t>abstract_source=nature_html</w:t>
      </w:r>
    </w:p>
    <w:p>
      <w:pPr>
        <w:spacing w:before="0" w:after="80" w:lineRule="auto" w:line="276"/>
      </w:pPr>
      <w:r>
        <w:rPr>
          <w:b/>
        </w:rPr>
        <w:t xml:space="preserve">摘要（ZH）: </w:t>
      </w:r>
      <w:r>
        <w:t>由于横向缩放的停滞、三维堆叠的进步以及二维材料等新型纳米材料的引入，晶体管目前正在经历一次彻底的改造。新型晶体管开发中的一个关键问题是栅极电介质可靠性，因为电介质需要承受高电场并阻止电荷传输，以保证器件正确运行。然而，虽然学术文献中已经尝试对晶体管的品质因数进行基准测试，但提出的用于研究栅极电介质的方法通常不符合工业要求。在这里，我们探讨如何以行业相关的方式评估介电材料的可靠性。我们研究行业如何对硅晶体管中栅极电介质的性能进行基准测试，如何收集和分析栅极电介质可靠性数据以提取有意义且与行业相关的结论，以及如何将其应用于使用 CaF2 和六方氮化硼等栅极电介质的二维晶体管。我们特别提供了一种数据处理协议，用于从斜坡电压应力中提取特定寿命的最大允许使用电压，并提供 Excel 文件作为执行此提取的简单工具。</w:t>
      </w:r>
    </w:p>
    <w:p>
      <w:pPr>
        <w:spacing w:before="0" w:after="200" w:lineRule="auto" w:line="276"/>
      </w:pPr>
      <w:r>
        <w:rPr>
          <w:b/>
        </w:rPr>
        <w:t xml:space="preserve">Abstract (EN): </w:t>
      </w:r>
      <w:r>
        <w:t>Transistors are currently undergoing a reinvention due to the stagnation of lateral scaling, the advance of three-dimensional stacking and the introduction of novel nanomaterials such as two-dimensional materials. A critical issue in the development of novel transistors is gate dielectric reliability, as the dielectric needs to withstand high electrical fields and block charge transport to guarantee correct device functioning. However, while attempts have been made in the academic literature to benchmark the figures of merit of transistors, the methodologies proposed for the study of gate dielectrics typically do not match industrial requirements. Here we explore how to evaluate the reliability of a dielectric material in an industry-relevant manner. We examine how industry benchmarks the performance of gate dielectrics in silicon transistors, how to collect and analyse gate dielectric reliability data to extract meaningful and industry-relevant conclusions, and how to apply this to two-dimensional transistors using gate dielectrics such as CaF2 and hexagonal boron nitride. We provide, in particular, a data processing protocol to extract lifetime-specific maximum allowed use voltage from ramped voltage stress, and provide an Excel file as a simple tool to carry out this extraction.</w:t>
      </w:r>
    </w:p>
    <w:p>
      <w:pPr>
        <w:spacing w:before="120" w:after="120"/>
      </w:pPr>
      <w:r>
        <w:rPr>
          <w:sz w:val="18"/>
        </w:rPr>
        <w:t>——————————————————————————————————————————————————————————————————————</w:t>
      </w:r>
    </w:p>
    <w:p>
      <w:pPr>
        <w:spacing w:before="160" w:after="40" w:line="240" w:lineRule="auto"/>
      </w:pPr>
      <w:r>
        <w:rPr>
          <w:b/>
        </w:rPr>
        <w:t xml:space="preserve">[273] </w:t>
      </w:r>
      <w:hyperlink r:id="rId786">
        <w:r>
          <w:rPr>
            <w:color w:val="1155CC"/>
            <w:u w:val="single"/>
          </w:rPr>
          <w:t>医疗人工智能带来的不同隐私风险</w:t>
        </w:r>
      </w:hyperlink>
    </w:p>
    <w:p>
      <w:pPr>
        <w:spacing w:before="0" w:after="80"/>
      </w:pPr>
      <w:r>
        <w:rPr>
          <w:i/>
          <w:sz w:val="20"/>
        </w:rPr>
        <w:t>EN: Disparate privacy risks from medical AI</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87">
        <w:r>
          <w:rPr>
            <w:color w:val="1155CC"/>
            <w:u w:val="single"/>
          </w:rPr>
          <w:t>10.1038/s41586-026-10688-0</w:t>
        </w:r>
      </w:hyperlink>
    </w:p>
    <w:p>
      <w:pPr>
        <w:spacing w:before="0" w:after="120"/>
      </w:pPr>
      <w:r>
        <w:rPr>
          <w:b/>
        </w:rPr>
        <w:t xml:space="preserve">Notes: </w:t>
      </w:r>
      <w:r>
        <w:t>abstract_source=nature_html</w:t>
      </w:r>
    </w:p>
    <w:p>
      <w:pPr>
        <w:spacing w:before="0" w:after="80" w:lineRule="auto" w:line="276"/>
      </w:pPr>
      <w:r>
        <w:rPr>
          <w:b/>
        </w:rPr>
        <w:t xml:space="preserve">摘要（ZH）: </w:t>
      </w:r>
      <w:r>
        <w:t>医疗人工智能 (AI) 模型有望改善全球获得高质量诊断的机会1。然而，这些模型背后的训练数据通常包含敏感的患者信息，这些信息可能会通过隐私攻击而暴露2,3,4,5,6,7。先前的研究主要量化了数据集中所有记录中这些攻击的总体成功率。因此，人们对个体患者所面临的隐私风险知之甚少，因为他们经常向训练数据集提供多个相似的记录。在这里，我们提出了针对医疗诊断应用的人工智能模型的首次患者级隐私审核之一。我们专注于成员推理攻击2,3,4 (MIA)，它试图确定给定个人的数据是否用于训练模型。在各种不同的医疗数据集中，我们表明 MIA 可以为个体患者实现近乎完美的成功率，即使总体表现并未显着偏离随机猜测。我们进一步发现，攻击成功率高的患者数量随着模型容量的增加而大幅增加，而代表性不足的群体（按疾病状态、自我报告的种族、保险、性别或成像方案分层）面临着不成比例的高攻击成功率。总之，我们的研究结果表明，总体隐私指标可能严重低估个人隐私风险。我们观察到的不同风险状况是否会扩展到 MIA 之外的攻击仍然是一个悬而未决的问题，这推动了风险评估和缓解技术的进一步发展，以适应所有数据控制</w:t>
      </w:r>
    </w:p>
    <w:p>
      <w:pPr>
        <w:spacing w:before="0" w:after="200" w:lineRule="auto" w:line="276"/>
      </w:pPr>
      <w:r>
        <w:rPr>
          <w:b/>
        </w:rPr>
        <w:t xml:space="preserve">Abstract (EN): </w:t>
      </w:r>
      <w:r>
        <w:t>Medical artificial intelligence (AI) models hold the promise to improve global access to high-quality diagnostics1. However, the training data underlying these models often contain sensitive patient information that may be exposed through privacy attacks2,3,4,5,6,7. Previous research has primarily quantified the success of these attacks in aggregate, across all records in a dataset. Thus, the privacy risk faced by individual patients, who often contribute multiple similar records to a training dataset, is poorly understood. Here we present one of the first patient-level privacy audits of AI models for medical diagnostic applications. We focus on membership inference attacks2,3,4 (MIAs), which seek to determine whether the data of a given individual were used to train a model. Across a diverse range of medical datasets, we show that MIAs can achieve near-perfect success rates for individual patients, even when the aggregate performance does not substantially deviate from random guessing. We further find that the number of patients with high attack success increases substantially with model capacity, and that underrepresented groups—stratified by disease status, self-reported race, insurance, sex or imaging protocol—face disproportionately high attack success. Together, our findings show that aggregate privacy metrics can severely underestimate individual privacy risk. Whether the disparate risk profiles we observe extend to attacks beyond MIAs remains an open question, motivating the further development of risk assessment and mitigation techniques that cater to all data-contributing patients.</w:t>
      </w:r>
    </w:p>
    <w:p>
      <w:pPr>
        <w:spacing w:before="120" w:after="120"/>
      </w:pPr>
      <w:r>
        <w:rPr>
          <w:sz w:val="18"/>
        </w:rPr>
        <w:t>——————————————————————————————————————————————————————————————————————</w:t>
      </w:r>
    </w:p>
    <w:p>
      <w:pPr>
        <w:spacing w:before="160" w:after="40" w:line="240" w:lineRule="auto"/>
      </w:pPr>
      <w:r>
        <w:rPr>
          <w:b/>
        </w:rPr>
        <w:t xml:space="preserve">[274] </w:t>
      </w:r>
      <w:hyperlink r:id="rId788">
        <w:r>
          <w:rPr>
            <w:color w:val="1155CC"/>
            <w:u w:val="single"/>
          </w:rPr>
          <w:t>手性激光陀螺仪突破锁定极限</w:t>
        </w:r>
      </w:hyperlink>
    </w:p>
    <w:p>
      <w:pPr>
        <w:spacing w:before="0" w:after="80"/>
      </w:pPr>
      <w:r>
        <w:rPr>
          <w:i/>
          <w:sz w:val="20"/>
        </w:rPr>
        <w:t>EN: Chiral laser gyroscopes breaking the lock-in limit</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789">
        <w:r>
          <w:rPr>
            <w:color w:val="1155CC"/>
            <w:u w:val="single"/>
          </w:rPr>
          <w:t>10.1038/s41586-026-10684-4</w:t>
        </w:r>
      </w:hyperlink>
    </w:p>
    <w:p>
      <w:pPr>
        <w:spacing w:before="0" w:after="120"/>
      </w:pPr>
      <w:r>
        <w:rPr>
          <w:b/>
        </w:rPr>
        <w:t xml:space="preserve">Notes: </w:t>
      </w:r>
      <w:r>
        <w:t>abstract_source=nature_html</w:t>
      </w:r>
    </w:p>
    <w:p>
      <w:pPr>
        <w:spacing w:before="0" w:after="80" w:lineRule="auto" w:line="276"/>
      </w:pPr>
      <w:r>
        <w:rPr>
          <w:b/>
        </w:rPr>
        <w:t xml:space="preserve">摘要（ZH）: </w:t>
      </w:r>
      <w:r>
        <w:t>环形激光陀螺仪 (RLG) 通过萨格纳克效应测量旋转：谐振器内两个反向传播光束的频率略有差异。然而，在低旋转速率下，RLG 的固有限制（称为锁定现象）会抵消这种效应，从而阻碍了 RLG 作为运动传感器的广泛采用。过去为避免这种现象所做的努力包括机械抖动1和磁光非互易技术2。此类技术需要外部组件，这限制了 RLG 的小型化。在这里，我们提出了一种自偏置方法，通过手性自发对称破缺和不插入元素的 He-20Ne RLG 中的非线性频率牵引来克服这一限制。在揭示自发对称性破缺的相变条件和双稳态手性态动力学的理论模型的支持下，我们的实验证明了与旋转方向同步的确定性手性切换。值得注意的是，手性 RLG 在接近零的旋转速率下具有线性频率响应，在 10 s 积分时间内实现了每小时 2.2 × 10−2 度的开环偏置不稳定性。我们的工作提出了开发全固态、高精度和小型激光陀螺仪的策略，该陀螺仪可用于探索光子系统中非线性动力学和自发对称性破缺的相互作用。</w:t>
      </w:r>
    </w:p>
    <w:p>
      <w:pPr>
        <w:spacing w:before="0" w:after="200" w:lineRule="auto" w:line="276"/>
      </w:pPr>
      <w:r>
        <w:rPr>
          <w:b/>
        </w:rPr>
        <w:t xml:space="preserve">Abstract (EN): </w:t>
      </w:r>
      <w:r>
        <w:t>Ring laser gyroscopes (RLGs) measure rotation via the Sagnac effect: a slight difference in the frequency of the two counter-propagating beams within the resonator. However, at low rotation rates, an intrinsic limitation in RLGs, known as the lock-in phenomenon, counteracts this effect, precluding the widespread adoption of RLGs as motion sensors. Past efforts to avoid this phenomenon include mechanical dithering1 and magneto-optic non-reciprocity techniques2. Such techniques require external components that limit the miniaturization of RLGs. Here we present a self-biased method that overcomes this limitation through chiral spontaneous symmetry breaking and nonlinear frequency pulling in a He–20Ne RLG without inserted elements. Supported by a theoretical model that reveals phase transition conditions with spontaneous symmetry breaking and the dynamics of bistable chiral states, our experiments demonstrate deterministic chirality switching synchronized with rotation direction. Remarkably, the chiral RLG has a linear frequency response at near-zero rotation rates, achieving an open-loop bias instability of 2.2 × 10−2 degrees per hour at a 10 s integration time. Our work presents a strategy for the development of all-solid-state, high-precision and miniaturized laser gyroscopes, which could be used for the exploration of the interplay of nonlinear dynamics and spontaneous symmetry breaking in photonic systems.</w:t>
      </w:r>
    </w:p>
    <w:p>
      <w:pPr>
        <w:spacing w:before="120" w:after="120"/>
      </w:pPr>
      <w:r>
        <w:rPr>
          <w:sz w:val="18"/>
        </w:rPr>
        <w:t>——————————————————————————————————————————————————————————————————————</w:t>
      </w:r>
    </w:p>
    <w:p>
      <w:pPr>
        <w:spacing w:before="160" w:after="40" w:line="240" w:lineRule="auto"/>
      </w:pPr>
      <w:r>
        <w:rPr>
          <w:b/>
        </w:rPr>
        <w:t xml:space="preserve">[275] </w:t>
      </w:r>
      <w:hyperlink r:id="rId790">
        <w:r>
          <w:rPr>
            <w:color w:val="1155CC"/>
            <w:u w:val="single"/>
          </w:rPr>
          <w:t>Olopopanax elatus 基因组揭示了达玛二烯醇合酶的进化，能够重建 RK 型人参皂苷生物合成</w:t>
        </w:r>
      </w:hyperlink>
    </w:p>
    <w:p>
      <w:pPr>
        <w:spacing w:before="0" w:after="80"/>
      </w:pPr>
      <w:r>
        <w:rPr>
          <w:i/>
          <w:sz w:val="20"/>
        </w:rPr>
        <w:t>EN: The Oplopanax elatus genome reveals dammaradienol synthase evolution enabling reconstruction of RK type ginsenosides biosynthesis</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RK 型人参皂苷是脱水达玛烷皂苷的一个亚类，具有有价值的生物活性，但它们不是在栽培人参中天然产生的。人参近缘种Olopopanax elatus积累达玛二烯醇（RK型人参皂苷的前体支架），但不产生RK型人参皂苷。在这里，我们将 OeOSC14 确定为一种特殊的达玛二烯醇合酶，通过结合染色体水平基因组组装、比较基因组学和生化分析，通过对祖先多功能三萜合酶的复制和新功能化而进化。与这种进化转变一致，单个 N260Y 取代将 OeOSC14 从达玛二烯醇特异性酶转变回多功能三萜合酶。我们进一步表明，功能性 C12 羟化酶的丧失会阻碍 RK 型人参皂苷生物合成所需的下游氧化步骤。重建本塞姆氏烟草中的途径能够从头生产人参皂苷 Rk1、Rk2 和 Rk3，为三萜多样化提供进化见解，并建立基于植物的生产这些化合物的途径。</w:t>
      </w:r>
    </w:p>
    <w:p>
      <w:pPr>
        <w:spacing w:before="0" w:after="200" w:lineRule="auto" w:line="276"/>
      </w:pPr>
      <w:r>
        <w:rPr>
          <w:b/>
        </w:rPr>
        <w:t xml:space="preserve">Abstract (EN): </w:t>
      </w:r>
      <w:r>
        <w:t>RK-type ginsenosides are a subgroup of dehydrated dammarane saponins with valuable bioactivities, but they are not naturally produced in cultivated ginseng. The ginseng relative Oplopanax elatus accumulates dammaradienol, the precursor scaffold of RK-type ginsenosides, but does not produce RK-type ginsenosides. Here, we identify OeOSC14 as a specialized dammaradienol synthase that evolved through duplication and neofunctionalization of an ancestral multifunctional triterpene synthase by combining chromosome-level genome assembly, comparative genomics and biochemical analyses. Consistent with this evolutionary transition, a single N260Y substitution converts OeOSC14 from a dammaradienol-specific enzyme back into a multifunctional triterpene synthase. We further show that loss of functional C12 hydroxylase blocks the downstream oxidative step required for RK-type ginsenoside biosynthesis in O. elatus. Reconstitution of the pathway in Nicotiana benthamiana enables de novo production of ginsenosides Rk1, Rk2, and Rk3, providing evolutionary insight into triterpene diversification and establishing a plant-based route for producing these compounds.</w:t>
      </w:r>
    </w:p>
    <w:p>
      <w:pPr>
        <w:spacing w:before="120" w:after="120"/>
      </w:pPr>
      <w:r>
        <w:rPr>
          <w:sz w:val="18"/>
        </w:rPr>
        <w:t>——————————————————————————————————————————————————————————————————————</w:t>
      </w:r>
    </w:p>
    <w:p>
      <w:pPr>
        <w:spacing w:before="160" w:after="40" w:line="240" w:lineRule="auto"/>
      </w:pPr>
      <w:r>
        <w:rPr>
          <w:b/>
        </w:rPr>
        <w:t xml:space="preserve">[276] </w:t>
      </w:r>
      <w:hyperlink r:id="rId791">
        <w:r>
          <w:rPr>
            <w:color w:val="1155CC"/>
            <w:u w:val="single"/>
          </w:rPr>
          <w:t>位置控制的量子点阵列边缘耦合到集成氮化硅波导和器件</w:t>
        </w:r>
      </w:hyperlink>
    </w:p>
    <w:p>
      <w:pPr>
        <w:spacing w:before="0" w:after="80"/>
      </w:pPr>
      <w:r>
        <w:rPr>
          <w:i/>
          <w:sz w:val="20"/>
        </w:rPr>
        <w:t>EN: Site-controlled quantum dot arrays edge-coupled to integrated silicon nitride waveguides and devices</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量子光子集成电路的可扩展性为大规模量子计算和通信开辟了道路。迄今为止，这种可扩展性受到量子光源的随机性的限制。此外，为了将最先进的设备组合到功能架构中，可能需要不同平台的混合集成。在这里，我们演示了在低温下十个位点控制的砷化镓量子点阵列与十个氮化硅单模波导阵列的主动对准和边缘耦合。纳米柱的制造促进了耦合，纳米柱围绕每个量子点确定性地自对准，从而形成高产且规则的单光子源阵列。片上分束器验证单光子发射到氮化硅芯片中的触发情况。整体的低不均匀展宽使我们能够观察相邻位点控制发射器的光谱重叠，并且我们表明可以使用额外的激光将这些发射器调整为亚皮米对准。在整个波导阵列中，从每个耦合量子点收集的信号相对于从同一单光子源收集的自由空间信号一致且可重复地为 0.17。将测量结果与波导模拟进行比较，我们推断目前我们的量子点和波导之间获得了约 5% 的绝对耦合效率。讨论了提高这种耦合值的途径。</w:t>
      </w:r>
    </w:p>
    <w:p>
      <w:pPr>
        <w:spacing w:before="0" w:after="200" w:lineRule="auto" w:line="276"/>
      </w:pPr>
      <w:r>
        <w:rPr>
          <w:b/>
        </w:rPr>
        <w:t xml:space="preserve">Abstract (EN): </w:t>
      </w:r>
      <w:r>
        <w:t>The scalability of quantum photonic integrated circuits opens the path towards large-scale quantum computing and communication. To date, this scalability has been limited by the stochastic nature of the quantum light sources. Moreover, hybrid integration of different platforms will likely be necessary to combine state-of-the-art devices into a functioning architecture. Here, we demonstrate the active alignment and edge-coupling of arrays of ten site-controlled gallium arsenide quantum dots to an array of ten silicon nitride single-mode waveguides, at cryogenic temperatures. The coupling is facilitated by the fabrication of nanopillars, deterministically self-aligned around each quantum dot, leading to a high-yield and regular array of single-photon sources. An on-chip beamsplitter verifies the triggered emission of single photons into the silicon nitride chip. The low inhomogeneous broadening of the ensemble enables us to observe the spectral overlap of adjacent site-controlled emitters, and we show that it is possible to tune these into sub-picometre alignment using additional laser. Across the array of waveguides, the signal collected from each coupled quantum dot is consistently and reproducibly 0.17 relative to the free-space collection from the very same single-photon source. Comparing measurement with waveguide simulations, we infer that absolute coupling efficiencies of ≈ 5% are currently obtained between our quantum dots and the waveguides. Paths to improve this coupling value are discussed.</w:t>
      </w:r>
    </w:p>
    <w:p>
      <w:pPr>
        <w:spacing w:before="120" w:after="120"/>
      </w:pPr>
      <w:r>
        <w:rPr>
          <w:sz w:val="18"/>
        </w:rPr>
        <w:t>——————————————————————————————————————————————————————————————————————</w:t>
      </w:r>
    </w:p>
    <w:p>
      <w:pPr>
        <w:spacing w:before="160" w:after="40" w:line="240" w:lineRule="auto"/>
      </w:pPr>
      <w:r>
        <w:rPr>
          <w:b/>
        </w:rPr>
        <w:t xml:space="preserve">[277] </w:t>
      </w:r>
      <w:hyperlink r:id="rId792">
        <w:r>
          <w:rPr>
            <w:color w:val="1155CC"/>
            <w:u w:val="single"/>
          </w:rPr>
          <w:t>Dichography：从单个衍射图样进行两帧超快成像</w:t>
        </w:r>
      </w:hyperlink>
    </w:p>
    <w:p>
      <w:pPr>
        <w:spacing w:before="0" w:after="80"/>
      </w:pPr>
      <w:r>
        <w:rPr>
          <w:i/>
          <w:sz w:val="20"/>
        </w:rPr>
        <w:t>EN: Dichography: two-frame ultrafast imaging from a single diffraction pattern</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我们通过实验证明，由现代 X 射线自由电子激光器发出的两种不同颜色的延时超亮和超短 X 射线脉冲对可以提供样本的两个延时快照。我们引入了 Dichography，一种通过算法分离探测器上重叠的衍射信号并独立检索样本的两个图像的方法。我们采用 Dichography 来重建单个氙掺杂氦纳米液滴的两个视图，空间分辨率为 20 nm。在延迟高达 750 fs 的两幅图像中观察到的结构的一致性提供了证据，表明在这些照明条件下，仅在较长的时间尺度上才会发生显着的结构损坏。我们通过对同一光脉冲拦截的银纳米粒子对进行成像来进一步验证该方法。双成像技术能够在物理、化学和材料科学领域进行一类新的实验，朝着 X 射线自由电子激光器捕捉纳米物质超快电影的最初承诺迈出了重要一步。</w:t>
      </w:r>
    </w:p>
    <w:p>
      <w:pPr>
        <w:spacing w:before="0" w:after="200" w:lineRule="auto" w:line="276"/>
      </w:pPr>
      <w:r>
        <w:rPr>
          <w:b/>
        </w:rPr>
        <w:t xml:space="preserve">Abstract (EN): </w:t>
      </w:r>
      <w:r>
        <w:t>We experimentally demonstrate that pairs of time-delayed ultrabright and ultrashort X-ray pulses of two different colors, delivered by modern X-ray Free Electron Lasers, can provide two time-delayed snapshots of a sample. We introduce Dichography, a method that algorithmically separates the diffraction signals overlapping on the detector and independently retrieves the two images of the specimen. We employ Dichography to reconstruct two views of individual xenon-doped helium nanodroplets with 20 nm spatial resolution. The consistency of structures observed in both images at delays up to 750 fs provides evidence that, under these illumination conditions, significant structural damage only occurs at longer timescales. We further validate the method by imaging pairs of silver nanoparticles intercepted by the same light pulse. Dichography enables a new class of experiments across physics, chemistry, and materials science, making a significant step toward the original promise of X-ray free-electron lasers to capture ultrafast movies of nanomatter.</w:t>
      </w:r>
    </w:p>
    <w:p>
      <w:pPr>
        <w:spacing w:before="120" w:after="120"/>
      </w:pPr>
      <w:r>
        <w:rPr>
          <w:sz w:val="18"/>
        </w:rPr>
        <w:t>——————————————————————————————————————————————————————————————————————</w:t>
      </w:r>
    </w:p>
    <w:p>
      <w:pPr>
        <w:spacing w:before="160" w:after="40" w:line="240" w:lineRule="auto"/>
      </w:pPr>
      <w:r>
        <w:rPr>
          <w:b/>
        </w:rPr>
        <w:t xml:space="preserve">[278] </w:t>
      </w:r>
      <w:hyperlink r:id="rId793">
        <w:r>
          <w:rPr>
            <w:color w:val="1155CC"/>
            <w:u w:val="single"/>
          </w:rPr>
          <w:t>量子点自旋与循环光学跃迁的相干控制</w:t>
        </w:r>
      </w:hyperlink>
    </w:p>
    <w:p>
      <w:pPr>
        <w:spacing w:before="0" w:after="80"/>
      </w:pPr>
      <w:r>
        <w:rPr>
          <w:i/>
          <w:sz w:val="20"/>
        </w:rPr>
        <w:t>EN: Coherent control of quantum-dot spins with cyclic optical transitions</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固态自旋有望成为量子通信技术中从固定量子位到单光子的接口。半导体量子点具有出色的光学相干性，在与光子结构耦合时表现出接近一致的收集效率，并具有用于量子存储器的长寿命自旋。然而，同时执行光学自旋控制和单次读出的不兼容性一直是几乎所有固态发射器面临的挑战。为了克服这个问题，我们利用轻空穴混合在法拉第配置的带负电重空穴激子中实现高度不对称的 lambda 系统。通过补偿由与拉曼控制场的不等耦合引起的 GHz 级差分斯塔克位移，并通过执行核自旋冷却，我们实现了对 π 脉冲对比度为 97.4% 的电子自旋量子位的量子控制，同时保留了循环周期为 471 (50) 的自旋选择性光学跃迁。我们针对 GaAs 和 InGaAs 量子点演示了该方案，并表明它与核量子存储器的操作兼容。因此，我们的方法能够重复发射不可区分的光子以及量子位控制，以满足单次读出、光子簇态生成和量子中继器技术的要求。</w:t>
      </w:r>
    </w:p>
    <w:p>
      <w:pPr>
        <w:spacing w:before="0" w:after="200" w:lineRule="auto" w:line="276"/>
      </w:pPr>
      <w:r>
        <w:rPr>
          <w:b/>
        </w:rPr>
        <w:t xml:space="preserve">Abstract (EN): </w:t>
      </w:r>
      <w:r>
        <w:t>Solid-state spins are promising as interfaces from stationary qubits to single photons for quantum communication technologies. Semiconductor quantum dots have excellent optical coherence, exhibit near-unity collection efficiencies when coupled to photonic structures, and possess long-lived spins for quantum memory. However, the incompatibility of performing optical spin control and single-shot readout simultaneously has been a challenge faced by almost all solid-state emitters. To overcome this, we leverage light-hole mixing to realize a highly asymmetric lambda system in a negatively charged heavy-hole exciton in Faraday configuration. By compensating GHz-scale differential Stark shifts, induced by unequal coupling to Raman control fields, and by performing nuclear-spin cooling, we achieve quantum control of an electron-spin qubit with a π-pulse contrast of 97.4% while preserving spin-selective optical transitions with a cyclicity of 471 (50). We demonstrate this scheme for both GaAs and InGaAs quantum dots, and show that it is compatible with the operation of a nuclear quantum memory. Our approach thus enables repeated emission of indistinguishable photons together with qubit control, as required for single-shot readout, photonic cluster-state generation, and quantum repeater technologies.</w:t>
      </w:r>
    </w:p>
    <w:p>
      <w:pPr>
        <w:spacing w:before="120" w:after="120"/>
      </w:pPr>
      <w:r>
        <w:rPr>
          <w:sz w:val="18"/>
        </w:rPr>
        <w:t>——————————————————————————————————————————————————————————————————————</w:t>
      </w:r>
    </w:p>
    <w:p>
      <w:pPr>
        <w:spacing w:before="160" w:after="40" w:line="240" w:lineRule="auto"/>
      </w:pPr>
      <w:r>
        <w:rPr>
          <w:b/>
        </w:rPr>
        <w:t xml:space="preserve">[279] </w:t>
      </w:r>
      <w:hyperlink r:id="rId794">
        <w:r>
          <w:rPr>
            <w:color w:val="1155CC"/>
            <w:u w:val="single"/>
          </w:rPr>
          <w:t>灵活的人工复眼相机，用于混合现实中的超宽连续跟踪</w:t>
        </w:r>
      </w:hyperlink>
    </w:p>
    <w:p>
      <w:pPr>
        <w:spacing w:before="0" w:after="80"/>
      </w:pPr>
      <w:r>
        <w:rPr>
          <w:i/>
          <w:sz w:val="20"/>
        </w:rPr>
        <w:t>EN: Flexible artificial compound eye cameras for ultrawide continuous tracking in mixed reality</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在自然界中，果蝇进化出了一种简单但卓越的视觉系统，其特点是三级协同：用于全景感知的自然复眼、用于在昏暗条件下连续跟踪的头部肌肉以及用于动态场景的神经回路。这种视觉系统是仿生学的理想模型，但尽管人造复眼最近取得了重大进展，但实现真正的复制仍然具有挑战性。在这项研究中，我们提出了一种采用这种三级协同作用的柔性人工复眼相机。人造复眼由塑料光纤和弯曲微透镜阵列构成，用于实时全景成像。两条系绳模拟头部肌肉运动，实现 270° 视野，用于连续跟踪微弱信号。人工智能算法模仿神经处理，能够以高达 7000 fps 的速率重建交互式混合现实场景。这种全景传感、主动跟踪和类神经处理的独特集成为基于视觉的元宇宙应用和仿生可穿戴技术建立了一个框架。</w:t>
      </w:r>
    </w:p>
    <w:p>
      <w:pPr>
        <w:spacing w:before="0" w:after="200" w:lineRule="auto" w:line="276"/>
      </w:pPr>
      <w:r>
        <w:rPr>
          <w:b/>
        </w:rPr>
        <w:t xml:space="preserve">Abstract (EN): </w:t>
      </w:r>
      <w:r>
        <w:t>In nature, fruit flies Drosophila have evolved a simple but superb vision system characterised by a three-level synergy: natural compound eyes for panoramic perception, head muscles for continuous tracking in dim conditions, and neural circuits for dynamic scenes. This vision system serves as an ideal model for biomimicry, yet achieving true replication remains challenging, despite significant progress in artificial compound eyes recently. In this study, we present a flexible artificial compound eye camera that adopts such a three-level synergy. An artificial compound eye is constructed by plastic optical fibres and curved microlens arrays for real-time panoramic imaging. Two tethers simulate head muscle movements, achieving a 270° field of view for continuous tracking of weak signals. An artificial intelligence algorithm mimics neural processing, enabling the reconstruction of interactive mixed-reality scenes at rates up to 7000 fps. This unique integration of panoramic sensing, active tracking, and neural-like processing establishes a framework for vision-based metaverse applications and bioinspired wearable technologies.</w:t>
      </w:r>
    </w:p>
    <w:p>
      <w:pPr>
        <w:spacing w:before="120" w:after="120"/>
      </w:pPr>
      <w:r>
        <w:rPr>
          <w:sz w:val="18"/>
        </w:rPr>
        <w:t>——————————————————————————————————————————————————————————————————————</w:t>
      </w:r>
    </w:p>
    <w:p>
      <w:pPr>
        <w:spacing w:before="160" w:after="40" w:line="240" w:lineRule="auto"/>
      </w:pPr>
      <w:r>
        <w:rPr>
          <w:b/>
        </w:rPr>
        <w:t xml:space="preserve">[280] </w:t>
      </w:r>
      <w:hyperlink r:id="rId795">
        <w:r>
          <w:rPr>
            <w:color w:val="1155CC"/>
            <w:u w:val="single"/>
          </w:rPr>
          <w:t>结构化横向轨道角动量晶格中的时空通量呼吸和拓扑雕刻</w:t>
        </w:r>
      </w:hyperlink>
    </w:p>
    <w:p>
      <w:pPr>
        <w:spacing w:before="0" w:after="80"/>
      </w:pPr>
      <w:r>
        <w:rPr>
          <w:i/>
          <w:sz w:val="20"/>
        </w:rPr>
        <w:t>EN: Spatiotemporal flux breathing and topological sculpting in structured transverse orbital angular momentum lattices</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携带横向轨道角动量（OAM）的时空光学涡旋（STOV）从根本上扩展了光结构能力。然而，当前的刚体生成范例将横向 OAM 限制为单一标量属性，从而无法访问丰富的内部波包动力学。这种刚性与普遍存在的自然涡流形成鲜明对比，在自然涡流中，对称性破缺是常态。在这里，我们通过方位角相位梯度的非线性映射打破旋转对称性，实现可编程时空通量呼吸。我们从理论上和实验上证明，局部相位梯度变化会引起瞬时群速度各向异性。这迫使局部 OAM 密度自发地重组成稳定的多叶晶格结构，同时严格保留全局拓扑电荷。此外，我们利用这些结构的调制频率进行自由空间信息传输，实现时空拓扑状态的高保真编码和解码。这项工作将 STOV 从无源标量物体转变为结构化功能载体，为高维光通信、超快时空操纵、强场物理和高维量子纠缠开辟了途径。</w:t>
      </w:r>
    </w:p>
    <w:p>
      <w:pPr>
        <w:spacing w:before="0" w:after="200" w:lineRule="auto" w:line="276"/>
      </w:pPr>
      <w:r>
        <w:rPr>
          <w:b/>
        </w:rPr>
        <w:t xml:space="preserve">Abstract (EN): </w:t>
      </w:r>
      <w:r>
        <w:t>Spatiotemporal optical vortices (STOVs) carrying transverse orbital angular momentum (OAM) fundamentally expand light-structuring capabilities. However, current rigid-body generation paradigms constrain transverse OAM to a single scalar property, leaving rich internal wavepacket dynamics inaccessible. This rigidity contrasts with ubiquitous natural vortices where symmetry breaking is the norm. Here, we break rotational symmetry via the nonlinear mapping of the azimuthal phase gradient, realizing programmable spatiotemporal flux breathing. We theoretically and experimentally demonstrate that local phase gradient variations induce instantaneous group velocity anisotropy. This compels local OAM density to spontaneously reorganize into stable, multilobed lattice structures while strictly preserving global topological charge. Furthermore, we harness these structures’ modulation frequency for free-space information transfer, achieving high-fidelity encoding and decoding of spatiotemporal topological states. This work transitions STOVs from passive scalar objects to structured functional carriers, opening avenues for high-dimensional optical communications, ultrafast spatiotemporal manipulation, strong-field physics, and high-dimensional quantum entanglement.</w:t>
      </w:r>
    </w:p>
    <w:p>
      <w:pPr>
        <w:spacing w:before="120" w:after="120"/>
      </w:pPr>
      <w:r>
        <w:rPr>
          <w:sz w:val="18"/>
        </w:rPr>
        <w:t>——————————————————————————————————————————————————————————————————————</w:t>
      </w:r>
    </w:p>
    <w:p>
      <w:pPr>
        <w:spacing w:before="160" w:after="40" w:line="240" w:lineRule="auto"/>
      </w:pPr>
      <w:r>
        <w:rPr>
          <w:b/>
        </w:rPr>
        <w:t xml:space="preserve">[281] </w:t>
      </w:r>
      <w:hyperlink r:id="rId796">
        <w:r>
          <w:rPr>
            <w:color w:val="1155CC"/>
            <w:u w:val="single"/>
          </w:rPr>
          <w:t>基于多模式血液的蛋白质组学分析揭示了免疫治疗耐药机制的见解</w:t>
        </w:r>
      </w:hyperlink>
    </w:p>
    <w:p>
      <w:pPr>
        <w:spacing w:before="0" w:after="80"/>
      </w:pPr>
      <w:r>
        <w:rPr>
          <w:i/>
          <w:sz w:val="20"/>
        </w:rPr>
        <w:t>EN: Multimodal blood based proteomic profiling reveals insights into mechanisms of immunotherapy resistance</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许多接受免疫检查点阻断（ICB）治疗的癌症患者没有持久的治疗反应。循环生物标志物有可能识别出原发性耐药或治疗早期进展的患者，以改变治疗过程并可能避免不必要的毒性。由于先前多重技术的可扩展性有限或缺乏时间序列采样的队列，血液中无偏的多模式蛋白质组学分析尚未得到充分探索。为了解决这个问题，我们对 250 名接受 ICB 治疗的转移性黑色素瘤患者进行了连续时间点的超过 2900 种蛋白质的血浆蛋白质组学分析和外周血淋巴细胞的高维质量细胞计数。我们进一步获得了 92 个患者匹配的肿瘤样本，对其进行处理以进行单细胞和/或批量 RNA 测序。 ICB 后上调的蛋白质与涉及效应免疫功能激活的炎症途径相关。与这些蛋白质相对应的基因在参与募集和肿瘤反应性的免疫细胞中表达较高。与无应答者中更丰富的血浆蛋白相对应的基因的表达在抑制性骨髓亚群和恶性细胞中最高。我们进一步假设这些非应答基因参与免疫抑制和促肿瘤相互作用，我们使用公开的空间转录组数据证实了这一点。我们还发现，ICB 后应答者循环中的上皮特异性蛋白与患者毒性相关，并且可能源自健康组织的降解。在一起，这些</w:t>
      </w:r>
    </w:p>
    <w:p>
      <w:pPr>
        <w:spacing w:before="0" w:after="200" w:lineRule="auto" w:line="276"/>
      </w:pPr>
      <w:r>
        <w:rPr>
          <w:b/>
        </w:rPr>
        <w:t xml:space="preserve">Abstract (EN): </w:t>
      </w:r>
      <w:r>
        <w:t>Many cancer patients treated with immune checkpoint blockade (ICB) do not have durable treatment responses. Circulating biomarkers have the potential to identify patients with primary resistance or early progression on therapy to alter treatment course and potentially avoid unnecessary toxicity. Unbiased multimodal proteomic profiling in blood has been underexplored due to the previously limited scalability of multiplexing technologies or cohorts lacking time-series sampling. To address this, we performed plasma proteomic profiling of &gt;2900 proteins and high-dimensional mass cytometry of peripheral blood lymphocytes across serial time points in 250 metastatic melanoma patients on ICB treatment. We further obtained 92 patient-matched tumor samples, which were processed for single-cell and/or bulk RNA sequencing. Proteins upregulated post-ICB were associated with inflammatory pathways involving the activation of effector immune functions. Expression of genes corresponding to these proteins was higher in immune cells involved in recruitment and tumor reactivity. Expression of genes corresponding to plasma proteins more abundant in non-responders was highest in suppressive myeloid subsets and malignant cells. We further posit the involvement of these non-responder genes in immunosuppressive and pro-tumor interactions, which we confirm using publicly available spatial transcriptomic data. We also find that epithelial-specific proteins in the circulation of responders post-ICB associate with patient toxicity and likely originate from degradation of healthy tissues. Together, these data represent extensive potential peripheral biomarker characterization using paired blood and tumor samples in melanoma patients treated with ICB, and begin to elucidate the complex interplay between tumors and the systemic immune response within the host.</w:t>
      </w:r>
    </w:p>
    <w:p>
      <w:pPr>
        <w:spacing w:before="120" w:after="120"/>
      </w:pPr>
      <w:r>
        <w:rPr>
          <w:sz w:val="18"/>
        </w:rPr>
        <w:t>——————————————————————————————————————————————————————————————————————</w:t>
      </w:r>
    </w:p>
    <w:p>
      <w:pPr>
        <w:spacing w:before="160" w:after="40" w:line="240" w:lineRule="auto"/>
      </w:pPr>
      <w:r>
        <w:rPr>
          <w:b/>
        </w:rPr>
        <w:t xml:space="preserve">[282] </w:t>
      </w:r>
      <w:hyperlink r:id="rId797">
        <w:r>
          <w:rPr>
            <w:color w:val="1155CC"/>
            <w:u w:val="single"/>
          </w:rPr>
          <w:t>MIND：与邻域感知分布的多模式集成</w:t>
        </w:r>
      </w:hyperlink>
    </w:p>
    <w:p>
      <w:pPr>
        <w:spacing w:before="0" w:after="80"/>
      </w:pPr>
      <w:r>
        <w:rPr>
          <w:i/>
          <w:sz w:val="20"/>
        </w:rPr>
        <w:t>EN: MIND: multimodal integration with neighbourhood-aware distributions</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多模式数据集成结合了不同的数据模式，以提高预测和分类性能。在生物学中，多组学分析已成为癌症患者分层等应用的强大工具。然而，由于缺失和固有的异质性，多组学数据的整合仍然具有挑战性。插补和样本排除等方法通常依赖于可能导致信息丢失或失真的强烈假设。为了解决这些限制，我们提出了 MIND（与邻域感知分布的多模态集成），它使用具有数据驱动先验的多模态变分自编码器从不完整的多组学数据中学习患者特定的嵌入。我们将观察到的数据集的邻域结构（编码为亲和矩阵）注入到先验中，当数据和潜在空间中的邻域结构发散时，对潜在配置进行惩罚。 MIND 可以稳健地处理高缺失率、不平衡缺失模式和低信噪比。与现有的集成方法相比，MIND 在合成数据和真实数据的下游任务上都取得了更好的性能。</w:t>
      </w:r>
    </w:p>
    <w:p>
      <w:pPr>
        <w:spacing w:before="0" w:after="200" w:lineRule="auto" w:line="276"/>
      </w:pPr>
      <w:r>
        <w:rPr>
          <w:b/>
        </w:rPr>
        <w:t xml:space="preserve">Abstract (EN): </w:t>
      </w:r>
      <w:r>
        <w:t>Multimodal data integration combines different data modalities to improve predictive and classification performance. In biology, multi-omics profiling has become a powerful tool for applications such as cancer patient stratification. However, integration of multi-omics data remains challenging because of missingness and inherent heterogeneity. Methods such as imputation and sample exclusion often rely on strong assumptions that could lead to information loss or distortion. To address these limitations, we propose MIND (Multimodal Integration with Neighbourhood-aware Distributions), which learns patient-specific embeddings from incomplete multi-omics data using a multimodal Variational Autoencoder with a data-driven prior. We inject neighbourhood structure of the observed dataset, encoded as affinity matrices, into the prior, penalising latent configurations when neighbourhood structures in data and latent spaces diverge. MIND handles high missing rates, unbalanced missingness patterns, and low signal-to-noise ratios robustly. Compared with existing integration methods, MIND achieves better performance on downstream tasks on both synthetic and real data.</w:t>
      </w:r>
    </w:p>
    <w:p>
      <w:pPr>
        <w:spacing w:before="120" w:after="120"/>
      </w:pPr>
      <w:r>
        <w:rPr>
          <w:sz w:val="18"/>
        </w:rPr>
        <w:t>——————————————————————————————————————————————————————————————————————</w:t>
      </w:r>
    </w:p>
    <w:p>
      <w:pPr>
        <w:spacing w:before="160" w:after="40" w:line="240" w:lineRule="auto"/>
      </w:pPr>
      <w:r>
        <w:rPr>
          <w:b/>
        </w:rPr>
        <w:t xml:space="preserve">[283] </w:t>
      </w:r>
      <w:hyperlink r:id="rId798">
        <w:r>
          <w:rPr>
            <w:color w:val="1155CC"/>
            <w:u w:val="single"/>
          </w:rPr>
          <w:t>植物磺因子信号模块激活 Nod 因子受体来控制大豆结瘤</w:t>
        </w:r>
      </w:hyperlink>
    </w:p>
    <w:p>
      <w:pPr>
        <w:spacing w:before="0" w:after="80"/>
      </w:pPr>
      <w:r>
        <w:rPr>
          <w:i/>
          <w:sz w:val="20"/>
        </w:rPr>
        <w:t>EN: A Phytosulfokine signaling module activates the Nod factor receptor to control soybean nodulation</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根瘤菌-豆科植物共生对于固氮至关重要，是通过 NF 受体 (NFR) 感知 Nod 因子 (NF) 启动的。然而，调节 NFR 活性的机制仍然不明确。在这里，我们鉴定了一个NODULE INCEPTION 1 (GmNIN1)-枯草杆菌蛋白酶样蛋白酶1.2 (GmSBT1.2)-Phytosulfokine 4 (GmPSK4)-Phytosulfokine Receptor 1 (GmPSKR1)信号模块，该模块直接激活GmNFR1ɑ以促进大豆结瘤。我们证明 GmNIN1a 特异性激活 GmSBT1.2b/1.2d，这对于结瘤很重要。 GmSBT1.2b 将植物磺肽 GmPSK4a 的前蛋白裂解成成熟形式。 GmPSK4a 及其同源物 GmPSK4b 的敲除会严重损害结瘤。遗传分析证实了 GmSBT1.2b/1.2d 和 GmPSK4a/4b 在功能上的相互依赖性。 GmPSKR1a/1b/1c 被鉴定为 GmPSK4 受体，有利于结瘤。值得注意的是，GmPSKR1a 与 GmNFR1ɑ 发生物理相互作用并增强其激酶活性。因此，GmPSKR1a 激活 GmNFR1ɑ 对于其启动 NF 信号传导的作用非常重要。我们的研究结果揭示了一种以前未知的控制核心 NF 信号传导的调节机制，为共生固氮的治理提供了基本见解。</w:t>
      </w:r>
    </w:p>
    <w:p>
      <w:pPr>
        <w:spacing w:before="0" w:after="200" w:lineRule="auto" w:line="276"/>
      </w:pPr>
      <w:r>
        <w:rPr>
          <w:b/>
        </w:rPr>
        <w:t xml:space="preserve">Abstract (EN): </w:t>
      </w:r>
      <w:r>
        <w:t>The rhizobia-legume symbiosis, essential for nitrogen fixation, is initiated through Nod Factor (NF) perception by the NF receptors (NFRs). However, the mechanisms regulating NFR activity remain poorly defined. Here, we identify a NODULE INCEPTION 1 (GmNIN1)- Subtilisin-like Protease 1.2 (GmSBT1.2) - Phytosulfokine 4 (GmPSK4) - Phytosulfokine Receptor 1 (GmPSKR1) signaling module that directly activates the GmNFR1ɑ to promote nodulation in soybean. We demonstrate that GmNIN1a specifically activates GmSBT1.2b/1.2d, which are important for nodulation. GmSBT1.2b cleaves the proprotein of the phytosulfokine peptide GmPSK4a into mature form. Knockout of GmPSK4a and its homolog GmPSK4b severely impairs nodulation. Genetic analyses confirm the functionally interdependency of GmSBT1.2b/1.2d and GmPSK4a/4b. GmPSKR1a/1b/1c, identified as GmPSK4 receptors, are beneficial to nodulation. Notably, GmPSKR1a physically interacts with GmNFR1ɑ and enhances its kinase activity. Thus, the activation of GmNFR1ɑ by GmPSKR1a is important to its role in initiating NF signaling. Our findings uncover a previously unknown regulatory mechanism that controls the core NF signaling, providing fundamental insights into the governance of symbiotic nitrogen fixation.</w:t>
      </w:r>
    </w:p>
    <w:p>
      <w:pPr>
        <w:spacing w:before="120" w:after="120"/>
      </w:pPr>
      <w:r>
        <w:rPr>
          <w:sz w:val="18"/>
        </w:rPr>
        <w:t>——————————————————————————————————————————————————————————————————————</w:t>
      </w:r>
    </w:p>
    <w:p>
      <w:pPr>
        <w:spacing w:before="160" w:after="40" w:line="240" w:lineRule="auto"/>
      </w:pPr>
      <w:r>
        <w:rPr>
          <w:b/>
        </w:rPr>
        <w:t xml:space="preserve">[284] </w:t>
      </w:r>
      <w:hyperlink r:id="rId799">
        <w:r>
          <w:rPr>
            <w:color w:val="1155CC"/>
            <w:u w:val="single"/>
          </w:rPr>
          <w:t>促进全球基因组公平：为非洲国家基因组项目提供案例</w:t>
        </w:r>
      </w:hyperlink>
    </w:p>
    <w:p>
      <w:pPr>
        <w:spacing w:before="0" w:after="80"/>
      </w:pPr>
      <w:r>
        <w:rPr>
          <w:i/>
          <w:sz w:val="20"/>
        </w:rPr>
        <w:t>EN: Advancing global genomic equity: making a case for national genome projects in Africa</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基因组数据对医疗保健具有变革潜力。尽管非洲人口拥有无与伦比的遗传多样性，但在全球基因组学研究中的代表性仍然不足，导致非洲和全球的健康状况较差。政治、金融和社会挑战阻碍了进展，因此倡导公众对基因组学的理解、解决社会耻辱以及使举措与国家政策保持一致是前进的关键步骤。非洲拥有大量高技能科学家和实验室，具有 DNA 分析能力，可用于人类遗传学研究和服务提供，为增长和创新提供了机会。本文重点介绍了非洲基因组学的进展，强调公平的重要性，并提出了确定优先顺序、资助和实施国家基因组项目的可行步骤。这是行动号召。基因组数据可以改变医疗保健，但非洲人口代表性不足，目前限制了其收益。作者在此强调了解决政治、金融和社会障碍以及推进公平的国家基因组项目的重要性。</w:t>
      </w:r>
    </w:p>
    <w:p>
      <w:pPr>
        <w:spacing w:before="0" w:after="200" w:lineRule="auto" w:line="276"/>
      </w:pPr>
      <w:r>
        <w:rPr>
          <w:b/>
        </w:rPr>
        <w:t xml:space="preserve">Abstract (EN): </w:t>
      </w:r>
      <w:r>
        <w:t>Genomic data hold transformative potential for healthcare. Despite their unparalleled genetic diversity, African populations remain underrepresented in global genomics research, contributing to poorer health outcomes both within Africa and globally. Political, financial, and social challenges hinder progress, and therefore advocacy for public understanding of genomics, addressing social stigma, and aligning initiatives with national policies are critical steps forward. Africa hosts a large pool of highly skilled scientists and laboratories with DNA analysis capacity to harness for human genetics research and service provision, presenting opportunities for growth and innovation. This article highlights progress in African genomics, emphasizes the importance of equity, and proposes actionable steps for prioritizing, funding, and implementing national genome projects. It is a call to action. Genomic data could transform healthcare, but African populations are underrepresented, currently limiting benefits. Here the authors highlight how addressing political, financial, and social barriers and advancing equitable national genome projects is essential.</w:t>
      </w:r>
    </w:p>
    <w:p>
      <w:pPr>
        <w:spacing w:before="120" w:after="120"/>
      </w:pPr>
      <w:r>
        <w:rPr>
          <w:sz w:val="18"/>
        </w:rPr>
        <w:t>——————————————————————————————————————————————————————————————————————</w:t>
      </w:r>
    </w:p>
    <w:p>
      <w:pPr>
        <w:spacing w:before="160" w:after="40" w:line="240" w:lineRule="auto"/>
      </w:pPr>
      <w:r>
        <w:rPr>
          <w:b/>
        </w:rPr>
        <w:t xml:space="preserve">[285] </w:t>
      </w:r>
      <w:hyperlink r:id="rId800">
        <w:r>
          <w:rPr>
            <w:color w:val="1155CC"/>
            <w:u w:val="single"/>
          </w:rPr>
          <w:t>假尿苷合酶 PUS1 和起始因子 mtIF2 是人线粒体小亚基组装因子</w:t>
        </w:r>
      </w:hyperlink>
    </w:p>
    <w:p>
      <w:pPr>
        <w:spacing w:before="0" w:after="80"/>
      </w:pPr>
      <w:r>
        <w:rPr>
          <w:i/>
          <w:sz w:val="20"/>
        </w:rPr>
        <w:t>EN: Pseudouridine synthase PUS1 and initiation factor mtIF2 are human mitoribosomal small subunit assembly factors</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线粒体核糖体（mitoribosome）的组装是线粒体基因表达的关键步骤。这一过程促进线粒体翻译，从而产生氧化磷酸化机制（细胞的主要能量产生机制）的重要亚基。线粒体核糖体组装的破坏可能导致严重的人类疾病。鉴于其根本重要性，线粒体核糖体组装途径的详细结构分析对于增进我们对健康和疾病中线粒体功能的理解至关重要。在这项研究中，我们表征了从人类细胞中分离出的线粒体小亚基（mtSSU）的十二种不同的组装状态。我们的研究结果揭示了 mtSSU 平台、解码中心和 12S rRNA 3' 端最终成熟阶段的复杂细节。这一过程由组装因子的协调作用控制，确保精确、逐步的 rRNA 折叠以及线粒体核糖体蛋白整合到发育中的亚基中。我们的方法将假尿苷合酶 PUS1 和起始因子 mtIF2 识别为组装因子，分别将它们的已知作用扩展到 mt-tRNA 成熟和翻译之外。此外，确定的组装中间体提供了对线粒体中 mtSSU 生物发生的模块化性质的深入了解，并进一步将后期组装与翻译能力的获得联系起来。</w:t>
      </w:r>
    </w:p>
    <w:p>
      <w:pPr>
        <w:spacing w:before="0" w:after="200" w:lineRule="auto" w:line="276"/>
      </w:pPr>
      <w:r>
        <w:rPr>
          <w:b/>
        </w:rPr>
        <w:t xml:space="preserve">Abstract (EN): </w:t>
      </w:r>
      <w:r>
        <w:t>Assembly of the mitochondrial ribosome (mitoribosome) is a crucial step in mitochondrial gene expression. This process facilitates mitochondrial translation, which produces essential subunits of the oxidative phosphorylation machinery—the cell’s primary energy-producing machinery. Disruptions in mitoribosome assembly can lead to severe human diseases. Given its fundamental importance, detailed structural analysis of mitoribosome assembly pathways is essential for advancing our understanding of mitochondrial function in both health and disease. In this study, we characterize twelve distinct assembly states of the mitoribosomal small subunit (mtSSU) isolated from human cells. Our findings reveal the intricate details of the final maturation stages of the mtSSU platform, decoding center, and the 3’-end of 12S rRNA. This process is governed by coordinated actions of assembly factors that ensure precise, stepwise rRNA folding and the integration of mitoribosomal proteins into the developing subunit. Our approach identifies pseudouridine synthase PUS1 and initiation factor mtIF2 as assembly factors, expanding their known roles beyond mt-tRNA maturation and translation, respectively. In addition, the identified assembly intermediates provide insight into the modular nature of mtSSU biogenesis in mitochondria and further link late-stage assembly to the acquisition of translational competence.</w:t>
      </w:r>
    </w:p>
    <w:p>
      <w:pPr>
        <w:spacing w:before="120" w:after="120"/>
      </w:pPr>
      <w:r>
        <w:rPr>
          <w:sz w:val="18"/>
        </w:rPr>
        <w:t>——————————————————————————————————————————————————————————————————————</w:t>
      </w:r>
    </w:p>
    <w:p>
      <w:pPr>
        <w:spacing w:before="160" w:after="40" w:line="240" w:lineRule="auto"/>
      </w:pPr>
      <w:r>
        <w:rPr>
          <w:b/>
        </w:rPr>
        <w:t xml:space="preserve">[286] </w:t>
      </w:r>
      <w:hyperlink r:id="rId801">
        <w:r>
          <w:rPr>
            <w:color w:val="1155CC"/>
            <w:u w:val="single"/>
          </w:rPr>
          <w:t>GW250114揭示了合并后黑洞视界的特征</w:t>
        </w:r>
      </w:hyperlink>
    </w:p>
    <w:p>
      <w:pPr>
        <w:spacing w:before="0" w:after="80"/>
      </w:pPr>
      <w:r>
        <w:rPr>
          <w:i/>
          <w:sz w:val="20"/>
        </w:rPr>
        <w:t>EN: GW250114 reveals signatures of post-merger black-hole horizon</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802">
        <w:r>
          <w:rPr>
            <w:color w:val="1155CC"/>
            <w:u w:val="single"/>
          </w:rPr>
          <w:t>10.1038/s41586-026-10696-0</w:t>
        </w:r>
      </w:hyperlink>
    </w:p>
    <w:p>
      <w:pPr>
        <w:spacing w:before="0" w:after="120"/>
      </w:pPr>
      <w:r>
        <w:rPr>
          <w:b/>
        </w:rPr>
        <w:t xml:space="preserve">Notes: </w:t>
      </w:r>
      <w:r>
        <w:t>abstract_source=nature_html</w:t>
      </w:r>
    </w:p>
    <w:p>
      <w:pPr>
        <w:spacing w:before="0" w:after="80" w:lineRule="auto" w:line="276"/>
      </w:pPr>
      <w:r>
        <w:rPr>
          <w:b/>
        </w:rPr>
        <w:t xml:space="preserve">摘要（ZH）: </w:t>
      </w:r>
      <w:r>
        <w:t>黑洞的视界，即“不归路表面”，由其旋转频率 ΩH 和表面重力 κ 来表征。一个引人注目的特征是，由于框架拖动，任何坠落物体似乎都以 ΩH 轨道运行，而其发射的信号由于引力红移而以 κ 设置的速率呈指数衰减。最近的理论工作1预测，双黑洞合并产生的引力波以“直接波”的形式直接影响了合并残余物的特性。该引力波分量在 2ΩH 附近振荡，反映了地平线的框架拖曳，并以 κ 为特征的不断增加的速率衰减，并受到黑洞时空的额外屏蔽。在这里，我们报告了 GW2501142 中直达波的观测证据，其 90% 可信的匹配滤波器信噪比为 15.8−0.5+0.1" role="presentation"&gt;15.8−0.5+0.1{15.8}_{-0.5}^{+0.1} (17.1−0.4+0.1" role="presentation"&gt;17.1−0.4+0.1{17.1}_{-0.4}^{+0.1}) 在 LIGO 汉福德（利文斯顿）探测器中。测量的特性与克尔黑洞的理论预测完全一致。这些发现建立了一个观测通道，可以直接测量黑洞能层中的参考系拖曳效应，并探索动态强重力状态下的（近）地平线物理。</w:t>
      </w:r>
    </w:p>
    <w:p>
      <w:pPr>
        <w:spacing w:before="0" w:after="200" w:lineRule="auto" w:line="276"/>
      </w:pPr>
      <w:r>
        <w:rPr>
          <w:b/>
        </w:rPr>
        <w:t xml:space="preserve">Abstract (EN): </w:t>
      </w:r>
      <w:r>
        <w:t>The horizon of a black hole, the ‘surface of no return’, is characterized by its rotation frequency ΩH and surface gravity κ. A striking signature is that any infalling object appears to orbit at ΩH owing to frame dragging, while its emitted signals decay exponentially at a rate set by κ as a consequence of gravitational redshift. Recent theoretical work1 predicts that gravitational waves from binary black-hole mergers carry direct imprints of the properties of the merger remnant in the form of a ‘direct wave’. This gravitational-wave component oscillates near 2ΩH, reflecting the horizon’s frame dragging, and decays at an increasing rate characterized by κ, with additional screening from the black hole’s spacetime. Here we report observational evidence of a direct wave in GW2501142, with a 90% credible matched-filter signal-to-noise ratio of 15.8&amp;#x2212;0.5+0.1" role="presentation"&gt;15.8−0.5+0.1{15.8}_{-0.5}^{+0.1} (17.1&amp;#x2212;0.4+0.1" role="presentation"&gt;17.1−0.4+0.1{17.1}_{-0.4}^{+0.1}) in the LIGO Hanford (Livingston) detector. The measured properties are in full agreement with theoretical predictions for a Kerr black hole. These findings establish an observational channel to directly measure frame-dragging effects in black-hole ergospheres and explore (near-)horizon physics in dynamical, strong-gravity regimes.</w:t>
      </w:r>
    </w:p>
    <w:p>
      <w:pPr>
        <w:spacing w:before="120" w:after="120"/>
      </w:pPr>
      <w:r>
        <w:rPr>
          <w:sz w:val="18"/>
        </w:rPr>
        <w:t>——————————————————————————————————————————————————————————————————————</w:t>
      </w:r>
    </w:p>
    <w:p>
      <w:pPr>
        <w:spacing w:before="160" w:after="40" w:line="240" w:lineRule="auto"/>
      </w:pPr>
      <w:r>
        <w:rPr>
          <w:b/>
        </w:rPr>
        <w:t xml:space="preserve">[287] </w:t>
      </w:r>
      <w:hyperlink r:id="rId803">
        <w:r>
          <w:rPr>
            <w:color w:val="1155CC"/>
            <w:u w:val="single"/>
          </w:rPr>
          <w:t>强迫症多维大脑结构改变的区域、功能和转录组解码</w:t>
        </w:r>
      </w:hyperlink>
    </w:p>
    <w:p>
      <w:pPr>
        <w:spacing w:before="0" w:after="80"/>
      </w:pPr>
      <w:r>
        <w:rPr>
          <w:i/>
          <w:sz w:val="20"/>
        </w:rPr>
        <w:t>EN: Regional, functional and transcriptomic decoding of multidimensional brain structure alterations in obsessive-compulsive disorder</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精神疾病中大脑形态的研究通常集中在一些神经影像表型上。在这里，我们使用九种皮质和四种皮质下表型，在大样本（2255 名强迫症，2264 名对照）中展示了强迫症（OCD）的全面形态学特征，其中包括一些以前未在强迫症中检查过的表型，其中包括这里开发的皮质下结构相似性网络表型。结构表型中出现了空间上不同的区域改变：默认模式和额顶叶网络中的皮质曲率改变、感觉运动区域结构相似性网络节点程度增加、与药物使用相关的广泛体积减少以及局部皮质下形状改变。在大脑行为预测模型中，曲率表型显示出与临床特征最强的关联。皮质改变，尤其是结构相似性网络中的改变，与特定的基因表达模式相关，暗示兴奋性神经元的失调。功能性神经外科手术期间收集的组织的 RNA 测序数据显示，强迫症患者背外侧前额叶皮质中基因下调导致了与皮质改变相关的基因表达模式。先前报道的来自强迫症死后大脑研究的差异表达基因也有所贡献。这些发现支持了表征大脑形态的综合方法的重要性，并表明皮质曲率和结构相似性的改变反映了大脑中关键的病理生理过程。</w:t>
      </w:r>
    </w:p>
    <w:p>
      <w:pPr>
        <w:spacing w:before="0" w:after="200" w:lineRule="auto" w:line="276"/>
      </w:pPr>
      <w:r>
        <w:rPr>
          <w:b/>
        </w:rPr>
        <w:t xml:space="preserve">Abstract (EN): </w:t>
      </w:r>
      <w:r>
        <w:t>Studies of brain morphology in mental illness often focus on a few neuroimaging phenotypes. Here we present a comprehensive morphological characterization in obsessive-compulsive disorder (OCD) in a large sample (2255 OCD, 2264 controls) using nine cortical and four subcortical phenotypes, including several not previously examined in OCD, among them a subcortical structural similarity network phenotype developed here. Spatially distinct regional alterations emerged across structural phenotypes: cortical curvature alterations in default mode and frontoparietal networks, increased structural similarity network node degree in sensorimotor regions, widespread volume reductions associated with medication use, and localized subcortical shape alterations. In brain-behavior predictive models, curvature phenotypes showed the strongest associations with clinical features. Cortical alterations, especially in structural similarity networks, were associated with specific gene expression patterns, implicating dysregulation of excitatory neurons. RNA-sequencing data from tissue collected during functional neurosurgery revealed that genes downregulated in the dorsolateral prefrontal cortex in OCD contributed to the gene expression patterns linked to cortical alterations. Previously reported differentially expressed genes from postmortem brain studies of OCD also contributed. These findings support the importance of a comprehensive approach to characterizing brain morphology and suggest that cortical curvature and structural similarity alterations reflect key pathophysiological processes in OCD.</w:t>
      </w:r>
    </w:p>
    <w:p>
      <w:pPr>
        <w:spacing w:before="120" w:after="120"/>
      </w:pPr>
      <w:r>
        <w:rPr>
          <w:sz w:val="18"/>
        </w:rPr>
        <w:t>——————————————————————————————————————————————————————————————————————</w:t>
      </w:r>
    </w:p>
    <w:p>
      <w:pPr>
        <w:spacing w:before="160" w:after="40" w:line="240" w:lineRule="auto"/>
      </w:pPr>
      <w:r>
        <w:rPr>
          <w:b/>
        </w:rPr>
        <w:t xml:space="preserve">[288] </w:t>
      </w:r>
      <w:hyperlink r:id="rId804">
        <w:r>
          <w:rPr>
            <w:color w:val="1155CC"/>
            <w:u w:val="single"/>
          </w:rPr>
          <w:t>临床相关人类皮肤相关真菌的比较基因组分析</w:t>
        </w:r>
      </w:hyperlink>
    </w:p>
    <w:p>
      <w:pPr>
        <w:spacing w:before="0" w:after="80"/>
      </w:pPr>
      <w:r>
        <w:rPr>
          <w:i/>
          <w:sz w:val="20"/>
        </w:rPr>
        <w:t>EN: Comparative genomic analysis of clinically relevant human skin-associated fungi</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皮肤真菌感染是一个重大的全球健康负担，每年影响约十亿人。尽管它们很普遍并且对全球健康产生重大影响，但其致病性的分子机制在很大程度上仍然未知。在这里，我们展示了 66 种真菌菌株的基因组，代表与人类皮肤感染相关的高度流行和临床相关的物种。利用比较基因组学，我们研究了这组皮肤真菌中的分类群体在基因组结构、代谢能力、分泌酶库、粘附素含量和预测毒力决定因素方面是否存在差异。这些分析揭示了基因组大小和基因内容的巨大变化，表明当真菌从自由生活转变为与宿主相关的生活方式时，基因组发生了压缩。我们报告了两种卵形毛孢子菌的非杂交菌株，卵形毛孢子菌是白彼德拉病的病原体。我们的分析表明，与身体部位和营养生态位相对应的皮肤相关真菌的代谢适应存在显着差异。毒力因子和粘附素的分布也存在显着差异，这对于生物膜形成和抗真菌耐药性至关重要。我们在临床表现的背景下讨论了我们的数据揭示的代谢适应和毒力机制，强调了适应的共享和谱系特异性特征。总之，这些见解增进了我们对皮肤相关真菌及其感染机制的理解。</w:t>
      </w:r>
    </w:p>
    <w:p>
      <w:pPr>
        <w:spacing w:before="0" w:after="200" w:lineRule="auto" w:line="276"/>
      </w:pPr>
      <w:r>
        <w:rPr>
          <w:b/>
        </w:rPr>
        <w:t xml:space="preserve">Abstract (EN): </w:t>
      </w:r>
      <w:r>
        <w:t>Fungal skin infections represent a significant global health burden, affecting approximately one billion people annually. Despite their prevalence and major global health impact, the molecular mechanisms underlying pathogenicity remain largely uncharacterized. Here we present the genomes of 66 fungal strains, representing highly prevalent and clinically relevant species associated with human skin infections. Using comparative genomics, we investigate whether the taxonomic groups in this collection of skin fungi differ in their genome architecture, metabolic capacity, secreted enzyme repertoires, adhesin content, and predicted virulence determinants. These analyses reveal substantial variation in genome size and gene contents, indicating genome compaction occurred as the fungi transitioned from free-living to host-associated lifestyles. We report two non-hybrid strains of Trichosporon ovoides, the causative agent of white piedra. Our analyses reveal substantial differences in metabolic adaptations across skin-associated fungi, corresponding to body-site and nutrient niches. Significant differences are also observed in the distribution of virulence factors and adhesins, which are imperative for biofilm formation and antifungal resistance. We discuss metabolic adaptation and virulence mechanisms revealed by our data in the context of clinical presentations, highlighting shared and lineage-specific signatures of adaptations. Together, these insights advance our understanding of skin-associated fungi and their mechanisms of infection.</w:t>
      </w:r>
    </w:p>
    <w:p>
      <w:pPr>
        <w:spacing w:before="120" w:after="120"/>
      </w:pPr>
      <w:r>
        <w:rPr>
          <w:sz w:val="18"/>
        </w:rPr>
        <w:t>——————————————————————————————————————————————————————————————————————</w:t>
      </w:r>
    </w:p>
    <w:p>
      <w:pPr>
        <w:spacing w:before="160" w:after="40" w:line="240" w:lineRule="auto"/>
      </w:pPr>
      <w:r>
        <w:rPr>
          <w:b/>
        </w:rPr>
        <w:t xml:space="preserve">[289] </w:t>
      </w:r>
      <w:hyperlink r:id="rId805">
        <w:r>
          <w:rPr>
            <w:color w:val="1155CC"/>
            <w:u w:val="single"/>
          </w:rPr>
          <w:t>III-D2型CRISPR效应复合物合成SAM-AMP和SAM-AMP2的结构机制</w:t>
        </w:r>
      </w:hyperlink>
    </w:p>
    <w:p>
      <w:pPr>
        <w:spacing w:before="0" w:after="80"/>
      </w:pPr>
      <w:r>
        <w:rPr>
          <w:i/>
          <w:sz w:val="20"/>
        </w:rPr>
        <w:t>EN: Structural mechanism of SAM-AMP and SAM-AMP2 synthesis by the type III-D2 CRISPR effector complex</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III-D2型CRISPR-Cas系统包含多个Cas亚基和一个CRISPR RNA，并且可能是经过充分研究的III-A型和III-E型系统之间的进化中间体。在这里，我们证明 III-D2 型复合物响应靶 RNA 识别，从 S-腺苷甲硫氨酸 (SAM) 和 ATP 合成两个不同的第二信使 SAM-AMP 和 SAM-AMP2。我们确定了 III-D2 型效应复合物在不同功能状态下的冷冻电子显微镜结构，为靶 RNA 裂解和第二信使合成提供了机制见解。这些结构揭示了效应复合物内的 Cas10 亚基如何识别 SAM 和 ATP。此外，我们的生物学数据表明，SAM-AMP 和 SAM-AMP2 均作用于 CorA 辅助效应器，诱导受感染细菌细胞的生长停滞，从而赋予免疫力。因此，我们的研究将 III-D2 型系统建立为一种独特的抗噬菌体防御机制，采用 SAM-AMP 和 SAM-AMP2 作为第二信使，扩展了细菌防御系统中第二信使策略的库，并强调了 CRISPR-Cas 系统显着的功能多样性。</w:t>
      </w:r>
    </w:p>
    <w:p>
      <w:pPr>
        <w:spacing w:before="0" w:after="200" w:lineRule="auto" w:line="276"/>
      </w:pPr>
      <w:r>
        <w:rPr>
          <w:b/>
        </w:rPr>
        <w:t xml:space="preserve">Abstract (EN): </w:t>
      </w:r>
      <w:r>
        <w:t>The type III-D2 CRISPR-Cas system comprises multiple Cas subunits and a CRISPR RNA, and is likely an evolutionary intermediate between the well-studied type III-A and III-E systems. Here we show that the type III-D2 complex synthesizes two distinct second messengers, SAM-AMP and SAM-AMP2, from S-adenosylmethionine (SAM) and ATP in response to target RNA recognition. We determined cryo-electron microscopy structures of the type III-D2 effector complex in different functional states, providing mechanistic insights into target RNA cleavage and second messenger synthesis. The structures reveal how SAM and ATP are recognized by the Cas10 subunit within the effector complex. Furthermore, our biological data suggest that both SAM-AMP and SAM-AMP2 act on the CorA ancillary effector, inducing growth arrest of infected bacterial cells and thereby conferring immunity. Thus, our study establishes the type III-D2 system as a unique anti-phage defense mechanism that employs both SAM-AMP and SAM-AMP2 as second messengers, expanding the repertoire of second messenger strategies in bacterial defense systems and highlighting the remarkable functional diversity of CRISPR-Cas systems.</w:t>
      </w:r>
    </w:p>
    <w:p>
      <w:pPr>
        <w:spacing w:before="120" w:after="120"/>
      </w:pPr>
      <w:r>
        <w:rPr>
          <w:sz w:val="18"/>
        </w:rPr>
        <w:t>——————————————————————————————————————————————————————————————————————</w:t>
      </w:r>
    </w:p>
    <w:p>
      <w:pPr>
        <w:spacing w:before="160" w:after="40" w:line="240" w:lineRule="auto"/>
      </w:pPr>
      <w:r>
        <w:rPr>
          <w:b/>
        </w:rPr>
        <w:t xml:space="preserve">[290] </w:t>
      </w:r>
      <w:hyperlink r:id="rId806">
        <w:r>
          <w:rPr>
            <w:color w:val="1155CC"/>
            <w:u w:val="single"/>
          </w:rPr>
          <w:t>RGS22 是协调纤毛跳动所需的后生动物特异性径向辐条组件</w:t>
        </w:r>
      </w:hyperlink>
    </w:p>
    <w:p>
      <w:pPr>
        <w:spacing w:before="0" w:after="80"/>
      </w:pPr>
      <w:r>
        <w:rPr>
          <w:i/>
          <w:sz w:val="20"/>
        </w:rPr>
        <w:t>EN: RGS22 is a metazoa-specific radial spoke component required for coordinated ciliary beating</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在后生动物上皮中，活动纤毛阵列以组织范围内协调的方式跳动，以驱动单向流体流动。介导中央对和轴丝动力蛋白臂之间的机械信号转导的径向辐条（RS）是否在进化过程中获得后生动物特异性亚基以促进这一功能仍然知之甚少。在这里，我们报道 Gα-GTPase 激活蛋白家族成员 RGS22 是 RS1/2 复合物的后生动物特异性成分。小鼠 Rgs22 缺陷的运动纤毛表现出超微结构缺陷，包括 RS1 变形和外动力蛋白臂紊乱。这些异常与平面极性受损相关，表现为纤毛跳动不同步和室管膜基底体旋转极性破坏。运动缺陷进一步导致进行性纤毛丧失和缩短，导致产后脑积水。总之，我们的数据确定了 RGS22 是正常 RS 结构所需的动物谱系 RS1/2 组件，并且与组织水平纤毛运动和协调表型相关。</w:t>
      </w:r>
    </w:p>
    <w:p>
      <w:pPr>
        <w:spacing w:before="0" w:after="200" w:lineRule="auto" w:line="276"/>
      </w:pPr>
      <w:r>
        <w:rPr>
          <w:b/>
        </w:rPr>
        <w:t xml:space="preserve">Abstract (EN): </w:t>
      </w:r>
      <w:r>
        <w:t>In metazoan epithelia, arrays of motile cilia beat in a tissue-wide coordinated manner to drive unidirectional fluid flow. Whether radial spokes (RSs), which mediate mechano-signal transduction between the central pair and axonemal dynein arms, acquire metazoa-specific subunit(s) in evolution to facilitate this function remains poorly known. Here we report that Gα-GTPase activating protein family member RGS22 is a metazoa-specific component of RS1/2 complexes. Mouse Rgs22-deficient motile cilia exhibit ultrastructural defects, including deformation of the RS1 and disorganization of outer dynein arms. These abnormalities correlate with impaired planar polarity, manifested as unsynchronized ciliary beating and disrupted rotational polarity of basal bodies across the ependyma. The motility deficits further lead to progressive ciliary loss and shortening, resulting in postnatal hydrocephalus. Together, our data identify RGS22 an animal-lineage RS1/2 component required for normal RS architecture and associated with tissue-level ciliary motility and coordination phenotypes.</w:t>
      </w:r>
    </w:p>
    <w:p>
      <w:pPr>
        <w:spacing w:before="120" w:after="120"/>
      </w:pPr>
      <w:r>
        <w:rPr>
          <w:sz w:val="18"/>
        </w:rPr>
        <w:t>——————————————————————————————————————————————————————————————————————</w:t>
      </w:r>
    </w:p>
    <w:p>
      <w:pPr>
        <w:spacing w:before="160" w:after="40" w:line="240" w:lineRule="auto"/>
      </w:pPr>
      <w:r>
        <w:rPr>
          <w:b/>
        </w:rPr>
        <w:t xml:space="preserve">[291] </w:t>
      </w:r>
      <w:hyperlink r:id="rId807">
        <w:r>
          <w:rPr>
            <w:color w:val="1155CC"/>
            <w:u w:val="single"/>
          </w:rPr>
          <w:t>急性致幻剂对 fMRI 脑熵影响的多指标评估</w:t>
        </w:r>
      </w:hyperlink>
    </w:p>
    <w:p>
      <w:pPr>
        <w:spacing w:before="0" w:after="80"/>
      </w:pPr>
      <w:r>
        <w:rPr>
          <w:i/>
          <w:sz w:val="20"/>
        </w:rPr>
        <w:t>EN: Multi-metric evaluations of acute psychedelic effects on fMRI brain entropy</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迷幻药的一个重要理论是它们会增加大脑的熵。十三项研究评估了迷幻剂对功能磁共振成像脑熵的影响，每项研究都采用了不同的测量方法。在这里，我们在一个由 28 名参与者组成的独立健康队列中评估了这些指标，并进行了 121 次裸盖菇素治疗前后的 fMRI 扫描。我们使用线性混合效应模型评估了大脑熵与客观和主观迷幻药物效应之间的关系。所有指标均使用两种分割策略和 7 个去噪管道进行评估。我们观察到体素矩阵、路径长度、瞬时相关性、大脑状态切换和短时间尺度下的样本熵与时间空间特征分布的香农熵存在一致的显着正相关。我们始终没有观察到 14 个熵度量中的 8 个具有显着影响，并且观察到 BOLD 信号的 Lempel-Ziv 复杂性的积极影响不一致。脑熵量化显示测量间相关性有限。我们的观察结果支持对大脑熵的微妙的急性迷幻效应，经验证明这些指标并不反映单一的结构。</w:t>
      </w:r>
    </w:p>
    <w:p>
      <w:pPr>
        <w:spacing w:before="0" w:after="200" w:lineRule="auto" w:line="276"/>
      </w:pPr>
      <w:r>
        <w:rPr>
          <w:b/>
        </w:rPr>
        <w:t xml:space="preserve">Abstract (EN): </w:t>
      </w:r>
      <w:r>
        <w:t>A prominent theory of psychedelics is that they increase brain entropy. Thirteen studies have evaluated psychedelic effects on fMRI brain entropy, each applying a distinct measure. Here we evaluated these metrics in an independent 28-participant healthy cohort with 121 pre- and post-psilocybin fMRI scans. We assessed relations between brain entropy and objective and subjective psychedelic drug effects using linear mixed-effects models. All metrics were evaluated using two parcellation strategies and 7 denoising pipelines. We observed consistent significant positive associations for Shannon entropy of the spatial eigendistribution of the time by voxel matrix, path-length, instantaneous correlations, brain-state switching, and sample entropy at short time-scales. We consistently did not observe significant effects for 8 of 14 entropy metrics and observe inconsistent positive effects for Lempel-Ziv complexity of the BOLD signal. Brain entropy quantifications showed limited inter-measure correlations. Our observations support a nuanced acute psychedelic effect on brain entropy, empirically demonstrating that these metrics do not reflect a singular construct.</w:t>
      </w:r>
    </w:p>
    <w:p>
      <w:pPr>
        <w:spacing w:before="120" w:after="120"/>
      </w:pPr>
      <w:r>
        <w:rPr>
          <w:sz w:val="18"/>
        </w:rPr>
        <w:t>——————————————————————————————————————————————————————————————————————</w:t>
      </w:r>
    </w:p>
    <w:p>
      <w:pPr>
        <w:spacing w:before="160" w:after="40" w:line="240" w:lineRule="auto"/>
      </w:pPr>
      <w:r>
        <w:rPr>
          <w:b/>
        </w:rPr>
        <w:t xml:space="preserve">[292] </w:t>
      </w:r>
      <w:hyperlink r:id="rId808">
        <w:r>
          <w:rPr>
            <w:color w:val="1155CC"/>
            <w:u w:val="single"/>
          </w:rPr>
          <w:t>中性粒细胞来源的 S100A8/A9 损害免疫性血小板减少症中巨核细胞的成熟</w:t>
        </w:r>
      </w:hyperlink>
    </w:p>
    <w:p>
      <w:pPr>
        <w:spacing w:before="0" w:after="80"/>
      </w:pPr>
      <w:r>
        <w:rPr>
          <w:i/>
          <w:sz w:val="20"/>
        </w:rPr>
        <w:t>EN: Neutrophil-derived S100A8/A9 impairs megakaryocyte maturation in immune thrombocytopenia</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免疫性血小板减少症（ITP）的特点是自身抗体介导的血小板清除，但炎症介质如何损害血小板生成仍不清楚。利用单细胞和空间转录组学，我们确定了 ITP 骨髓中的中性粒细胞-巨核细胞轴，其中中性粒细胞衍生的 S100A8/A9 参与 TLR4 并激活 JNK/c-Jun 信号传导。该通路抑制巨核细胞主调节因子 GATA1 并限制成熟。在原代 CD34+ 衍生的巨核细胞培养物中，ITP 血浆可减少多倍化、成熟标记物表达和血小板样颗粒释放；他喹莫德治疗或 TLR4 抑制可部分恢复这些终点。在主动和被动 ITP 小鼠模型中，tasquinimod 改善血小板恢复，使骨髓巨核细胞丰度正常化，并抑制 MAPK 特征。总之，这些补充数据将中性粒细胞定位为 ITP 血小板生成失败的促成因素，将骨髓炎症与血小板生成缺陷联系起来，并将 S100A8/A9-TLR4-JNK/c-Jun 轴指定为治疗靶点。调节该通路可部分恢复巨核细胞生成并减轻体内血小板减少症，支持将 S100A8/A9-TLR4 信号传导作为 ITP 治疗的潜在辅助药物靶向。</w:t>
      </w:r>
    </w:p>
    <w:p>
      <w:pPr>
        <w:spacing w:before="0" w:after="200" w:lineRule="auto" w:line="276"/>
      </w:pPr>
      <w:r>
        <w:rPr>
          <w:b/>
        </w:rPr>
        <w:t xml:space="preserve">Abstract (EN): </w:t>
      </w:r>
      <w:r>
        <w:t>Immune thrombocytopenia (ITP) features autoantibody-mediated platelet clearance, but how inflammatory mediators impair thrombopoiesis remains less defined. Using single-cell and spatial transcriptomics, we identify a neutrophil–megakaryocyte axis in ITP marrow in which neutrophil-derived S100A8/A9 engages TLR4 and activates JNK/c-Jun signaling. This pathway represses the megakaryocyte master regulator GATA1 and constrains maturation. In primary CD34+-derived megakaryocyte cultures, ITP plasma reduces polyploidization, maturation-marker expression, and platelet-like particle release; tasquinimod treatment or TLR4 inhibition partially restores these endpoints. In active and passive ITP mouse models, tasquinimod improves platelet recovery, normalizes marrow megakaryocyte abundance, and dampens MAPK signatures. Together, these complementary data position neutrophils as contributors to thrombopoietic failure in ITP, connect marrow inflammation to defective platelet production, and nominate the S100A8/A9–TLR4–JNK/c-Jun axis as a therapeutic target. Modulating this pathway partially restores megakaryopoiesis and alleviates thrombocytopenia in vivo, supporting pharmacologic targeting of S100A8/A9–TLR4 signaling as a potential adjunct to ITP therapy.</w:t>
      </w:r>
    </w:p>
    <w:p>
      <w:pPr>
        <w:spacing w:before="120" w:after="120"/>
      </w:pPr>
      <w:r>
        <w:rPr>
          <w:sz w:val="18"/>
        </w:rPr>
        <w:t>——————————————————————————————————————————————————————————————————————</w:t>
      </w:r>
    </w:p>
    <w:p>
      <w:pPr>
        <w:spacing w:before="160" w:after="40" w:line="240" w:lineRule="auto"/>
      </w:pPr>
      <w:r>
        <w:rPr>
          <w:b/>
        </w:rPr>
        <w:t xml:space="preserve">[293] </w:t>
      </w:r>
      <w:hyperlink r:id="rId809">
        <w:r>
          <w:rPr>
            <w:color w:val="1155CC"/>
            <w:u w:val="single"/>
          </w:rPr>
          <w:t>动眼神经核中的平行胆碱能回路控制眼球运动和快速眼动睡眠</w:t>
        </w:r>
      </w:hyperlink>
    </w:p>
    <w:p>
      <w:pPr>
        <w:spacing w:before="0" w:after="80"/>
      </w:pPr>
      <w:r>
        <w:rPr>
          <w:i/>
          <w:sz w:val="20"/>
        </w:rPr>
        <w:t>EN: Parallel cholinergic circuit in oculomotor nucleus to control eye movements and REM sleep</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睡眠会抑制大部分运动输出，但快速眼动睡眠 (REM) 的特点是短暂的肌肉抽搐，包括眼球运动 (EM)，表明选择性运动保留。这些对立的特征如何协调仍不清楚。在这里，我们发现动眼神经核（nIIIChAT）中的胆碱能神经元具有控制小鼠快速眼动终止和动眼神经执行的双重功能组织。我们确定了腹外侧导水管周围灰色投射的 nIIIChAT 子集，其活性与 EM 分离，但在 REM 终止之前经历逐渐增加。该子集的光遗传学激活会抑制 REM 而不影响 EM，而眼外肌投射的 nIIIChAT 神经元可靠地诱导 EM，而不改变睡眠-觉醒状态。 nIIIChAT 神经元的这些运动和睡眠调节功能由上游乳头核中遗传上不同的 Vglut2 和 Vgat 表达神经元协调。总的来说，我们的研究结果揭示了 REM 退出背后的微电路，其中 nIII 的运动相关功能正在为哺乳动物进入随后的觉醒状态做好准备，并提高运动能力。</w:t>
      </w:r>
    </w:p>
    <w:p>
      <w:pPr>
        <w:spacing w:before="0" w:after="200" w:lineRule="auto" w:line="276"/>
      </w:pPr>
      <w:r>
        <w:rPr>
          <w:b/>
        </w:rPr>
        <w:t xml:space="preserve">Abstract (EN): </w:t>
      </w:r>
      <w:r>
        <w:t>Sleep suppresses most motor output, yet rapid eye movement sleep (REMs) is marked by brief muscle twitches, including eye movements (EMs), indicating selective motor preservation. How these opposing features are coordinated remains unclear. Here we show that cholinergic neurons in the oculomotor nucleus (nIIIChAT) possess dual functional organization governing REMs termination and oculomotor execution in mice. We identify a ventrolateral periaqueductal gray-projecting nIIIChAT subset whose activity dissociates from EMs but undergoes a progressive increase prior to REMs termination. Optogenetic activation of this subset suppresses REMs without affecting EMs, whereas extraocular muscles-projecting nIIIChAT neurons reliably induced EMs without altering sleep-wake states. These motor and sleep-modulating functions of nIIIChAT neurons are coordinated by genetically distinct Vglut2- and Vgat-expressing neurons in the upstream nucleus papilio. Collectively, our findings revealed a microcircuitry underlying REMs exit, where motor related function of nIII is preparing the mammal to enter the subsequent wakefulness with elevated motor capabilities.</w:t>
      </w:r>
    </w:p>
    <w:p>
      <w:pPr>
        <w:spacing w:before="120" w:after="120"/>
      </w:pPr>
      <w:r>
        <w:rPr>
          <w:sz w:val="18"/>
        </w:rPr>
        <w:t>——————————————————————————————————————————————————————————————————————</w:t>
      </w:r>
    </w:p>
    <w:p>
      <w:pPr>
        <w:spacing w:before="160" w:after="40" w:line="240" w:lineRule="auto"/>
      </w:pPr>
      <w:r>
        <w:rPr>
          <w:b/>
        </w:rPr>
        <w:t xml:space="preserve">[294] </w:t>
      </w:r>
      <w:hyperlink r:id="rId810">
        <w:r>
          <w:rPr>
            <w:color w:val="1155CC"/>
            <w:u w:val="single"/>
          </w:rPr>
          <w:t>科凯恩综合征 B 同源物 Komagataella phaffii Rad26 核小体重塑的结构基础</w:t>
        </w:r>
      </w:hyperlink>
    </w:p>
    <w:p>
      <w:pPr>
        <w:spacing w:before="0" w:after="80"/>
      </w:pPr>
      <w:r>
        <w:rPr>
          <w:i/>
          <w:sz w:val="20"/>
        </w:rPr>
        <w:t>EN: Structural basis of nucleosome remodeling by Cockayne syndrome B homologue Komagataella phaffii Rad26</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Rad26 是哺乳动物科凯恩综合征蛋白 B (CSB) 的酵母同源物，在转录偶联核苷酸切除修复 (TC-NER) 中发挥重要作用。 Rad26/CSB 结合在 DNA 损伤处停滞的 RNA 聚合酶 II，并招募 DNA 修复因子，充当分子支架。此外，Rad26/CSB 具有核小体重塑活性，可能有助于 DNA 修复后恢复转录。在这里，我们确定了 Rad26/CSB-核小体复合物的冷冻电子显微镜结构。 Rad26/CSB 通过独特的机制结合在核小体入口/出口区域（超螺旋位置 ±6）附近，其中其 ATP 酶结构域 Lobe 1 和 Lobe 2 与其他重塑因子（如 Snf2 和 Ino80）相比以相反的方向接合核小体 DNA。突变、生化和交联质谱分析证明了核小体结合和重塑需要 KR 环。此外，我们发现 N 端自动抑制涉及无序 N 端和 Lobe 2 区域之间的长距离接触，并且通过 Leu8 和 Leu11 的突变而缓解。这些发现揭示了 TC-NER 中 Rad26/CSB 介导的核小体重塑的结构基础。</w:t>
      </w:r>
    </w:p>
    <w:p>
      <w:pPr>
        <w:spacing w:before="0" w:after="200" w:lineRule="auto" w:line="276"/>
      </w:pPr>
      <w:r>
        <w:rPr>
          <w:b/>
        </w:rPr>
        <w:t xml:space="preserve">Abstract (EN): </w:t>
      </w:r>
      <w:r>
        <w:t>Rad26, a yeast homologue of mammalian Cockayne syndrome protein B (CSB), plays an essential role in transcription-coupled nucleotide excision repair (TC-NER). Rad26/CSB binds RNA polymerase II stalled at DNA lesions and recruits DNA repair factors, functioning as a molecular scaffold. In addition, Rad26/CSB possesses nucleosome-remodeling activity that may help restore transcription after DNA repair. Here we determine the cryo-electron microscopy structure of the Rad26/CSB-nucleosome complex. Rad26/CSB binds near the nucleosomal entry/exit region (superhelical location ±6) through a unique mechanism in which its ATPase domains, Lobe 1 and Lobe 2, engage nucleosomal DNA in a reverse orientation compared with other remodelers such as Snf2 and Ino80. Mutational, biochemical, and crosslinking mass-spectrometric analyses demonstrate the requirement of the KR loop for nucleosome binding and remodeling. Furthermore, we show that N-terminal auto-inhibition involves long-range contacts between the disordered N-terminus and the Lobe 2 region, and is relieved by mutations of Leu8 and Leu11. These findings reveal the structural basis of Rad26/CSB-mediated nucleosome remodeling in TC-NER.</w:t>
      </w:r>
    </w:p>
    <w:p>
      <w:pPr>
        <w:spacing w:before="120" w:after="120"/>
      </w:pPr>
      <w:r>
        <w:rPr>
          <w:sz w:val="18"/>
        </w:rPr>
        <w:t>——————————————————————————————————————————————————————————————————————</w:t>
      </w:r>
    </w:p>
    <w:p>
      <w:pPr>
        <w:spacing w:before="160" w:after="40" w:line="240" w:lineRule="auto"/>
      </w:pPr>
      <w:r>
        <w:rPr>
          <w:b/>
        </w:rPr>
        <w:t xml:space="preserve">[295] </w:t>
      </w:r>
      <w:hyperlink r:id="rId811">
        <w:r>
          <w:rPr>
            <w:color w:val="1155CC"/>
            <w:u w:val="single"/>
          </w:rPr>
          <w:t>每日简报：抹香鲸有不同的方言</w:t>
        </w:r>
      </w:hyperlink>
    </w:p>
    <w:p>
      <w:pPr>
        <w:spacing w:before="0" w:after="80"/>
      </w:pPr>
      <w:r>
        <w:rPr>
          <w:i/>
          <w:sz w:val="20"/>
        </w:rPr>
        <w:t>EN: Daily briefing: Sperm whales have different dialects</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812">
        <w:r>
          <w:rPr>
            <w:color w:val="1155CC"/>
            <w:u w:val="single"/>
          </w:rPr>
          <w:t>10.1038/d41586-026-02054-x</w:t>
        </w:r>
      </w:hyperlink>
    </w:p>
    <w:p>
      <w:pPr>
        <w:spacing w:before="0" w:after="120"/>
      </w:pPr>
      <w:r>
        <w:rPr>
          <w:b/>
        </w:rPr>
        <w:t xml:space="preserve">Notes: </w:t>
      </w:r>
      <w:r>
        <w:t>abstract_source=nature_html</w:t>
      </w:r>
    </w:p>
    <w:p>
      <w:pPr>
        <w:spacing w:before="0" w:after="80" w:lineRule="auto" w:line="276"/>
      </w:pPr>
      <w:r>
        <w:rPr>
          <w:b/>
        </w:rPr>
        <w:t xml:space="preserve">摘要（ZH）: </w:t>
      </w:r>
      <w:r>
        <w:t>地中海不同地区的鲸鱼使用不同的滴答声和停顿模式。另外，还有一种将蛋白质样本放大十亿倍的技术和悲伤的科学。地中海不同地区的鲸鱼使用不同的滴答声和停顿模式。另外，还有一种将蛋白质样本放大十亿倍的技术和悲伤的科学。</w:t>
      </w:r>
    </w:p>
    <w:p>
      <w:pPr>
        <w:spacing w:before="0" w:after="200" w:lineRule="auto" w:line="276"/>
      </w:pPr>
      <w:r>
        <w:rPr>
          <w:b/>
        </w:rPr>
        <w:t xml:space="preserve">Abstract (EN): </w:t>
      </w:r>
      <w:r>
        <w:t>Whales in different areas of the Mediterranean use varying patterns of clicks and pauses. Plus, a technique to make protein samples one billion times bigger and the science of grief. Whales in different areas of the Mediterranean use varying patterns of clicks and pauses. Plus, a technique to make protein samples one billion times bigger and the science of grief.</w:t>
      </w:r>
    </w:p>
    <w:p>
      <w:pPr>
        <w:spacing w:before="120" w:after="120"/>
      </w:pPr>
      <w:r>
        <w:rPr>
          <w:sz w:val="18"/>
        </w:rPr>
        <w:t>——————————————————————————————————————————————————————————————————————</w:t>
      </w:r>
    </w:p>
    <w:p>
      <w:pPr>
        <w:spacing w:before="160" w:after="40" w:line="240" w:lineRule="auto"/>
      </w:pPr>
      <w:r>
        <w:rPr>
          <w:b/>
        </w:rPr>
        <w:t xml:space="preserve">[296] </w:t>
      </w:r>
      <w:hyperlink r:id="rId813">
        <w:r>
          <w:rPr>
            <w:color w:val="1155CC"/>
            <w:u w:val="single"/>
          </w:rPr>
          <w:t>本质上非局域超材料</w:t>
        </w:r>
      </w:hyperlink>
    </w:p>
    <w:p>
      <w:pPr>
        <w:spacing w:before="0" w:after="80"/>
      </w:pPr>
      <w:r>
        <w:rPr>
          <w:i/>
          <w:sz w:val="20"/>
        </w:rPr>
        <w:t>EN: Intrinsically nonlocal metamaterials</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材料的电磁响应是从成像、传感到经典和量子通信等广泛重要应用的基础。在这里，我们从理论上和实验上证明了一种源于固有材料非局域性的全新电磁材料响应机制。我们表明，通过在这种非局域响应的内在尺度上构造材料，可以改变复合材料的电磁学，揭示组成成分的固有非局域行为。这些本质上非局域的超材料表现出很强的内在（而不是有效）非局域性，在室温下、在现实（有损）宏观材料中很容易检测到。本质上，非局域超材料为电磁复合材料开辟了超越光子晶体、超表面和有效介质复合材料的新设计空间。这使得能够在深亚波长尺度上控制电磁场，揭示了控制光与物质相互作用的新维度。</w:t>
      </w:r>
    </w:p>
    <w:p>
      <w:pPr>
        <w:spacing w:before="0" w:after="200" w:lineRule="auto" w:line="276"/>
      </w:pPr>
      <w:r>
        <w:rPr>
          <w:b/>
        </w:rPr>
        <w:t xml:space="preserve">Abstract (EN): </w:t>
      </w:r>
      <w:r>
        <w:t>The electromagnetic response of materials serves as the foundation for a broad range of vital applications, from imaging, to sensing, to classical and quantum communications. Here we demonstrate, theoretically and experimentally, a fundamentally new regime of electromagnetic material response originating from inherent material nonlocality. We show that by structuring materials on the intrinsic scale of this nonlocal response, it becomes possible to alter the electromagnetics of the composite, revealing the inherent nonlocal behavior of the constituent components. These intrinsically nonlocal metamaterials exhibit strong intrinsic (as opposed to effective) nonlocality, easily detectable at room temperatures, in realistic (lossy), macroscopic materials. Intrinsically nonlocal metamaterials open a new design space for electromagnetic composites, beyond photonic crystals, metasurfaces, and effective medium composites. This allows the control of electromagnetic fields at a deep subwavelength scale, revealing a new dimension for control of light-matter interactions.</w:t>
      </w:r>
    </w:p>
    <w:p>
      <w:pPr>
        <w:spacing w:before="120" w:after="120"/>
      </w:pPr>
      <w:r>
        <w:rPr>
          <w:sz w:val="18"/>
        </w:rPr>
        <w:t>——————————————————————————————————————————————————————————————————————</w:t>
      </w:r>
    </w:p>
    <w:p>
      <w:pPr>
        <w:spacing w:before="160" w:after="40" w:line="240" w:lineRule="auto"/>
      </w:pPr>
      <w:r>
        <w:rPr>
          <w:b/>
        </w:rPr>
        <w:t xml:space="preserve">[297] </w:t>
      </w:r>
      <w:hyperlink r:id="rId814">
        <w:r>
          <w:rPr>
            <w:color w:val="1155CC"/>
            <w:u w:val="single"/>
          </w:rPr>
          <w:t>牙周梭杆菌通过癸酸驱动的中性粒细胞趋化作用促进结直肠肿瘤发生</w:t>
        </w:r>
      </w:hyperlink>
    </w:p>
    <w:p>
      <w:pPr>
        <w:spacing w:before="0" w:after="80"/>
      </w:pPr>
      <w:r>
        <w:rPr>
          <w:i/>
          <w:sz w:val="20"/>
        </w:rPr>
        <w:t>EN: Fusobacterium periodonticum promotes colorectal tumorigenesis via decanoic acid-driven neutrophil chemotaxis</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肠道菌群失调和免疫失调与结直肠癌的发生密切相关。确定特定微生物物种、代谢物和免疫反应之间的机制联系对于揭示其发病机制的新见解至关重要。在这里，我们通过临床队列的宏基因组和代谢组分析表明，牙周梭杆菌在结直肠癌患者中显着富集，并且与癸酸水平升高密切相关。单细胞转录组结果进一步揭示了结直肠癌组织中组织特异性中性粒细胞富集，其特征是CXCL8高表达和中性粒细胞相关免疫途径的激活。细胞实验表明，癸酸可诱导中性粒细胞晚期凋亡/坏死，通过百日咳毒素敏感的 G 蛋白依赖性机制增强其趋化性，并上调参与白细胞迁移和肿瘤发生的基因。小鼠模型进一步证实牙周杆菌定植会增加肠道发育不良和癸酸水平，并且癸酸干预通过促进中性粒细胞浸润和调节局部免疫微环境来促进肿瘤进展。我们的研究揭示了牙周菌通过癸酸介导的中性粒细胞趋化作用在结直肠肿瘤发生中的重要作用，为结直肠癌的发病机制提供了机制见解。</w:t>
      </w:r>
    </w:p>
    <w:p>
      <w:pPr>
        <w:spacing w:before="0" w:after="200" w:lineRule="auto" w:line="276"/>
      </w:pPr>
      <w:r>
        <w:rPr>
          <w:b/>
        </w:rPr>
        <w:t xml:space="preserve">Abstract (EN): </w:t>
      </w:r>
      <w:r>
        <w:t>Gut microbiota dysbiosis and immune dysregulation are closely associated with the development of colorectal cancer. Identifying the mechanistic links among specific microbial species, metabolites, and immune responses is crucial for uncovering novel insights into its pathogenesis. Here we show, through metagenomic and metabolomic analyses of clinical cohorts, that Fusobacterium periodonticum is significantly enriched in colorectal cancer patients and strongly correlated with elevated decanoic acid levels. Single-cell transcriptomic results further reveal tissue-specific neutrophil enrichment in colorectal cancer tissues, characterized by high CXCL8 expression and activation of neutrophil-related immune pathways. Cellular experiments demonstrate that decanoic acid induces late apoptosis/necrosis of neutrophils, enhances their chemotaxis through a pertussis toxin-sensitive G-protein-dependent mechanism, and upregulates genes involved in leukocyte migration and tumorigenesis. Mouse models further confirm that F. periodonticum colonization increases intestinal dysplasia and decanoic acid levels, and that decanoic acid intervention promotes tumor progression by facilitating neutrophil infiltration and modulating the local immune microenvironment. Our study reveals an important role of F. periodonticum in colorectal tumorigenesis via decanoic acid-medicated neutrophil chemotaxis, providing mechanistic insights into the pathogenesis of colorectal cancer.</w:t>
      </w:r>
    </w:p>
    <w:p>
      <w:pPr>
        <w:spacing w:before="120" w:after="120"/>
      </w:pPr>
      <w:r>
        <w:rPr>
          <w:sz w:val="18"/>
        </w:rPr>
        <w:t>——————————————————————————————————————————————————————————————————————</w:t>
      </w:r>
    </w:p>
    <w:p>
      <w:pPr>
        <w:spacing w:before="160" w:after="40" w:line="240" w:lineRule="auto"/>
      </w:pPr>
      <w:r>
        <w:rPr>
          <w:b/>
        </w:rPr>
        <w:t xml:space="preserve">[298] </w:t>
      </w:r>
      <w:hyperlink r:id="rId815">
        <w:r>
          <w:rPr>
            <w:color w:val="1155CC"/>
            <w:u w:val="single"/>
          </w:rPr>
          <w:t>高密度肌内微电极阵列手指力的尖峰神经网络解码器</w:t>
        </w:r>
      </w:hyperlink>
    </w:p>
    <w:p>
      <w:pPr>
        <w:spacing w:before="0" w:after="80"/>
      </w:pPr>
      <w:r>
        <w:rPr>
          <w:i/>
          <w:sz w:val="20"/>
        </w:rPr>
        <w:t>EN: Spiking neural network decoders of finger forces from high-density intramuscular microelectrode arrays</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用于恢复自然手指控制的辅助技术需要对运动意图进行连续且强大的解码，并且具有高精度和低延迟。在这里，我们提出了一种基于尖峰的解码框架，该框架利用尖峰神经网络（SNN）的动力学来有效处理从高密度肌内微电极阵列中提取的运动单元活动。使用该框架，我们演示了在最大随意收缩的 15% 的等长收缩期间对来自运动单位尖峰序列的单个手指力的同步和成比例解码。我们系统地评估了不同 SNN 解码器配置的特性，比较了两种可能的输入模式：生理接地运动单元尖峰序列和尖峰编码肌内 EMG 信号。通过这种比较，我们确定了解码精度、内存占用和对输入错误的鲁棒性之间的权衡。我们的结果表明，精益浅层 SNN 足以在运行时以具有竞争力的精度解码手指级运动意图，且内存需求极小，且无需外部预处理模块。这项工作为将紧凑、低功耗和低延迟的 SNN 集成到手指级力解码系统中提供了实用的蓝图，展示了如何战略性地定制输入表示的选择，以满足特定应用对准确性、鲁棒性和内存效率的要求。</w:t>
      </w:r>
    </w:p>
    <w:p>
      <w:pPr>
        <w:spacing w:before="0" w:after="200" w:lineRule="auto" w:line="276"/>
      </w:pPr>
      <w:r>
        <w:rPr>
          <w:b/>
        </w:rPr>
        <w:t xml:space="preserve">Abstract (EN): </w:t>
      </w:r>
      <w:r>
        <w:t>Assistive technologies for restoring naturalistic finger control require continuous and robust decoding of motor intent, with high accuracy and low latency. Here, we present a spike-based decoding framework that exploits the dynamics of spiking neural networks (SNNs) to efficiently process motor unit activity extracted from high-density intramuscular microelectrode arrays. Using this framework, we demonstrate simultaneous and proportional decoding of individual finger forces from motor unit spike trains during isometric contractions at 15% of maximum voluntary contraction. We systematically evaluated the properties of different SNN decoder configurations, comparing two possible input modalities: physiologically grounded motor unit spike trains and spike-encoded intramuscular EMG signals. Through this comparison, we determined the trade-offs between decoding accuracy, memory footprint, and robustness to input errors. Our results show that lean shallow SNNs are sufficient to decode finger-level motor intent with competitive accuracy, while operating, with minimal memory requirements and without the need for external pre-processing modules. This work provides a practical blueprint for integrating compact, low-power and low-latency SNNs into finger-level force decoding systems, demonstrating how the choice of input representation can be strategically tailored to meet application-specific requirements for accuracy, robustness, and memory efficiency.</w:t>
      </w:r>
    </w:p>
    <w:p>
      <w:pPr>
        <w:spacing w:before="120" w:after="120"/>
      </w:pPr>
      <w:r>
        <w:rPr>
          <w:sz w:val="18"/>
        </w:rPr>
        <w:t>——————————————————————————————————————————————————————————————————————</w:t>
      </w:r>
    </w:p>
    <w:p>
      <w:pPr>
        <w:spacing w:before="160" w:after="40" w:line="240" w:lineRule="auto"/>
      </w:pPr>
      <w:r>
        <w:rPr>
          <w:b/>
        </w:rPr>
        <w:t xml:space="preserve">[299] </w:t>
      </w:r>
      <w:hyperlink r:id="rId816">
        <w:r>
          <w:rPr>
            <w:color w:val="1155CC"/>
            <w:u w:val="single"/>
          </w:rPr>
          <w:t>人类前原肠胚的外胚层多样化和血液形成</w:t>
        </w:r>
      </w:hyperlink>
    </w:p>
    <w:p>
      <w:pPr>
        <w:spacing w:before="0" w:after="80"/>
      </w:pPr>
      <w:r>
        <w:rPr>
          <w:i/>
          <w:sz w:val="20"/>
        </w:rPr>
        <w:t>EN: Epiblast diversification and blood formation in a human pregastrula</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817">
        <w:r>
          <w:rPr>
            <w:color w:val="1155CC"/>
            <w:u w:val="single"/>
          </w:rPr>
          <w:t>10.1038/s41586-026-10698-y</w:t>
        </w:r>
      </w:hyperlink>
    </w:p>
    <w:p>
      <w:pPr>
        <w:spacing w:before="0" w:after="120"/>
      </w:pPr>
      <w:r>
        <w:rPr>
          <w:b/>
        </w:rPr>
        <w:t xml:space="preserve">Notes: </w:t>
      </w:r>
      <w:r>
        <w:t>abstract_source=nature_html</w:t>
      </w:r>
    </w:p>
    <w:p>
      <w:pPr>
        <w:spacing w:before="0" w:after="80" w:lineRule="auto" w:line="276"/>
      </w:pPr>
      <w:r>
        <w:rPr>
          <w:b/>
        </w:rPr>
        <w:t xml:space="preserve">摘要（ZH）: </w:t>
      </w:r>
      <w:r>
        <w:t>人类原肠胚形成的初期阶段，即原始条纹即将出现的时期，代表着一个关键但尚未充分探索的时期。在这里，我们展示了卡内基第 6 阶段（大约受孕后 13-14 天）人类胚胎的高分辨率空间转录组景观，在这个阶段，原条仍然不可见，并且尚未通过转录组检测到原肠胚形成的中胚层/内胚层祖细胞。我们确定了前内脏内胚层样下胚层群体，以及外胚层的三叉发育轨迹，在随后的发育阶段1、2、3向羊膜、原条和结/前脊索板/脊索（轴向中胚层）发展。此外，我们的研究结果挑战了现有的范式，揭示了涉及三个血液谱系的原始造血作用在原肠胚形成之前在人类卵黄囊中启动，比以前认识的更早2,4,5,6,7，并且第一个血细胞来自具有下胚层而不是外胚层起源的胚外中胚层。值得注意的是，我们确定了两个空间区域，每个区域由分子上不同的卵黄囊内胚层和胚胎外中胚层群体组成，分别促进红巨核细胞谱系和骨髓前体细胞的产生。这些发现为了解人类原肠胚形成的开始和最早的血液形成提供了见解，对推进干细胞衍生的人类胚胎模型和体外血液再生具有深远的影响。</w:t>
      </w:r>
    </w:p>
    <w:p>
      <w:pPr>
        <w:spacing w:before="0" w:after="200" w:lineRule="auto" w:line="276"/>
      </w:pPr>
      <w:r>
        <w:rPr>
          <w:b/>
        </w:rPr>
        <w:t xml:space="preserve">Abstract (EN): </w:t>
      </w:r>
      <w:r>
        <w:t>The incipient stage of gastrulation in human, when the primitive streak is about to emerge, represents a critical yet underexplored period. Here we present the high-resolution spatial transcriptomic landscape of a human embryo at Carnegie stage 6 (approximately 13–14 days post-conception), a stage at which primitive streak remains invisible and gastrulation-derived mesodermal/endodermal progenitors are not yet transcriptomically detected. We identified an anterior visceral endoderm-like hypoblast population, as well as a trifurcated developmental trajectory of the epiblast, progressing towards the amnion, primitive streak and node/prechordal plate/notochord (axial mesoderm) at subsequent developmental stages1,2,3. Furthermore, our findings challenge the existing paradigms by revealing that primitive haematopoiesis, involving three blood lineages, initiates in human yolk sac before gastrulation, earlier than previously recognized2,4,5,6,7, and that the first blood cells arise from the extra-embryonic mesoderm with a hypoblast rather than epiblast origin. Notably, we identified two spatial zones, each consisting of molecularly distinct yolk sac endoderm and extra-embryonic mesoderm populations, that respectively facilitated the generation of erythro-megakaryocytic lineages and myeloid precursors. These findings provide insights into the onset of gastrulation and the earliest blood formation in humans, with profound implications for advancing stem cell-derived human embryo models and in vitro blood regeneration.</w:t>
      </w:r>
    </w:p>
    <w:p>
      <w:pPr>
        <w:spacing w:before="120" w:after="120"/>
      </w:pPr>
      <w:r>
        <w:rPr>
          <w:sz w:val="18"/>
        </w:rPr>
        <w:t>——————————————————————————————————————————————————————————————————————</w:t>
      </w:r>
    </w:p>
    <w:p>
      <w:pPr>
        <w:spacing w:before="160" w:after="40" w:line="240" w:lineRule="auto"/>
      </w:pPr>
      <w:r>
        <w:rPr>
          <w:b/>
        </w:rPr>
        <w:t xml:space="preserve">[300] </w:t>
      </w:r>
      <w:hyperlink r:id="rId818">
        <w:r>
          <w:rPr>
            <w:color w:val="1155CC"/>
            <w:u w:val="single"/>
          </w:rPr>
          <w:t>十亿秒差距尺度上各向异性宇宙结构的探测</w:t>
        </w:r>
      </w:hyperlink>
    </w:p>
    <w:p>
      <w:pPr>
        <w:spacing w:before="0" w:after="80"/>
      </w:pPr>
      <w:r>
        <w:rPr>
          <w:i/>
          <w:sz w:val="20"/>
        </w:rPr>
        <w:t>EN: Detection of anisotropic cosmic structures on a gigaparsec scale</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819">
        <w:r>
          <w:rPr>
            <w:color w:val="1155CC"/>
            <w:u w:val="single"/>
          </w:rPr>
          <w:t>10.1038/s41586-026-10702-5</w:t>
        </w:r>
      </w:hyperlink>
    </w:p>
    <w:p>
      <w:pPr>
        <w:spacing w:before="0" w:after="120"/>
      </w:pPr>
      <w:r>
        <w:rPr>
          <w:b/>
        </w:rPr>
        <w:t xml:space="preserve">Notes: </w:t>
      </w:r>
      <w:r>
        <w:t>abstract_source=nature_html</w:t>
      </w:r>
    </w:p>
    <w:p>
      <w:pPr>
        <w:spacing w:before="0" w:after="80" w:lineRule="auto" w:line="276"/>
      </w:pPr>
      <w:r>
        <w:rPr>
          <w:b/>
        </w:rPr>
        <w:t xml:space="preserve">摘要（ZH）: </w:t>
      </w:r>
      <w:r>
        <w:t>星系红移巡天绘制了宇宙网，并提供了关键的观测测试，以检验宇宙是否在足够大的尺度上变得统计均匀和各向同性，正如支撑标准宇宙学模型的宇宙学原理所假设的那样。在这个框架中，除了结构形成的非线性机制之外，不均匀和各向异性特征预计将迅速消失，反映近各向同性的原始密度场及其随后的引力演化。尽管得到了小幅度的宇宙微波背景各向异性2的支持，但这种观点越来越受到星系分布中大规模结构和空洞的复杂网络3、4、5、6以及报告可能与统计均匀性7和各向同性8、9存在大规模偏差的独立探测器的挑战。在这里，我们表明星系分布表现出持续的各向异性结构，延伸到十亿秒差距的量级。使用成对距离角分布 (ADPD)10（一种测量方向相关性的无参数统计量），我们检测到的各向异性信号超过了各向同性控制和几何匹配的 ΛCDM 模拟目录中的信号，保守显着性大于 3σ。这些结果提供了直接证据，表明方向相干性在比标准框架中预测的更大尺度上持续存在，挑战了大尺度各向同性的假设。他们呼吁重新评估如何在观测到的宇宙中实现均匀性和各向同性，并激发对宇宙学模型的新测试</w:t>
      </w:r>
    </w:p>
    <w:p>
      <w:pPr>
        <w:spacing w:before="0" w:after="200" w:lineRule="auto" w:line="276"/>
      </w:pPr>
      <w:r>
        <w:rPr>
          <w:b/>
        </w:rPr>
        <w:t xml:space="preserve">Abstract (EN): </w:t>
      </w:r>
      <w:r>
        <w:t>Galaxy redshift surveys map the cosmic web and provide a key observational test of whether the Universe becomes statistically homogeneous and isotropic on sufficiently large scales, as assumed by the cosmological principle underpinning the standard cosmological model1. In this framework, beyond the nonlinear regime of structure formation, inhomogeneous and anisotropic features are expected to fade rapidly, reflecting the near-isotropic primordial density field and its subsequent gravitational evolution. Although supported by the small amplitude of cosmic microwave background anisotropies2, this view is increasingly challenged by the complex network of large-scale structures and voids in the galaxy distribution3,4,5,6, as well as by independent probes reporting possible large-scale deviations from statistical homogeneity7 and isotropy8,9. Here we show that the galaxy distribution exhibits persistent anisotropic structures extending to scales on the order of one gigaparsec. Using the Angular Distribution of Pairwise Distances (ADPD)10, a parameter-free statistic that measures directional correlations, we detect anisotropy signals exceeding those in isotropic controls and geometry-matched ΛCDM mock catalogues with conservative significance greater than 3σ. These results provide direct evidence that directional coherence persists to larger scales than predicted in the standard framework, challenging the assumption of large-scale isotropy. They call for a reassessment of how homogeneity and isotropy are realized in the observed Universe and motivate new tests of cosmological models based on directional statistics.</w:t>
      </w:r>
    </w:p>
    <w:p>
      <w:pPr>
        <w:spacing w:before="120" w:after="120"/>
      </w:pPr>
      <w:r>
        <w:rPr>
          <w:sz w:val="18"/>
        </w:rPr>
        <w:t>——————————————————————————————————————————————————————————————————————</w:t>
      </w:r>
    </w:p>
    <w:p>
      <w:pPr>
        <w:spacing w:before="160" w:after="40" w:line="240" w:lineRule="auto"/>
      </w:pPr>
      <w:r>
        <w:rPr>
          <w:b/>
        </w:rPr>
        <w:t xml:space="preserve">[301] </w:t>
      </w:r>
      <w:hyperlink r:id="rId820">
        <w:r>
          <w:rPr>
            <w:color w:val="1155CC"/>
            <w:u w:val="single"/>
          </w:rPr>
          <w:t>相干 2D/3D 范德华外延可实现单晶钙钛矿异质结构</w:t>
        </w:r>
      </w:hyperlink>
    </w:p>
    <w:p>
      <w:pPr>
        <w:spacing w:before="0" w:after="80"/>
      </w:pPr>
      <w:r>
        <w:rPr>
          <w:i/>
          <w:sz w:val="20"/>
        </w:rPr>
        <w:t>EN: Coherent 2D/3D van der Waals epitaxy enables single-crystal perovskite heterostructures</w:t>
      </w:r>
    </w:p>
    <w:p>
      <w:pPr>
        <w:spacing w:before="0" w:after="120"/>
      </w:pPr>
      <w:r>
        <w:rPr>
          <w:b/>
        </w:rPr>
        <w:t xml:space="preserve">Source: </w:t>
      </w:r>
      <w:r>
        <w:t>Nature Nanotechnology</w:t>
      </w:r>
      <w:r>
        <w:t xml:space="preserve">    </w:t>
      </w:r>
      <w:r>
        <w:rPr>
          <w:b/>
        </w:rPr>
        <w:t xml:space="preserve">Pub date: </w:t>
      </w:r>
      <w:r>
        <w:t>2026-06-24 00:00:00+00:00</w:t>
      </w:r>
      <w:r>
        <w:t xml:space="preserve">    </w:t>
      </w:r>
      <w:r>
        <w:rPr>
          <w:b/>
        </w:rPr>
        <w:t xml:space="preserve">DOI: </w:t>
      </w:r>
      <w:hyperlink r:id="rId821">
        <w:r>
          <w:rPr>
            <w:color w:val="1155CC"/>
            <w:u w:val="single"/>
          </w:rPr>
          <w:t>10.1038/s41565-026-02202-4</w:t>
        </w:r>
      </w:hyperlink>
    </w:p>
    <w:p>
      <w:pPr>
        <w:spacing w:before="0" w:after="120"/>
      </w:pPr>
      <w:r>
        <w:rPr>
          <w:b/>
        </w:rPr>
        <w:t xml:space="preserve">Notes: </w:t>
      </w:r>
      <w:r>
        <w:t>abstract_source=nature_html</w:t>
      </w:r>
    </w:p>
    <w:p>
      <w:pPr>
        <w:spacing w:before="0" w:after="80" w:lineRule="auto" w:line="276"/>
      </w:pPr>
      <w:r>
        <w:rPr>
          <w:b/>
        </w:rPr>
        <w:t xml:space="preserve">摘要（ZH）: </w:t>
      </w:r>
      <w:r>
        <w:t>2D/3D 范德华钙钛矿异质结构的相干外延策略被证明可以实现原子级清晰的界面，实现有序配体钝化的直接可视化，并产生具有手性光学活性的螺旋结构。该方法可扩展到宏观单晶薄膜，为先进光电子学建立一个多功能平台。</w:t>
      </w:r>
    </w:p>
    <w:p>
      <w:pPr>
        <w:spacing w:before="0" w:after="200" w:lineRule="auto" w:line="276"/>
      </w:pPr>
      <w:r>
        <w:rPr>
          <w:b/>
        </w:rPr>
        <w:t xml:space="preserve">Abstract (EN): </w:t>
      </w:r>
      <w:r>
        <w:t>A strategy for coherent epitaxy of 2D/3D van der Waals perovskite heterostructures is shown to achieve atomically sharp interfaces, enable direct visualization of ordered ligand passivation, and produce spiral structures with chiroptical activity. The method is scalable to macroscopic single-crystal thin films, establishing a versatile platform for advanced optoelectronics.</w:t>
      </w:r>
    </w:p>
    <w:p>
      <w:pPr>
        <w:spacing w:before="120" w:after="120"/>
      </w:pPr>
      <w:r>
        <w:rPr>
          <w:sz w:val="18"/>
        </w:rPr>
        <w:t>——————————————————————————————————————————————————————————————————————</w:t>
      </w:r>
    </w:p>
    <w:p>
      <w:pPr>
        <w:spacing w:before="160" w:after="40" w:line="240" w:lineRule="auto"/>
      </w:pPr>
      <w:r>
        <w:rPr>
          <w:b/>
        </w:rPr>
        <w:t xml:space="preserve">[302] </w:t>
      </w:r>
      <w:hyperlink r:id="rId822">
        <w:r>
          <w:rPr>
            <w:color w:val="1155CC"/>
            <w:u w:val="single"/>
          </w:rPr>
          <w:t>视觉表征的稳定读出促进灵活的泛化</w:t>
        </w:r>
      </w:hyperlink>
    </w:p>
    <w:p>
      <w:pPr>
        <w:spacing w:before="0" w:after="80"/>
      </w:pPr>
      <w:r>
        <w:rPr>
          <w:i/>
          <w:sz w:val="20"/>
        </w:rPr>
        <w:t>EN: Stable readout of visual representations mediates flexible generalization</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灵活的视觉引导行为需要视觉概括，将不同的输入映射到共同的推论，以及行为概括，将一个推论映射到多个动作。在这里，我们测试了视觉神经元是否通过在刺激和动作的许多变化中维持视觉信息之间相对固定的映射来支持两者。我们记录了两只雄性猴子视觉皮层的神经元群，同时它们估计随机 3D 物体的曲率，并灵活地将这些判断映射到不同的眼球运动。尽管不同物体的视觉反应差异很大，但感知判断最好通过 V1 和 V4 活动的常见形状一般读数来解释，而不是通过特定形状的策略。 V4 群体活动还对即将发生的眼跳进行编码，同时保持刺激曲率的稳定表示，从而允许将单个感知估计与多个行为输出相关联。总之，我们的研究结果表明，视觉皮层群体包含实现多种形式的灵活泛化所需的成分。</w:t>
      </w:r>
    </w:p>
    <w:p>
      <w:pPr>
        <w:spacing w:before="0" w:after="200" w:lineRule="auto" w:line="276"/>
      </w:pPr>
      <w:r>
        <w:rPr>
          <w:b/>
        </w:rPr>
        <w:t xml:space="preserve">Abstract (EN): </w:t>
      </w:r>
      <w:r>
        <w:t>Flexible visually guided behavior requires visual generalization, mapping diverse inputs to a common inference, and behavioral generalization, mapping one inference to multiple actions. Here, we tested whether visual neurons support both by maintaining a relatively fixed mapping between visual information amid many variations in stimuli and actions. We recorded neuronal populations in visual cortex in two male monkeys while they estimated the curvature of random 3D objects and flexibly mapped those judgments to different eye movements. Although visual responses varied substantially across objects, perceptual judgments were best explained by a common, shape-general readout of activity in V1 and V4, rather than by shape-specific strategies. V4 population activity additionally encoded impending saccades while maintaining a stable representation of stimulus curvature, allowing a single perceptual estimate to be linked to multiple behavioral outputs. Together, our findings suggest that visual cortex populations contain the ingredients necessary to implement multiple forms of flexible generalization.</w:t>
      </w:r>
    </w:p>
    <w:p>
      <w:pPr>
        <w:spacing w:before="120" w:after="120"/>
      </w:pPr>
      <w:r>
        <w:rPr>
          <w:sz w:val="18"/>
        </w:rPr>
        <w:t>——————————————————————————————————————————————————————————————————————</w:t>
      </w:r>
    </w:p>
    <w:p>
      <w:pPr>
        <w:spacing w:before="160" w:after="40" w:line="240" w:lineRule="auto"/>
      </w:pPr>
      <w:r>
        <w:rPr>
          <w:b/>
        </w:rPr>
        <w:t xml:space="preserve">[303] </w:t>
      </w:r>
      <w:hyperlink r:id="rId823">
        <w:r>
          <w:rPr>
            <w:color w:val="1155CC"/>
            <w:u w:val="single"/>
          </w:rPr>
          <w:t>全球采矿业破坏了保护区内外的森林保护</w:t>
        </w:r>
      </w:hyperlink>
    </w:p>
    <w:p>
      <w:pPr>
        <w:spacing w:before="0" w:after="80"/>
      </w:pPr>
      <w:r>
        <w:rPr>
          <w:i/>
          <w:sz w:val="20"/>
        </w:rPr>
        <w:t>EN: Global mining has undermined forest conservation within and beyond protected areas</w:t>
      </w:r>
    </w:p>
    <w:p>
      <w:pPr>
        <w:spacing w:before="0" w:after="120"/>
      </w:pPr>
      <w:r>
        <w:rPr>
          <w:b/>
        </w:rPr>
        <w:t xml:space="preserve">Source: </w:t>
      </w:r>
      <w:r>
        <w:t>Earth and environmental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保护区被广泛认为是全球森林保护的基石，但不断增长的矿产需求加剧了保护区的采矿压力。在此，我们对 2001 年至 2020 年保护区内外采矿引起的森林损失进行了全球评估。我们发现，全球采矿引起的森林损失约 11%（约 1372 平方公里）发生在保护区内，2016 年至 2020 年期间，这一比例增加至约 19%。此外，在整个研究期间，约 27% (544) 与保护区内森林丧失相关的地雷仍然处于活动状态。采矿影响也超出了保护区边界，周围 10 公里缓冲区（约 4113 平方公里）的森林损失几乎是保护区内观察到的三倍。时间分析进一步表明，随着时间的推移，采矿对生物量密度较高的森林的影响越来越大。这些发现表明采矿对受保护森林造成的压力日益增大，并强调需要减轻保护区边界内外的影响。</w:t>
      </w:r>
    </w:p>
    <w:p>
      <w:pPr>
        <w:spacing w:before="0" w:after="200" w:lineRule="auto" w:line="276"/>
      </w:pPr>
      <w:r>
        <w:rPr>
          <w:b/>
        </w:rPr>
        <w:t xml:space="preserve">Abstract (EN): </w:t>
      </w:r>
      <w:r>
        <w:t>Protected areas are widely regarded as a cornerstone of global forest conservation, yet growing mineral demand intensifies mining pressure on them. Here, we present a global assessment of mining-induced forest loss within and beyond protected areas from 2001 to 2020. We find that approximately 11% (~1372 km2) of global mining-induced forest loss occurs within protected areas, with this proportion increasing to ~19% during 2016–2020. Furthermore, ~27% (544) of mines associated with forest loss within protected areas remain active throughout the study period. Mining impacts also extend beyond protected area boundaries, where forest loss in the surrounding 10-km buffer zones (~4113 km2) is nearly three times that observed within protected areas. Temporal analyses further reveal that mining increasingly affects forests with higher biomass density over time. These findings demonstrate growing mining pressure on protected forests and highlight the need to mitigate impacts both within and beyond protected area boundaries.</w:t>
      </w:r>
    </w:p>
    <w:p>
      <w:pPr>
        <w:spacing w:before="120" w:after="120"/>
      </w:pPr>
      <w:r>
        <w:rPr>
          <w:sz w:val="18"/>
        </w:rPr>
        <w:t>——————————————————————————————————————————————————————————————————————</w:t>
      </w:r>
    </w:p>
    <w:p>
      <w:pPr>
        <w:spacing w:before="160" w:after="40" w:line="240" w:lineRule="auto"/>
      </w:pPr>
      <w:r>
        <w:rPr>
          <w:b/>
        </w:rPr>
        <w:t xml:space="preserve">[304] </w:t>
      </w:r>
      <w:hyperlink r:id="rId824">
        <w:r>
          <w:rPr>
            <w:color w:val="1155CC"/>
            <w:u w:val="single"/>
          </w:rPr>
          <w:t>21 世纪国家土地使用二氧化碳排放路径</w:t>
        </w:r>
      </w:hyperlink>
    </w:p>
    <w:p>
      <w:pPr>
        <w:spacing w:before="0" w:after="80"/>
      </w:pPr>
      <w:r>
        <w:rPr>
          <w:i/>
          <w:sz w:val="20"/>
        </w:rPr>
        <w:t>EN: National pathways of land-use CO₂ emissions in the 21st century</w:t>
      </w:r>
    </w:p>
    <w:p>
      <w:pPr>
        <w:spacing w:before="0" w:after="120"/>
      </w:pPr>
      <w:r>
        <w:rPr>
          <w:b/>
        </w:rPr>
        <w:t xml:space="preserve">Source: </w:t>
      </w:r>
      <w:r>
        <w:t>Earth and environmental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土地利用和土地覆盖变化 (LULCC) 是人为二氧化碳排放的主要来源，但预测仍然很少。在这里，我们使用复杂性降低的地球系统模型 OSCAR 来生成截至 2100 年的国家 LULCC 碳排放轨迹，涵盖 150 个社会经济和政策相关情景。森林砍伐和森林再生主导了 LULCC 碳排放的变化，政策时机和雄心发挥了强有力的控制作用。到 2030 年结束森林砍伐会产生大量持续的森林砍伐（到 2100 年约为 -30 Pg C），而净森林面积平衡仍排放 4-9 Pg C。最强的汇预计将出现在中国和印度尼西亚，而巴西和刚果民主共和国将主导全球源。随附的开放数据集可实现国家级情景组装和政策评估。我们的研究结果强调，早期和雄心勃勃的土地治理，特别是在热带地区，对于将土地部门转变为符合全球温度目标的持久碳汇至关重要。</w:t>
      </w:r>
    </w:p>
    <w:p>
      <w:pPr>
        <w:spacing w:before="0" w:after="200" w:lineRule="auto" w:line="276"/>
      </w:pPr>
      <w:r>
        <w:rPr>
          <w:b/>
        </w:rPr>
        <w:t xml:space="preserve">Abstract (EN): </w:t>
      </w:r>
      <w:r>
        <w:t>Land-use and land-cover change (LULCC) is a major source of anthropogenic CO₂ emissions, yet projections remain scarce. Here, we use the reduced-complexity Earth system model OSCAR to generate national LULCC carbon emission trajectories through 2100, across 150 socioeconomic and policy-relevant scenarios. Deforestation and forest regrowth dominate variability in LULCC carbon emission, with policy timing and ambition exerting strong control. Ending gross deforestation by 2030 yields large, persistent removals (about −30 Pg C by 2100), whereas net forest area balance still emits 4–9 Pg C. The strongest sinks are projected to emerge in China and Indonesia, while Brazil and the Democratic Republic of the Congo dominate global sources. The accompanying open dataset enables country-level scenario assembly and policy evaluation. Our findings underscore that early and ambitious land governance, particularly in tropical regions, is essential for transforming the land sector into a durable carbon sink aligned with global temperature goals.</w:t>
      </w:r>
    </w:p>
    <w:p>
      <w:pPr>
        <w:spacing w:before="120" w:after="120"/>
      </w:pPr>
      <w:r>
        <w:rPr>
          <w:sz w:val="18"/>
        </w:rPr>
        <w:t>——————————————————————————————————————————————————————————————————————</w:t>
      </w:r>
    </w:p>
    <w:p>
      <w:pPr>
        <w:spacing w:before="160" w:after="40" w:line="240" w:lineRule="auto"/>
      </w:pPr>
      <w:r>
        <w:rPr>
          <w:b/>
        </w:rPr>
        <w:t xml:space="preserve">[305] </w:t>
      </w:r>
      <w:hyperlink r:id="rId825">
        <w:r>
          <w:rPr>
            <w:color w:val="1155CC"/>
            <w:u w:val="single"/>
          </w:rPr>
          <w:t>沿海围垦期间土地利用对土壤有机碳和无机碳的不同响应</w:t>
        </w:r>
      </w:hyperlink>
    </w:p>
    <w:p>
      <w:pPr>
        <w:spacing w:before="0" w:after="80"/>
      </w:pPr>
      <w:r>
        <w:rPr>
          <w:i/>
          <w:sz w:val="20"/>
        </w:rPr>
        <w:t>EN: Divergent responses of soil organic and inorganic carbon driven by land use during coastal reclamation</w:t>
      </w:r>
    </w:p>
    <w:p>
      <w:pPr>
        <w:spacing w:before="0" w:after="120"/>
      </w:pPr>
      <w:r>
        <w:rPr>
          <w:b/>
        </w:rPr>
        <w:t xml:space="preserve">Source: </w:t>
      </w:r>
      <w:r>
        <w:t>Earth and environmental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沿海围垦从根本上将自然滩涂生态系统转变为受管理的陆地景观，引发土壤理化性质和碳动态的深刻变化；了解填海历史和土地利用如何共同调节土壤碳分数动态对于评估快速扩大的填海海岸线的碳封存潜力至关重要。在这里，我们表明，填海会导致海水淡化、表面脱碱、营养物富集和质地细化；复垦阶段土壤有机碳显着增加，林地和耕地表层积累明显，以矿物伴生有机碳为主，且有机碳日益稳定；土壤无机碳在早期开垦期间保持稳定，但在长期开垦的陆地土壤表层显着下降，而在水产养殖系统中保持较高水平；有机碳部分主要与养分有效性和粘土含量相关，而无机碳动态与土壤 pH 值和盐度密切相关。</w:t>
      </w:r>
    </w:p>
    <w:p>
      <w:pPr>
        <w:spacing w:before="0" w:after="200" w:lineRule="auto" w:line="276"/>
      </w:pPr>
      <w:r>
        <w:rPr>
          <w:b/>
        </w:rPr>
        <w:t xml:space="preserve">Abstract (EN): </w:t>
      </w:r>
      <w:r>
        <w:t>Coastal reclamation fundamentally transforms natural tidal flat ecosystems into managed terrestrial landscapes, initiating profound shifts in soil physicochemical properties and carbon dynamics; understanding how reclamation history and land use jointly regulate soil carbon fraction dynamics is essential for evaluating carbon sequestration potential in rapidly expanding reclaimed coastlines. Here, we show that reclamation induces progressive desalination, surface dealkalization, nutrient enrichment, and texture refinement; soil organic carbon increases markedly across reclamation stages, exhibiting strong surface accumulation under woodland and cropland, with mineral-associated organic carbon as the dominant fraction and organic carbon increasingly stable; soil inorganic carbon remains stable during early reclamation but declines markedly in surface layers of long-term reclaimed terrestrial soils while remaining high in aquaculture systems; and organic carbon fractions are primarily associated with nutrient availability and clay content whereas inorganic carbon dynamics are closely linked to soil pH and salinity.</w:t>
      </w:r>
    </w:p>
    <w:p>
      <w:pPr>
        <w:spacing w:before="120" w:after="120"/>
      </w:pPr>
      <w:r>
        <w:rPr>
          <w:sz w:val="18"/>
        </w:rPr>
        <w:t>——————————————————————————————————————————————————————————————————————</w:t>
      </w:r>
    </w:p>
    <w:p>
      <w:pPr>
        <w:spacing w:before="160" w:after="40" w:line="240" w:lineRule="auto"/>
      </w:pPr>
      <w:r>
        <w:rPr>
          <w:b/>
        </w:rPr>
        <w:t xml:space="preserve">[306] </w:t>
      </w:r>
      <w:hyperlink r:id="rId826">
        <w:r>
          <w:rPr>
            <w:color w:val="1155CC"/>
            <w:u w:val="single"/>
          </w:rPr>
          <w:t>hexABC 寻找 DNA 的物理密码</w:t>
        </w:r>
      </w:hyperlink>
    </w:p>
    <w:p>
      <w:pPr>
        <w:spacing w:before="0" w:after="80"/>
      </w:pPr>
      <w:r>
        <w:rPr>
          <w:i/>
          <w:sz w:val="20"/>
        </w:rPr>
        <w:t>EN: hexABC seeking the physical code of DNA</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我们展示了原子分子动力学模拟的杰作，涉及阿斯科纳 B-DNA 联盟 (ABC) 14 个研究小组的协调努力。该计划提供了嵌入 190 个精心挑选的 20 聚体双链体中的 2080 个 DNA 六聚体的完整表征，每个双链体在显性溶剂中重复模拟至少 10 微秒。该联盟生成 0.25 PB 的数据，在低聚物水平捕获毫秒级的整体，在碱基对水平捕获长达 10−1 秒的动态。分析可对序列依赖性 DNA 特性进行全面描述，包括骨架转变、可逆碱基对变化和部分展开等罕见事件。处理这些原子集合揭示了 DNA 的隐藏物理代码，有助于解释编码区域之外的基因组组成和进化规则。这一社区努力提供了前所未有的、经过验证的 FAIR 数据，以支持细胞规模的粗粒度 DNA 和 AI 模型。</w:t>
      </w:r>
    </w:p>
    <w:p>
      <w:pPr>
        <w:spacing w:before="0" w:after="200" w:lineRule="auto" w:line="276"/>
      </w:pPr>
      <w:r>
        <w:rPr>
          <w:b/>
        </w:rPr>
        <w:t xml:space="preserve">Abstract (EN): </w:t>
      </w:r>
      <w:r>
        <w:t>We present a tour de force of atomistic molecular dynamics simulations involving the coordinated effort of 14 research groups of the Ascona B-DNA Consortium (ABC). This initiative provides a complete characterization of the 2080 DNA hexamers embedded in 190 carefully selected 20-mer duplexes, each simulated in replicate for at least 10 microseconds in explicit solvent. The consortium generates 0.25 petabytes of data, capturing millisecond-scale ensembles at the oligomer level and dynamics up to 10−1 seconds at the base-pair level. Analysis yields a comprehensive description of sequence-dependent DNA properties, including rare events such as backbone transitions, reversible base-pair changes, and partial unfolding. Processing these atomistic ensembles reveals a hidden physical code of DNA, helping explain rules of genome composition and evolution beyond coding regions. This community effort delivers unprecedented, validated FAIR data to support coarse-grained and AI models of DNA at cellular scale.</w:t>
      </w:r>
    </w:p>
    <w:p>
      <w:pPr>
        <w:spacing w:before="120" w:after="120"/>
      </w:pPr>
      <w:r>
        <w:rPr>
          <w:sz w:val="18"/>
        </w:rPr>
        <w:t>——————————————————————————————————————————————————————————————————————</w:t>
      </w:r>
    </w:p>
    <w:p>
      <w:pPr>
        <w:spacing w:before="160" w:after="40" w:line="240" w:lineRule="auto"/>
      </w:pPr>
      <w:r>
        <w:rPr>
          <w:b/>
        </w:rPr>
        <w:t xml:space="preserve">[307] </w:t>
      </w:r>
      <w:hyperlink r:id="rId827">
        <w:r>
          <w:rPr>
            <w:color w:val="1155CC"/>
            <w:u w:val="single"/>
          </w:rPr>
          <w:t>透明玻璃内的卤化铜实现超宽带紫外线检测和成像</w:t>
        </w:r>
      </w:hyperlink>
    </w:p>
    <w:p>
      <w:pPr>
        <w:spacing w:before="0" w:after="80"/>
      </w:pPr>
      <w:r>
        <w:rPr>
          <w:i/>
          <w:sz w:val="20"/>
        </w:rPr>
        <w:t>EN: Ultra-broadband ultraviolet detection and imaging enabled by copper-halide inside transparent glass</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安全预警和环境监测等应用对宽带紫外（UV）探测和成像系统的发展有很高的需求。然而，传统的紫外检测和成像系统的带隙可调性有限，由于光谱响应有限，导致与深紫外波长的兼容性较差。为了解决这个问题，我们制造了一种具有多带隙设计的复合玻璃器件，其中 Gd3+ 离子桥接了基质玻璃和嵌入的 Cs3Cu2I5 纳米晶体 (NC) 之间的带隙失配，从而实现了高效的载流子级联冷却以及将深紫外光子转换为可见光。由于能量传输效率接近100%，该器件表现出180至350 nm的光谱响应，包括真空紫外区域(-1)成像性能，显着超越传统的紫外探测器阵列。因此，这项工作为稳定的超宽带紫外检测器的合理设计和制造建立了可扩展的策略，为下一代紫外检测和成像技术铺平了道路。</w:t>
      </w:r>
    </w:p>
    <w:p>
      <w:pPr>
        <w:spacing w:before="0" w:after="200" w:lineRule="auto" w:line="276"/>
      </w:pPr>
      <w:r>
        <w:rPr>
          <w:b/>
        </w:rPr>
        <w:t xml:space="preserve">Abstract (EN): </w:t>
      </w:r>
      <w:r>
        <w:t>The development of broadband ultraviolet (UV) detection and imaging systems is in high demand for applications such as security early warning and environmental monitoring. However, conventional UV detection and imaging systems suffer from limited bandgap tunability, leading to poor compatibility with deep UV wavelengths due to their restricted spectral response. To address this, we fabricated a composite glass device with multi-bandgap design, where Gd3+ ions bridge the bandgap mismatch between the host glass and embedded Cs3Cu2I5 nanocrystals (NCs), enabling efficient carrier cascade cooling and the conversion of deep UV photons into visible light. Owing to an energy transfer efficiency approaching 100%, the device exhibits a spectral response from 180 to 350 nm, including the vacuum UV region ( −1) imaging performance that significantly surpasses conventional UV detector arrays. This work therefore establishes a scalable strategy for the rational design and fabrication of stable, ultra-broadband UV detectors, paving the way for next-generation UV detection and imaging technologies.</w:t>
      </w:r>
    </w:p>
    <w:p>
      <w:pPr>
        <w:spacing w:before="120" w:after="120"/>
      </w:pPr>
      <w:r>
        <w:rPr>
          <w:sz w:val="18"/>
        </w:rPr>
        <w:t>——————————————————————————————————————————————————————————————————————</w:t>
      </w:r>
    </w:p>
    <w:p>
      <w:pPr>
        <w:spacing w:before="160" w:after="40" w:line="240" w:lineRule="auto"/>
      </w:pPr>
      <w:r>
        <w:rPr>
          <w:b/>
        </w:rPr>
        <w:t xml:space="preserve">[308] </w:t>
      </w:r>
      <w:hyperlink r:id="rId828">
        <w:r>
          <w:rPr>
            <w:color w:val="1155CC"/>
            <w:u w:val="single"/>
          </w:rPr>
          <w:t>用于全 3D 全息显示的网格表示和学习赋能的全息图合成</w:t>
        </w:r>
      </w:hyperlink>
    </w:p>
    <w:p>
      <w:pPr>
        <w:spacing w:before="0" w:after="80"/>
      </w:pPr>
      <w:r>
        <w:rPr>
          <w:i/>
          <w:sz w:val="20"/>
        </w:rPr>
        <w:t>EN: Mesh-represented and learning-empowered hologram synthesis for full 3D holographic displays</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全息显示是沉浸式虚拟和增强现实系统的一项变革技术。探索三维 (3D) 内容的准确而高效的计算机生成全息 (CGH) 算法是一个有价值的研究领域。基于层的 CGH 的最新进展可能在准确表示倾斜角谱和实现逼真的散焦模糊方面传达全面 3D 信息的能力有限。基于点云和光场的替代方法可能需要大量的计算资源来准备足够的目标数据以进行优化。此外，大多数现有的 CGH 算法依靠启发式方法将复杂的振幅编码为纯相位全息图以进行显示，这可能是非常不适定的。在这里，我们研究了一种创新的 CGH 框架，该框架使用基于网格的表示、倾斜角度定制的波传播建模和复值优化的独特组合，以及使用相机反馈的学习授权显示校准方案来克服这些挑战。由此产生的扩展全息图编码功能能够提供自然的 3D 深度线索，包括平滑的散焦模糊和依赖于视图的效果。在我们的全息近眼显示器原型上进行的实验结果展示了前所未有的全 3D 视觉质量，代表着在创建沉浸式可视化体验方面的重大进步。</w:t>
      </w:r>
    </w:p>
    <w:p>
      <w:pPr>
        <w:spacing w:before="0" w:after="200" w:lineRule="auto" w:line="276"/>
      </w:pPr>
      <w:r>
        <w:rPr>
          <w:b/>
        </w:rPr>
        <w:t xml:space="preserve">Abstract (EN): </w:t>
      </w:r>
      <w:r>
        <w:t>Holographic displays are a transforming technology for immersive virtual and augmented reality systems. Exploring accurate yet efficient computer-generated holography (CGH) algorithms for three-dimensional (3D) content is a valuable research field. Recent advancements in layer-based CGH may exhibit limited capacity to convey comprehensive 3D information in accurately representing tilted angular spectrum and realizing realistic defocus blur. Alternative approaches based on point clouds and light fields may demand significant computational resources for preparing adequate target data for optimization. In addition, most existing CGH algorithms rely on heuristics to encode complex amplitudes into phase-only holograms for display, which can be highly ill-posed. Here we investigate an innovative CGH framework that overcomes these challenges using a unique combination of mesh-based representation, tilt-angle tailored wave propagation modeling, and complex-valued optimization, alongside a learning-empowered display calibration scheme using camera feedback. The resulting expanded hologram encoding capabilities enable the delivery of natural 3D depth cues, including smooth defocus blur and view-dependent effects. Experimental results conducted on our holographic near-eye display prototype demonstrate unprecedented full 3D visual quality, representing a significant advancement in creating immersive visualization experiences.</w:t>
      </w:r>
    </w:p>
    <w:p>
      <w:pPr>
        <w:spacing w:before="120" w:after="120"/>
      </w:pPr>
      <w:r>
        <w:rPr>
          <w:sz w:val="18"/>
        </w:rPr>
        <w:t>——————————————————————————————————————————————————————————————————————</w:t>
      </w:r>
    </w:p>
    <w:p>
      <w:pPr>
        <w:spacing w:before="160" w:after="40" w:line="240" w:lineRule="auto"/>
      </w:pPr>
      <w:r>
        <w:rPr>
          <w:b/>
        </w:rPr>
        <w:t xml:space="preserve">[309] </w:t>
      </w:r>
      <w:hyperlink r:id="rId829">
        <w:r>
          <w:rPr>
            <w:color w:val="1155CC"/>
            <w:u w:val="single"/>
          </w:rPr>
          <w:t>环状砜环重塑能够以分子形状多样性为导向合成特有的联芳基和寡芳基基序</w:t>
        </w:r>
      </w:hyperlink>
    </w:p>
    <w:p>
      <w:pPr>
        <w:spacing w:before="0" w:after="80"/>
      </w:pPr>
      <w:r>
        <w:rPr>
          <w:i/>
          <w:sz w:val="20"/>
        </w:rPr>
        <w:t>EN: Cyclic sulfone ring remodeling enables molecular shape diversity-oriented synthesis of privileged biaryl and oligoaryl motifs</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分子形状是特殊支架（例如联芳基和低聚芳基化合物）的结构特性和分子间相互作用的关键决定因素，这些支架广泛用于药物、催化剂和功能材料的设计。尽管分子形状多样性和三维度增加的重要性已得到广泛认可，但联芳基化合物的化学空间仍然以具有对位和间位取代模式的线性和盘状结构为主。相比之下，由于缺乏以合成有效的方式生成集中的邻位类似物文库的合成方法，更多的球状双邻位取代的联芳基支架尚未得到充分探索。我们在此报告了区域选择性亲核/亲电子对介导的环状砜环重塑的发展，该重塑可以简化对各种联芳基和低聚芳基支架的获取，其中包括脂肪族和（杂）芳香胺、酚、（硫）醚和膦。为了促进结构复杂的联芳基产物的区域化学的预测，开发了一种基于先前未探索的伯努利朴素贝叶斯分类器的机器学习模型。综合实验、计算和数据驱动的方法描绘了减轻结构偏差和探索药物化学、催化和材料科学中人口不足的联芳化学空间的过程。</w:t>
      </w:r>
    </w:p>
    <w:p>
      <w:pPr>
        <w:spacing w:before="0" w:after="200" w:lineRule="auto" w:line="276"/>
      </w:pPr>
      <w:r>
        <w:rPr>
          <w:b/>
        </w:rPr>
        <w:t xml:space="preserve">Abstract (EN): </w:t>
      </w:r>
      <w:r>
        <w:t>Molecular shape is a key determinant of the structural properties and intermolecular interactions of privileged scaffolds, such as biaryl and oligoaryl compounds, which are widely used in the design of drugs, catalysts, and functional materials. Despite the well-recognized importance of molecular shape diversity and increased three-dimensionality, the chemical space of biaryl compounds remains dominated by linear and disk-like structures featuring para and meta substitution patterns. In contrast, more sphere-like bis-ortho-substituted biaryl scaffolds have been underexplored, because of the dearth of synthetic methods for generating focused libraries of ortho analogs in a synthetically efficient manner. We report herein the development of regioselective nucleophile/electrophile couple-mediated cyclic sulfone ring remodeling that can streamline access to a wide range of biaryl and oligoaryl scaffolds, featuring aliphatic and (hetero)aromatic amines, phenols, (thio)ethers, and phosphines. To facilitate prediction of the regiochemistry of structurally complex biaryl products, a machine learning model based on the previously unexplored Bernoulli Naïve Bayes classifier is developed. The integrated experimental, computational, and data-driven approach charts the course for mitigating structural biases and exploring the underpopulated biaryl chemical space in medicinal chemistry, catalysis, and materials science.</w:t>
      </w:r>
    </w:p>
    <w:p>
      <w:pPr>
        <w:spacing w:before="120" w:after="120"/>
      </w:pPr>
      <w:r>
        <w:rPr>
          <w:sz w:val="18"/>
        </w:rPr>
        <w:t>——————————————————————————————————————————————————————————————————————</w:t>
      </w:r>
    </w:p>
    <w:p>
      <w:pPr>
        <w:spacing w:before="160" w:after="40" w:line="240" w:lineRule="auto"/>
      </w:pPr>
      <w:r>
        <w:rPr>
          <w:b/>
        </w:rPr>
        <w:t xml:space="preserve">[310] </w:t>
      </w:r>
      <w:hyperlink r:id="rId830">
        <w:r>
          <w:rPr>
            <w:color w:val="1155CC"/>
            <w:u w:val="single"/>
          </w:rPr>
          <w:t>超网络引发稳定的超锁定</w:t>
        </w:r>
      </w:hyperlink>
    </w:p>
    <w:p>
      <w:pPr>
        <w:spacing w:before="0" w:after="80"/>
      </w:pPr>
      <w:r>
        <w:rPr>
          <w:i/>
          <w:sz w:val="20"/>
        </w:rPr>
        <w:t>EN: Hypernetworks induce stable hyperlocking</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超网络捕获耦合结构，其中交互范围从对扩展到三个或更多单元的组，称为超边。它们对于大脑、社会群体、生态系统和气候等许多系统越来越重要。我们在这里描述一种超网络特有的同步现象。我们发现，在具有谐振频率的三个耦合振荡器的系统中，通过三元超网络基序的耦合（其中第三个节点调节另外两个节点之间的相互作用）可以诱导相位三元组的稳定锁定，而没有观察到成对锁定。使用范式变换和相约化，我们分析得出耦合函数的特定选择如何引起这种超锁定。我们通过数值模拟和化学实验证实了我们的预测。我们的研究结果揭示了高阶交互固有的新同步机制，并为控制成对框架之外的现实世界复杂动态开辟了新方向。</w:t>
      </w:r>
    </w:p>
    <w:p>
      <w:pPr>
        <w:spacing w:before="0" w:after="200" w:lineRule="auto" w:line="276"/>
      </w:pPr>
      <w:r>
        <w:rPr>
          <w:b/>
        </w:rPr>
        <w:t xml:space="preserve">Abstract (EN): </w:t>
      </w:r>
      <w:r>
        <w:t>Hypernetworks capture coupling structures where interactions extend beyond pairs to groups of three or more units, called hyperedges. They are of increasing importance for many systems such as the brain, social groups, ecosystems, and the climate. We describe here a synchronization phenomenon that is distinctive for hypernetworks. We uncover that in a system of three coupled oscillators with resonant frequencies, the coupling by a triadic hypernetwork motif, where a third node modulates the interaction between two others, can induce a stable locking of a phase triplet, while no pairwise locking is observed. Using normal form transformations and phase reduction, we derive analytically how a specific choice of the coupling functions induces this hyperlocking. We confirm our predictions with both numerical simulations and chemical experiments. Our findings uncover a new synchronization mechanism intrinsic to higher-order interactions and open new directions for controlling real-world complex dynamics beyond pairwise frameworks.</w:t>
      </w:r>
    </w:p>
    <w:p>
      <w:pPr>
        <w:spacing w:before="120" w:after="120"/>
      </w:pPr>
      <w:r>
        <w:rPr>
          <w:sz w:val="18"/>
        </w:rPr>
        <w:t>——————————————————————————————————————————————————————————————————————</w:t>
      </w:r>
    </w:p>
    <w:p>
      <w:pPr>
        <w:spacing w:before="160" w:after="40" w:line="240" w:lineRule="auto"/>
      </w:pPr>
      <w:r>
        <w:rPr>
          <w:b/>
        </w:rPr>
        <w:t xml:space="preserve">[311] </w:t>
      </w:r>
      <w:hyperlink r:id="rId831">
        <w:r>
          <w:rPr>
            <w:color w:val="1155CC"/>
            <w:u w:val="single"/>
          </w:rPr>
          <w:t>离子自组装单层在高效钙钛矿太阳能电池中实现中性界面和协同电荷提取</w:t>
        </w:r>
      </w:hyperlink>
    </w:p>
    <w:p>
      <w:pPr>
        <w:spacing w:before="0" w:after="80"/>
      </w:pPr>
      <w:r>
        <w:rPr>
          <w:i/>
          <w:sz w:val="20"/>
        </w:rPr>
        <w:t>EN: Ionic self-assembled monolayers enable neutral interfaces and synergistic charge extraction in high-efficiency perovskite solar cells</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自组装单层（SAM）已成为高效倒置钙钛矿太阳能电池（PSC）不可或缺的空穴选择性接触。然而，传统 SAM 的本质酸性头基导致界面不均匀、电荷转移有限和操作稳定性差。在这里，我们通过基准[2-(9H-咔唑-9-基)乙基]膦酸(2PACz) SAM的目标头基官能化引入了一系列碱金属基膦酸盐(2PACz-M)，实现了化学中和和电子离域界面。离子膦酸酯部分增强了π电子共轭，改善了能级排列，并加强了与金属氧化物电极的化学配位，从而产生均匀稳定的表面覆盖。此外，当与[4-(3,6-二甲基-9H-咔唑-9-基)丁基]膦酸(Me-4PACz)结合时，混合SAM界面表现出协同效应，促进有效的空穴提取，抑制非辐射复合，并增强环境鲁棒性。这种界面工程使 1.55 eV PSC 能够实现 26.88% 的冠军功率转换效率 (PCE) 和 86.57% 的填充因子 (FF)，同时 29.7 cm2 模块的 PCE 为 23.32%。事实证明，SAM 协同作用在不同带隙的钙钛矿中具有普遍性，产生的两端 (2T) 全钙钛矿串联太阳能电池的 PCE 提高了 29.05%。</w:t>
      </w:r>
    </w:p>
    <w:p>
      <w:pPr>
        <w:spacing w:before="0" w:after="200" w:lineRule="auto" w:line="276"/>
      </w:pPr>
      <w:r>
        <w:rPr>
          <w:b/>
        </w:rPr>
        <w:t xml:space="preserve">Abstract (EN): </w:t>
      </w:r>
      <w:r>
        <w:t>Self-assembled monolayers (SAMs) have become indispensable hole-selective contacts for high-efficiency inverted perovskite solar cells (PSCs). However, the intrinsically acidic head groups of conventional SAMs lead to interfacial inhomogeneity, limited charge transfer, and poor operational stability. Here, we introduce a family of alkali metal–based phosphonate salts (2PACz-M) through targeted head-group functionalization of the benchmark [2-(9H-carbazol-9-yl)ethyl]phosphonic acid (2PACz) SAM, achieving a chemically neutralized and electronically delocalized interface. The ionic phosphonate moiety enhances π-electron conjugation, improves energy-level alignment, and strengthens chemical coordination with metal oxide electrodes, resulting in homogeneous and stable surface coverage. Moreover, when combined with [4-(3,6-dimethyl-9H-carbazol-9-yl)butyl]phosphonic acid (Me-4PACz), the mixed-SAM interface exhibits a synergistic effect that facilitates efficient hole extraction, suppresses non-radiative recombination, and reinforces environmental robustness. This interfacial engineering enables 1.55 eV PSCs to achieve a champion power conversion efficiency (PCE) of 26.88% with a fill factor (FF) of 86.57%, alongside a 23.32% PCE for a 29.7 cm2 module. The SAM synergy proves universal across perovskites of varied bandgaps, yielding two-terminal (2T) all-perovskite tandem solar cells with an enhanced PCE of 29.05%.</w:t>
      </w:r>
    </w:p>
    <w:p>
      <w:pPr>
        <w:spacing w:before="120" w:after="120"/>
      </w:pPr>
      <w:r>
        <w:rPr>
          <w:sz w:val="18"/>
        </w:rPr>
        <w:t>——————————————————————————————————————————————————————————————————————</w:t>
      </w:r>
    </w:p>
    <w:p>
      <w:pPr>
        <w:spacing w:before="160" w:after="40" w:line="240" w:lineRule="auto"/>
      </w:pPr>
      <w:r>
        <w:rPr>
          <w:b/>
        </w:rPr>
        <w:t xml:space="preserve">[312] </w:t>
      </w:r>
      <w:hyperlink r:id="rId832">
        <w:r>
          <w:rPr>
            <w:color w:val="1155CC"/>
            <w:u w:val="single"/>
          </w:rPr>
          <w:t>Necrocide 1 激活人 TRPM4 通过钠超载引发坏死的结构机制</w:t>
        </w:r>
      </w:hyperlink>
    </w:p>
    <w:p>
      <w:pPr>
        <w:spacing w:before="0" w:after="80"/>
      </w:pPr>
      <w:r>
        <w:rPr>
          <w:i/>
          <w:sz w:val="20"/>
        </w:rPr>
        <w:t>EN: Structural mechanism of Necrocide 1 activation of human TRPM4 that triggers necrosis by sodium overload</w:t>
      </w:r>
    </w:p>
    <w:p>
      <w:pPr>
        <w:spacing w:before="0" w:after="120"/>
      </w:pPr>
      <w:r>
        <w:rPr>
          <w:b/>
        </w:rPr>
        <w:t xml:space="preserve">Source: </w:t>
      </w:r>
      <w:r>
        <w:t>Biological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小分子 Necrocide 1 (NC1) 持续激活人 TRPM4，触发 Na⁺ 内流并导致坏死细胞死亡，这一过程称为钠超载坏死 (NECSO)。 NC1 激活是人类 TRPM4 特异的，不会影响大多数其他哺乳动物 TRPM4 直系同源物。在这里，我们结合单颗粒冷冻电镜、电生理学和细胞死亡测定，阐明了 NC1 激活的分子机制及其对人 TRPM4 的物种特异性选择性。我们确定了 NC1 结合位点和负责通道激活的关键分子决定因素。此外，我们解释了小鼠 TRPM4 对 NC1 的不敏感性，并查明了定义 NC1 对人 TRPM4 特异性的特定残基。鉴于 TRPM4 在各种人类癌症中的上调，我们对 NC1 激活和特异性的机制见解为针对 TRPM4 介导的坏死的癌症治疗的潜在开发提供了框架。</w:t>
      </w:r>
    </w:p>
    <w:p>
      <w:pPr>
        <w:spacing w:before="0" w:after="200" w:lineRule="auto" w:line="276"/>
      </w:pPr>
      <w:r>
        <w:rPr>
          <w:b/>
        </w:rPr>
        <w:t xml:space="preserve">Abstract (EN): </w:t>
      </w:r>
      <w:r>
        <w:t>The small molecule Necrocide 1 (NC1) constitutively activates human TRPM4, triggering Na⁺ influx and leading to necrotic cell death, a process termed Necrosis by Sodium Overload (NECSO). NC1 activation is specific to human TRPM4 and does not affect most of the other mammalian TRPM4 orthologs. Here, we elucidate the molecular mechanism underlying NC1 activation and its species-specific selectivity for human TRPM4 using a combination of single-particle cryo-EM, electrophysiology, and cell death assays. We identify the NC1-binding site and the key molecular determinants responsible for channel activation. In addition, we explain the insensitivity of mouse TRPM4 to NC1 and pinpoint specific residues that define NC1 specificity for human TRPM4. Given the upregulation of TRPM4 in various human cancers, our mechanistic insights into NC1 activation and specificity provide a framework for the potential development of cancer therapeutics targeting TRPM4-mediated necrosis.</w:t>
      </w:r>
    </w:p>
    <w:p>
      <w:pPr>
        <w:spacing w:before="120" w:after="120"/>
      </w:pPr>
      <w:r>
        <w:rPr>
          <w:sz w:val="18"/>
        </w:rPr>
        <w:t>——————————————————————————————————————————————————————————————————————</w:t>
      </w:r>
    </w:p>
    <w:p>
      <w:pPr>
        <w:spacing w:before="160" w:after="40" w:line="240" w:lineRule="auto"/>
      </w:pPr>
      <w:r>
        <w:rPr>
          <w:b/>
        </w:rPr>
        <w:t xml:space="preserve">[313] </w:t>
      </w:r>
      <w:hyperlink r:id="rId833">
        <w:r>
          <w:rPr>
            <w:color w:val="1155CC"/>
            <w:u w:val="single"/>
          </w:rPr>
          <w:t>西北欧晚期尼安德特人的遗传多样性</w:t>
        </w:r>
      </w:hyperlink>
    </w:p>
    <w:p>
      <w:pPr>
        <w:spacing w:before="0" w:after="80"/>
      </w:pPr>
      <w:r>
        <w:rPr>
          <w:i/>
          <w:sz w:val="20"/>
        </w:rPr>
        <w:t>EN: Genetic diversity of late Neanderthals in northwestern Europe</w:t>
      </w:r>
    </w:p>
    <w:p>
      <w:pPr>
        <w:spacing w:before="0" w:after="120"/>
      </w:pPr>
      <w:r>
        <w:rPr>
          <w:b/>
        </w:rPr>
        <w:t xml:space="preserve">Source: </w:t>
      </w:r>
      <w:r>
        <w:t>Nature</w:t>
      </w:r>
      <w:r>
        <w:t xml:space="preserve">    </w:t>
      </w:r>
      <w:r>
        <w:rPr>
          <w:b/>
        </w:rPr>
        <w:t xml:space="preserve">Pub date: </w:t>
      </w:r>
      <w:r>
        <w:t>2026-06-24 00:00:00+00:00</w:t>
      </w:r>
      <w:r>
        <w:t xml:space="preserve">    </w:t>
      </w:r>
      <w:r>
        <w:rPr>
          <w:b/>
        </w:rPr>
        <w:t xml:space="preserve">DOI: </w:t>
      </w:r>
      <w:hyperlink r:id="rId834">
        <w:r>
          <w:rPr>
            <w:color w:val="1155CC"/>
            <w:u w:val="single"/>
          </w:rPr>
          <w:t>10.1038/s41586-026-10625-1</w:t>
        </w:r>
      </w:hyperlink>
    </w:p>
    <w:p>
      <w:pPr>
        <w:spacing w:before="0" w:after="120"/>
      </w:pPr>
      <w:r>
        <w:rPr>
          <w:b/>
        </w:rPr>
        <w:t xml:space="preserve">Notes: </w:t>
      </w:r>
      <w:r>
        <w:t>abstract_source=nature_html</w:t>
      </w:r>
    </w:p>
    <w:p>
      <w:pPr>
        <w:spacing w:before="0" w:after="80" w:lineRule="auto" w:line="276"/>
      </w:pPr>
      <w:r>
        <w:rPr>
          <w:b/>
        </w:rPr>
        <w:t xml:space="preserve">摘要（ZH）: </w:t>
      </w:r>
      <w:r>
        <w:t>考古、骨学和遗传学证据表明，尼安德特人生活在小群体中1,2；然而，人们对这些群体是属于孤立社区的一部分还是属于更大、联系更紧密的人群却知之甚少3。比利时默兹盆地4 广泛分布着大致同期的尼安德特人遗址，为高分辨率研究区域人口提供了难得的机会。在这里，我们从比利时和法国的 10 个考古遗址中生成了 27 名生活在大约 52,500 年前的尼安德特人的遗传数据，其中包括来自比利时戈耶的 45,000 岁个体的高覆盖率基因组。我们发现，这些人中的大多数人彼此之间的关系比与欧洲其他同时代的晚期尼安德特人的关系更为密切。此外，其中一些人携带着尼安德特人谱系的 DNA，该谱系早于晚期尼安德特人的分裂。尽管这些尼安德特人从大约 47,000 年前起就与欧洲西北部的早期现代人类在时间上重叠，但我们没有发现现代人类近期基因流动的证据。它们也没有表现出阿尔泰尼安德特人近亲交配的遗传特征，这表明他们生活在更大或联系更好的群体中。此外，遗传负荷不会随着时间的推移而积累，这表明渐进性遗传退化不是尼安德特人灭绝的驱动因素。</w:t>
      </w:r>
    </w:p>
    <w:p>
      <w:pPr>
        <w:spacing w:before="0" w:after="200" w:lineRule="auto" w:line="276"/>
      </w:pPr>
      <w:r>
        <w:rPr>
          <w:b/>
        </w:rPr>
        <w:t xml:space="preserve">Abstract (EN): </w:t>
      </w:r>
      <w:r>
        <w:t>Archaeological, osteological and genetic evidence suggests that Neanderthals lived in small groups1,2; however, less is known about whether these groups were part of isolated communities or belonged to larger, well-connected populations3. The dense concentration of broadly contemporaneous Neanderthal sites in the Meuse Basin, Belgium4, provides a rare opportunity to study regional populations at high resolution. Here we generated genetic data from 27 Neanderthals who lived less than approximately 52,500 years ago from ten archaeological sites in Belgium and France, including a high-coverage genome from a 45,000-year-old individual from Goyet, Belgium. We show that most of these individuals are more closely related to one another than to other contemporaneous late Neanderthals in Europe. Further, some of these individuals carry DNA from a Neanderthal lineage predating the split of late Neanderthals. Although these Neanderthals overlapped temporally with early modern humans in northwestern Europe from around 47,000 years ago, we find no evidence of recent gene flow from modern humans. They also do not show the genetic signatures of mating among close relatives found in Altai Neanderthals, suggesting that they lived in larger or better-connected groups. Moreover, genetic load did not accumulate over time, arguing against progressive genetic deterioration as a driver of Neanderthal extinction.</w:t>
      </w:r>
    </w:p>
    <w:p>
      <w:pPr>
        <w:spacing w:before="120" w:after="120"/>
      </w:pPr>
      <w:r>
        <w:rPr>
          <w:sz w:val="18"/>
        </w:rPr>
        <w:t>——————————————————————————————————————————————————————————————————————</w:t>
      </w:r>
    </w:p>
    <w:p>
      <w:pPr>
        <w:spacing w:before="160" w:after="40" w:line="240" w:lineRule="auto"/>
      </w:pPr>
      <w:r>
        <w:rPr>
          <w:b/>
        </w:rPr>
        <w:t xml:space="preserve">[314] </w:t>
      </w:r>
      <w:hyperlink r:id="rId835">
        <w:r>
          <w:rPr>
            <w:color w:val="1155CC"/>
            <w:u w:val="single"/>
          </w:rPr>
          <w:t>近红外应力记忆发射器可在照明环境中实现延迟冲击可视化</w:t>
        </w:r>
      </w:hyperlink>
    </w:p>
    <w:p>
      <w:pPr>
        <w:spacing w:before="0" w:after="80"/>
      </w:pPr>
      <w:r>
        <w:rPr>
          <w:i/>
          <w:sz w:val="20"/>
        </w:rPr>
        <w:t>EN: Near-infrared stress memory emitters enable delayed impact visualization in illuminated environments</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快速、准确的机械检测在许多领域都至关重要。然而，传统的基于相机的方法依赖于高帧率镜头和预测算法的计算密集型分析，通常非常耗时，并且可能会引入解释错误，从而损害可靠性。在这里，我们提出了一类近红外应力记忆发射器，可以在周围环境中进行快速、可视化的机械检测。我们开发了 Ca(Sr)ZnOS:Yb3+/Pb2+ 晶体，并通过亚带隙态的组合工程实现了 981 nm 的持久机械发光。通过同构主体混合与指定的紫外线充电相结合，可实现对持久机械发光强度和持续时间的有意调节，从而能够以短处理时间（0.39 s）和高精度直接捕获和可视化球的撞击。明亮（每次事件高达 11 × 107 光子）和持久（高达 100 秒）的持久机械发光拓宽了光学材料在压力传感器、人机界面和机械光电电子等应用中的范围。</w:t>
      </w:r>
    </w:p>
    <w:p>
      <w:pPr>
        <w:spacing w:before="0" w:after="200" w:lineRule="auto" w:line="276"/>
      </w:pPr>
      <w:r>
        <w:rPr>
          <w:b/>
        </w:rPr>
        <w:t xml:space="preserve">Abstract (EN): </w:t>
      </w:r>
      <w:r>
        <w:t>Rapid and accurate mechanical detection is essential across numerous fields. However, conventional camera-based methods, which depend on computationally intensive analysis of high-frame-rate footage and predictive algorithms, are often time-consuming and can introduce interpretive errors that compromise reliability. Herein, we present a class of near-infrared stress memory emitters, allowing fast and visualized mechanical detection in ambient environments. We develop Ca(Sr)ZnOS:Yb3+/Pb2+ crystals and achieve persistent mechanoluminescence at 981 nm by combinatorial engineering of sub-bandgap states. Deliberate modulation of the persistent mechanoluminescence intensity and duration is achieved through isostructural host blending coupled with prescribed ultraviolet charging, enabling direct capture and visualization of ball impacts with short processing time (0.39 s) and high accuracy. The bright (up to 11 × 107 photons per event) and durable (up to 100 s) persistent mechanoluminescence broadens the scope of optical materials in applications such as stress sensors, human-machine interfaces, and mechano-opto-electronics.</w:t>
      </w:r>
    </w:p>
    <w:p>
      <w:pPr>
        <w:spacing w:before="120" w:after="120"/>
      </w:pPr>
      <w:r>
        <w:rPr>
          <w:sz w:val="18"/>
        </w:rPr>
        <w:t>——————————————————————————————————————————————————————————————————————</w:t>
      </w:r>
    </w:p>
    <w:p>
      <w:pPr>
        <w:spacing w:before="160" w:after="40" w:line="240" w:lineRule="auto"/>
      </w:pPr>
      <w:r>
        <w:rPr>
          <w:b/>
        </w:rPr>
        <w:t xml:space="preserve">[315] </w:t>
      </w:r>
      <w:hyperlink r:id="rId836">
        <w:r>
          <w:rPr>
            <w:color w:val="1155CC"/>
            <w:u w:val="single"/>
          </w:rPr>
          <w:t>希尔伯特空间中高维自旋轨道态的通用生成和操纵</w:t>
        </w:r>
      </w:hyperlink>
    </w:p>
    <w:p>
      <w:pPr>
        <w:spacing w:before="0" w:after="80"/>
      </w:pPr>
      <w:r>
        <w:rPr>
          <w:i/>
          <w:sz w:val="20"/>
        </w:rPr>
        <w:t>EN: Generic generation and manipulation of high-dimensional spin-orbit states in Hilbert space</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光携带自旋（偏振）和轨道角动量。结合这些自由度会产生存在于高维希尔伯特空间中的混合自旋轨道态，为光通信、量子技术和计量学提供更大的信息容量和鲁棒性。然而，在这些空间中生成任意状态并有效地表征它们仍然很困难。在这里，我们展示了一个紧凑的超表面，它可以在四维希尔伯特空间中生成任意自旋轨道状态，在庞加莱超球面上可视化，并且可以直接扩展到更高维度。该单层器件使用四原子晶胞，精确控制复杂的振幅、相位和偏振。我们进一步引入了一种有效的干涉方案，该方案仅使用三个干涉图即可重建任何 N 维自旋轨道状态的全密度矩阵。这种方法揭示了一种内在的自旋轨道奇偶校验顺序，它控制投影强度图案的对称性，与本征模的权重无关，并能够通过高阶几何相位进行受控模式转换。这些进步为高维光子技术建立了一个多功能平台。</w:t>
      </w:r>
    </w:p>
    <w:p>
      <w:pPr>
        <w:spacing w:before="0" w:after="200" w:lineRule="auto" w:line="276"/>
      </w:pPr>
      <w:r>
        <w:rPr>
          <w:b/>
        </w:rPr>
        <w:t xml:space="preserve">Abstract (EN): </w:t>
      </w:r>
      <w:r>
        <w:t>Light carries both spin (polarization) and orbital angular momentum. Combining these degrees of freedom produces hybrid spin–orbit states that live in a high-dimensional Hilbert space, offering greater information capacity and robustness for optical communication, quantum technologies, and metrology. However, generating arbitrary states in these spaces and characterizing them efficiently has remained difficult. Here we show a compact metasurface that generates arbitrary spin–orbit states in a four-dimensional Hilbert space, visualized on a Poincaré hypersphere, with straightforward scalability to higher dimensions. Using a tetratomic unit cell, the single-layer device precisely controls complex amplitude, phase, and polarization. We further introduce an efficient interferometric scheme that reconstructs the full density matrix of any N-dimensional spin–orbit state using only three interferograms. This approach uncovers an intrinsic spin–orbit parity order that governs the symmetry of projected intensity patterns, independent of the weighting of the eigenmodes, and enables controlled mode transformations through higher-order geometric phases. These advances establish a versatile platform for high-dimensional photonic technologies.</w:t>
      </w:r>
    </w:p>
    <w:p>
      <w:pPr>
        <w:spacing w:before="120" w:after="120"/>
      </w:pPr>
      <w:r>
        <w:rPr>
          <w:sz w:val="18"/>
        </w:rPr>
        <w:t>——————————————————————————————————————————————————————————————————————</w:t>
      </w:r>
    </w:p>
    <w:p>
      <w:pPr>
        <w:spacing w:before="160" w:after="40" w:line="240" w:lineRule="auto"/>
      </w:pPr>
      <w:r>
        <w:rPr>
          <w:b/>
        </w:rPr>
        <w:t xml:space="preserve">[316] </w:t>
      </w:r>
      <w:hyperlink r:id="rId837">
        <w:r>
          <w:rPr>
            <w:color w:val="1155CC"/>
            <w:u w:val="single"/>
          </w:rPr>
          <w:t>混沌边缘的扩散忆阻器</w:t>
        </w:r>
      </w:hyperlink>
    </w:p>
    <w:p>
      <w:pPr>
        <w:spacing w:before="0" w:after="80"/>
      </w:pPr>
      <w:r>
        <w:rPr>
          <w:i/>
          <w:sz w:val="20"/>
        </w:rPr>
        <w:t>EN: Diffusive memristors in the edge of chaos</w:t>
      </w:r>
    </w:p>
    <w:p>
      <w:pPr>
        <w:spacing w:before="0" w:after="120"/>
      </w:pPr>
      <w:r>
        <w:rPr>
          <w:b/>
        </w:rPr>
        <w:t xml:space="preserve">Source: </w:t>
      </w:r>
      <w:r>
        <w:t>Physical sciences : Nature Communications subject feeds</w:t>
      </w:r>
      <w:r>
        <w:t xml:space="preserve">    </w:t>
      </w:r>
      <w:r>
        <w:rPr>
          <w:b/>
        </w:rPr>
        <w:t xml:space="preserve">Pub date: </w:t>
      </w:r>
      <w:r>
        <w:t>2026-06-24 00:00:00+00:00</w:t>
      </w:r>
    </w:p>
    <w:p>
      <w:pPr>
        <w:spacing w:before="0" w:after="120"/>
      </w:pPr>
      <w:r>
        <w:rPr>
          <w:b/>
        </w:rPr>
        <w:t xml:space="preserve">Notes: </w:t>
      </w:r>
      <w:r>
        <w:t>abstract_source=nature_html</w:t>
      </w:r>
    </w:p>
    <w:p>
      <w:pPr>
        <w:spacing w:before="0" w:after="80" w:lineRule="auto" w:line="276"/>
      </w:pPr>
      <w:r>
        <w:rPr>
          <w:b/>
        </w:rPr>
        <w:t xml:space="preserve">摘要（ZH）: </w:t>
      </w:r>
      <w:r>
        <w:t>理论上，生物神经系统在混沌边缘（EOC）中运行，这是一种稳定且局部活跃的状态，可实现节能的信息处理。这种行为的电子实现主要依赖于电热相变，电热相变是功率密集型的并且与生物动力学不同。相比之下，扩散忆阻器利用类似于生物动力学的离子漂移和扩散，但其 EOC 操作的潜力尚未被开发。在这里，我们通过实验证明了扩散忆阻器中离子调节的 EOC 行为。在百纳安级，该器件表现出尖锐的负微分电阻 (NDR)，该电阻通过 Ridley 熵产生最小化转变、噪声放大和与 EOC 附近运行一致的自发振荡动力学而增强。正如紧凑模型所证实的那样，这些新兴行为是由耦合离子传输、灯丝演化和电路动力学产生的。该系统的功率效率比电热 EOC 设备高出三个数量级，引入了通过纳米离子学模拟类脑动力学的低功耗神经形态元件。</w:t>
      </w:r>
    </w:p>
    <w:p>
      <w:pPr>
        <w:spacing w:before="0" w:after="200" w:lineRule="auto" w:line="276"/>
      </w:pPr>
      <w:r>
        <w:rPr>
          <w:b/>
        </w:rPr>
        <w:t xml:space="preserve">Abstract (EN): </w:t>
      </w:r>
      <w:r>
        <w:t>Biological nervous systems are theorized to operate in the edge of chaos (EOC), a stable and locally active regime enabling energy-efficient information processing. Electronic implementations of such behavior have mainly relied on electrothermal phase transitions, which are power-intensive and unlike biological dynamics. Diffusive memristors, by contrast, harness ionic drift and diffusion resembling biological dynamics, yet their potential for EOC operation has remained unexplored. Here, we experimentally demonstrate ionically moderated EOC behavior in diffusive memristors. At the hundred-nanoampere level, the device exhibits sharp negative differential resistance (NDR) enhanced by a Ridley entropy production minimization transition, noise amplification and spontaneous oscillatory dynamics consistent with operation near the EOC. These emergent behaviors arise from coupled ionic transport, filament evolution and circuit dynamics, as confirmed by compact modeling. This system achieves power efficiency over three orders of magnitude greater than electrothermal EOC devices, introducing low-power neuromorphic elements that emulate brain-like dynamics through nanoionics.</w:t>
      </w:r>
    </w:p>
    <w:p>
      <w:pPr>
        <w:spacing w:before="120" w:after="120"/>
      </w:pPr>
      <w:r>
        <w:rPr>
          <w:sz w:val="18"/>
        </w:rPr>
        <w:t>——————————————————————————————————————————————————————————————————————</w:t>
      </w:r>
    </w:p>
    <w:p>
      <w:pPr>
        <w:spacing w:before="160" w:after="40" w:line="240" w:lineRule="auto"/>
      </w:pPr>
      <w:r>
        <w:rPr>
          <w:b/>
        </w:rPr>
        <w:t xml:space="preserve">[317] </w:t>
      </w:r>
      <w:hyperlink r:id="rId838">
        <w:r>
          <w:rPr>
            <w:color w:val="1155CC"/>
            <w:u w:val="single"/>
          </w:rPr>
          <w:t>典型镍 (II) 催化剂物种的金属转移动力学分析：速率、机制和催化意义</w:t>
        </w:r>
      </w:hyperlink>
    </w:p>
    <w:p>
      <w:pPr>
        <w:spacing w:before="0" w:after="80"/>
      </w:pPr>
      <w:r>
        <w:rPr>
          <w:i/>
          <w:sz w:val="20"/>
        </w:rPr>
        <w:t>EN: Kinetic Analysis of Transmetalation at Prototypical Nickel(II) Catalyst Species: Rates, Mechanisms, and Implications for Catalysis</w:t>
      </w:r>
    </w:p>
    <w:p>
      <w:pPr>
        <w:spacing w:before="0" w:after="120"/>
      </w:pPr>
      <w:r>
        <w:rPr>
          <w:b/>
        </w:rPr>
        <w:t xml:space="preserve">Source: </w:t>
      </w:r>
      <w:r>
        <w:t>Wiley: Angewandte Chemie International Edition: Table of Contents</w:t>
      </w:r>
      <w:r>
        <w:t xml:space="preserve">    </w:t>
      </w:r>
      <w:r>
        <w:rPr>
          <w:b/>
        </w:rPr>
        <w:t xml:space="preserve">Pub date: </w:t>
      </w:r>
      <w:r>
        <w:t>2026-06-24 04:55:38+00:00</w:t>
      </w:r>
      <w:r>
        <w:t xml:space="preserve">    </w:t>
      </w:r>
      <w:r>
        <w:rPr>
          <w:b/>
        </w:rPr>
        <w:t xml:space="preserve">DOI: </w:t>
      </w:r>
      <w:hyperlink r:id="rId839">
        <w:r>
          <w:rPr>
            <w:color w:val="1155CC"/>
            <w:u w:val="single"/>
          </w:rPr>
          <w:t>10.1002/anie.2885584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镍催化的交叉偶联反应在化学合成中越来越重要。然而，Ni 金属交换的速率数据</w:t>
      </w:r>
      <w:r>
        <w:t xml:space="preserve"> </w:t>
      </w:r>
      <w:r>
        <w:t>（二）</w:t>
      </w:r>
      <w:r>
        <w:t xml:space="preserve"> </w:t>
      </w:r>
      <w:r>
        <w:t>由于分析此步骤的困难，阻碍了先验反应设计，因此受到限制。为了解决这一限制，我们开发了一种用户友好的方法来分析 Ni 的金属交换</w:t>
      </w:r>
      <w:r>
        <w:t xml:space="preserve"> </w:t>
      </w:r>
      <w:r>
        <w:t>（二）</w:t>
      </w:r>
      <w:r>
        <w:t xml:space="preserve"> </w:t>
      </w:r>
      <w:r>
        <w:t>据报道，使用核磁共振波谱法。这种方法的基础是生成与 Ni 配位的不饱和耦合产物</w:t>
      </w:r>
      <w:r>
        <w:t xml:space="preserve"> </w:t>
      </w:r>
      <w:r>
        <w:t>(0)</w:t>
      </w:r>
      <w:r>
        <w:t xml:space="preserve"> </w:t>
      </w:r>
      <w:r>
        <w:t>，防止与剩余的 Ni 发生化合</w:t>
      </w:r>
      <w:r>
        <w:t xml:space="preserve"> </w:t>
      </w:r>
      <w:r>
        <w:t>（二）</w:t>
      </w:r>
      <w:r>
        <w:t xml:space="preserve"> </w:t>
      </w:r>
      <w:r>
        <w:t>以及有问题的Ni的产生</w:t>
      </w:r>
      <w:r>
        <w:t xml:space="preserve"> </w:t>
      </w:r>
      <w:r>
        <w:t>（一）</w:t>
      </w:r>
      <w:r>
        <w:t xml:space="preserve"> </w:t>
      </w:r>
      <w:r>
        <w:t>副产品。该方法用于获取 18 Ni 的金属交换速率数据</w:t>
      </w:r>
      <w:r>
        <w:t xml:space="preserve"> </w:t>
      </w:r>
      <w:r>
        <w:t>（二）</w:t>
      </w:r>
      <w:r>
        <w:t xml:space="preserve"> </w:t>
      </w:r>
      <w:r>
        <w:t>复合物。速率常数的显着变化（</w:t>
      </w:r>
      <w:r>
        <w:t xml:space="preserve"> </w:t>
      </w:r>
      <w:r>
        <w:t>k</w:t>
      </w:r>
      <w:r>
        <w:t xml:space="preserve"> </w:t>
      </w:r>
      <w:r>
        <w:t>观测值</w:t>
      </w:r>
      <w:r>
        <w:t xml:space="preserve"> </w:t>
      </w:r>
      <w:r>
        <w:t>）被观察到，跨度至少 5 个数量级。最重要的影响因素</w:t>
      </w:r>
      <w:r>
        <w:t xml:space="preserve"> </w:t>
      </w:r>
      <w:r>
        <w:t>k</w:t>
      </w:r>
      <w:r>
        <w:t xml:space="preserve"> </w:t>
      </w:r>
      <w:r>
        <w:t>观测值</w:t>
      </w:r>
      <w:r>
        <w:t xml:space="preserve"> </w:t>
      </w:r>
      <w:r>
        <w:t>是配体的选择，弱配位的单齿配体通常提供更大的速率常数。尽管使用 OTs 和 OTf 导致了速率的适度提高，但卤化物（Cl、Br、I）的选择影响相对较小。通过动力学和计算研究检查了两种代表性配合物的金属转移机制</w:t>
      </w:r>
    </w:p>
    <w:p>
      <w:pPr>
        <w:spacing w:before="0" w:after="200" w:lineRule="auto" w:line="276"/>
      </w:pPr>
      <w:r>
        <w:rPr>
          <w:b/>
        </w:rPr>
        <w:t xml:space="preserve">Abstract (EN): </w:t>
      </w:r>
      <w:r>
        <w:t>Nickel‐catalyzed cross‐coupling reactions are of increasing importance in chemical synthesis. However, rate data for transmetalation at Ni</w:t>
      </w:r>
      <w:r>
        <w:t xml:space="preserve"> </w:t>
      </w:r>
      <w:r>
        <w:t>(II)</w:t>
      </w:r>
      <w:r>
        <w:t xml:space="preserve"> </w:t>
      </w:r>
      <w:r>
        <w:t>is limited due to the difficulty of analyzing this step, hindering a priori reaction design. To address this limitation, a user‐friendly method for analyzing transmetalation at Ni</w:t>
      </w:r>
      <w:r>
        <w:t xml:space="preserve"> </w:t>
      </w:r>
      <w:r>
        <w:t>(II)</w:t>
      </w:r>
      <w:r>
        <w:t xml:space="preserve"> </w:t>
      </w:r>
      <w:r>
        <w:t>using NMR spectroscopy is reported. This approach is underpinned by the generation of an unsaturated coupling product that coordinates to Ni</w:t>
      </w:r>
      <w:r>
        <w:t xml:space="preserve"> </w:t>
      </w:r>
      <w:r>
        <w:t>(0)</w:t>
      </w:r>
      <w:r>
        <w:t xml:space="preserve"> </w:t>
      </w:r>
      <w:r>
        <w:t>, preventing comproportionation with remaining Ni</w:t>
      </w:r>
      <w:r>
        <w:t xml:space="preserve"> </w:t>
      </w:r>
      <w:r>
        <w:t>(II)</w:t>
      </w:r>
      <w:r>
        <w:t xml:space="preserve"> </w:t>
      </w:r>
      <w:r>
        <w:t>and the generation of problematic Ni</w:t>
      </w:r>
      <w:r>
        <w:t xml:space="preserve"> </w:t>
      </w:r>
      <w:r>
        <w:t>(I)</w:t>
      </w:r>
      <w:r>
        <w:t xml:space="preserve"> </w:t>
      </w:r>
      <w:r>
        <w:t>side products. This methodology was used to obtain rate data for transmetalation at 18 Ni</w:t>
      </w:r>
      <w:r>
        <w:t xml:space="preserve"> </w:t>
      </w:r>
      <w:r>
        <w:t>(II)</w:t>
      </w:r>
      <w:r>
        <w:t xml:space="preserve"> </w:t>
      </w:r>
      <w:r>
        <w:t>complexes. Significant variation in the rate constant (</w:t>
      </w:r>
      <w:r>
        <w:t xml:space="preserve"> </w:t>
      </w:r>
      <w:r>
        <w:t>k</w:t>
      </w:r>
      <w:r>
        <w:t xml:space="preserve"> </w:t>
      </w:r>
      <w:r>
        <w:t>obs</w:t>
      </w:r>
      <w:r>
        <w:t xml:space="preserve"> </w:t>
      </w:r>
      <w:r>
        <w:t>) was observed, spanning at least 5 orders of magnitude. The most important factor in influencing</w:t>
      </w:r>
      <w:r>
        <w:t xml:space="preserve"> </w:t>
      </w:r>
      <w:r>
        <w:t>k</w:t>
      </w:r>
      <w:r>
        <w:t xml:space="preserve"> </w:t>
      </w:r>
      <w:r>
        <w:t>obs</w:t>
      </w:r>
      <w:r>
        <w:t xml:space="preserve"> </w:t>
      </w:r>
      <w:r>
        <w:t>was ligand choice, with weakly coordinating, monodentate ligands generally affording larger rate constants. The choice of halide (Cl, Br, I) had comparatively little effect, though the use of OTs and OTf resulted in modest rate enhancements. The mechanism of transmetalation at two representative complexes was examined through kinetic and computational studies, revealing differences in the rate‐determining step. The foundational insight on transmetalation at Ni</w:t>
      </w:r>
      <w:r>
        <w:t xml:space="preserve"> </w:t>
      </w:r>
      <w:r>
        <w:t>(II)</w:t>
      </w:r>
      <w:r>
        <w:t xml:space="preserve"> </w:t>
      </w:r>
      <w:r>
        <w:t>provided through the kinetic studies allowed guiding principles for reaction design to be developed.</w:t>
      </w:r>
    </w:p>
    <w:p>
      <w:pPr>
        <w:spacing w:before="120" w:after="120"/>
      </w:pPr>
      <w:r>
        <w:rPr>
          <w:sz w:val="18"/>
        </w:rPr>
        <w:t>——————————————————————————————————————————————————————————————————————</w:t>
      </w:r>
    </w:p>
    <w:p>
      <w:pPr>
        <w:spacing w:before="160" w:after="40" w:line="240" w:lineRule="auto"/>
      </w:pPr>
      <w:r>
        <w:rPr>
          <w:b/>
        </w:rPr>
        <w:t xml:space="preserve">[318] </w:t>
      </w:r>
      <w:hyperlink r:id="rId840">
        <w:r>
          <w:rPr>
            <w:color w:val="1155CC"/>
            <w:u w:val="single"/>
          </w:rPr>
          <w:t>光触发、快速、荧光噻吩基环炔，用于在无洗涤条件下对 1,3-偶极子标记分子进行生物正交荧光标记</w:t>
        </w:r>
      </w:hyperlink>
    </w:p>
    <w:p>
      <w:pPr>
        <w:spacing w:before="0" w:after="80"/>
      </w:pPr>
      <w:r>
        <w:rPr>
          <w:i/>
          <w:sz w:val="20"/>
        </w:rPr>
        <w:t>EN: Photo‐Triggered, Fast, and Fluorogenic Thiophene‐Based Cycloalkynes for the Bioorthogonal Fluorescent Labeling of 1,3‐Dipole‐Tagged Molecules in No‐Wash Conditions</w:t>
      </w:r>
    </w:p>
    <w:p>
      <w:pPr>
        <w:spacing w:before="0" w:after="120"/>
      </w:pPr>
      <w:r>
        <w:rPr>
          <w:b/>
        </w:rPr>
        <w:t xml:space="preserve">Source: </w:t>
      </w:r>
      <w:r>
        <w:t>Wiley: Angewandte Chemie International Edition: Table of Contents</w:t>
      </w:r>
      <w:r>
        <w:t xml:space="preserve">    </w:t>
      </w:r>
      <w:r>
        <w:rPr>
          <w:b/>
        </w:rPr>
        <w:t xml:space="preserve">Pub date: </w:t>
      </w:r>
      <w:r>
        <w:t>2026-06-24 05:01:04+00:00</w:t>
      </w:r>
      <w:r>
        <w:t xml:space="preserve">    </w:t>
      </w:r>
      <w:r>
        <w:rPr>
          <w:b/>
        </w:rPr>
        <w:t xml:space="preserve">DOI: </w:t>
      </w:r>
      <w:hyperlink r:id="rId841">
        <w:r>
          <w:rPr>
            <w:color w:val="1155CC"/>
            <w:u w:val="single"/>
          </w:rPr>
          <w:t>10.1002/anie.1383575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正交反应彻底改变了我们在高度复杂的生物环境中进行化学的方式。特别是，应变促进的1,3-偶极环加成，使用环辛炔探针与叠氮报告基因（应变促进的炔叠氮环加成，SPAAC），已经允许在体外、活细胞以及动物中标记和可视化生物大分子。然而，SPAAC 的动力学缓慢（&lt; 1 M</w:t>
      </w:r>
      <w:r>
        <w:t xml:space="preserve"> </w:t>
      </w:r>
      <w:r>
        <w:t>−1</w:t>
      </w:r>
      <w:r>
        <w:t xml:space="preserve"> </w:t>
      </w:r>
      <w:r>
        <w:t>s</w:t>
      </w:r>
      <w:r>
        <w:t xml:space="preserve"> </w:t>
      </w:r>
      <w:r>
        <w:t>−1</w:t>
      </w:r>
      <w:r>
        <w:t xml:space="preserve"> </w:t>
      </w:r>
      <w:r>
        <w:t>），再加上消除过量使用的荧光探针的必要性，阻碍了其广泛应用，特别是对于低浓度目标的实时成像。在这里，我们描述了两种新型噻吩基环炔，它们不仅对各种 1,3-偶极子（高达 1528 M）表现出非常高的动力学</w:t>
      </w:r>
      <w:r>
        <w:t xml:space="preserve"> </w:t>
      </w:r>
      <w:r>
        <w:t>−1</w:t>
      </w:r>
      <w:r>
        <w:t xml:space="preserve"> </w:t>
      </w:r>
      <w:r>
        <w:t>s</w:t>
      </w:r>
      <w:r>
        <w:t xml:space="preserve"> </w:t>
      </w:r>
      <w:r>
        <w:t>−1</w:t>
      </w:r>
      <w:r>
        <w:t xml:space="preserve"> </w:t>
      </w:r>
      <w:r>
        <w:t>），但在与目标反应时也能有效开启（亮度增加高达 150 倍）。我们通过监测生理和免洗条件下糖蛋白的标记超时时间，使用少至 5 µM 的探针，并在不到 15 分钟内达到完全标记，展示了它们的快速和荧光能力。这些荧光环炔显着扩展了我们的化学生物学工具箱，我们预计它们将为复杂环境中生物分子的快速实时成像开辟新途径。</w:t>
      </w:r>
    </w:p>
    <w:p>
      <w:pPr>
        <w:spacing w:before="0" w:after="200" w:lineRule="auto" w:line="276"/>
      </w:pPr>
      <w:r>
        <w:rPr>
          <w:b/>
        </w:rPr>
        <w:t xml:space="preserve">Abstract (EN): </w:t>
      </w:r>
      <w:r>
        <w:t>Bioorthogonal reactions have revolutionized our way of performing chemistry in a highly complex biological environment. In particular, strain‐promoted 1,3‐dipolar cycloadditions, employing cyclooctyne probes in conjunction with azido‐reporters (strain‐promoted alkyne‐azide cycloaddition, SPAAC), have permitted the labeling and visualization of bio‐macromolecules in vitro, in living cells, as well as in animals. However, SPAAC's slow kinetics (&amp;lt; 1 M</w:t>
      </w:r>
      <w:r>
        <w:t xml:space="preserve"> </w:t>
      </w:r>
      <w:r>
        <w:t>−1</w:t>
      </w:r>
      <w:r>
        <w:t xml:space="preserve"> </w:t>
      </w:r>
      <w:r>
        <w:t>s</w:t>
      </w:r>
      <w:r>
        <w:t xml:space="preserve"> </w:t>
      </w:r>
      <w:r>
        <w:t>−1</w:t>
      </w:r>
      <w:r>
        <w:t xml:space="preserve"> </w:t>
      </w:r>
      <w:r>
        <w:t>), in combination with the necessity to eliminate the excess of the used fluorescent probes, have hampered its widespread application, especially for the real‐time imaging of low concentration targets. Here we describe two novel thiophene‐based cycloalkynes that not only exhibit very high kinetics toward a variety of 1,3‐dipoles (up to 1528 M</w:t>
      </w:r>
      <w:r>
        <w:t xml:space="preserve"> </w:t>
      </w:r>
      <w:r>
        <w:t>−1</w:t>
      </w:r>
      <w:r>
        <w:t xml:space="preserve"> </w:t>
      </w:r>
      <w:r>
        <w:t>s</w:t>
      </w:r>
      <w:r>
        <w:t xml:space="preserve"> </w:t>
      </w:r>
      <w:r>
        <w:t>−1</w:t>
      </w:r>
      <w:r>
        <w:t xml:space="preserve"> </w:t>
      </w:r>
      <w:r>
        <w:t>), but are also efficiently turned‐on (up to 150‐fold increase in brightness) upon reaction with their target. We demonstrated their fast and fluorogenic capabilities by monitoring the labeling overtime of a glycoprotein in physiological and no‐wash conditions, using as little as 5 µM of the probes and reaching full labeling in less than 15 min. These fluorogenic cycloalkynes significantly expand our chemical biology toolbox, and we anticipate them to open new avenues for the fast and real‐time imaging of biomolecules in complex environments.</w:t>
      </w:r>
    </w:p>
    <w:p>
      <w:pPr>
        <w:spacing w:before="120" w:after="120"/>
      </w:pPr>
      <w:r>
        <w:rPr>
          <w:sz w:val="18"/>
        </w:rPr>
        <w:t>——————————————————————————————————————————————————————————————————————</w:t>
      </w:r>
    </w:p>
    <w:p>
      <w:pPr>
        <w:spacing w:before="160" w:after="40" w:line="240" w:lineRule="auto"/>
      </w:pPr>
      <w:r>
        <w:rPr>
          <w:b/>
        </w:rPr>
        <w:t xml:space="preserve">[319] </w:t>
      </w:r>
      <w:hyperlink r:id="rId842">
        <w:r>
          <w:rPr>
            <w:color w:val="1155CC"/>
            <w:u w:val="single"/>
          </w:rPr>
          <w:t>对“使用可点击探针进行基于成像的高内涵筛选识别 XPB 抑制剂”的更正</w:t>
        </w:r>
      </w:hyperlink>
    </w:p>
    <w:p>
      <w:pPr>
        <w:spacing w:before="0" w:after="80"/>
      </w:pPr>
      <w:r>
        <w:rPr>
          <w:i/>
          <w:sz w:val="20"/>
        </w:rPr>
        <w:t>EN: Correction to “Imaging‐Based High‐Content Screening With Clickable Probes Identifies XPB Inhibitors”</w:t>
      </w:r>
    </w:p>
    <w:p>
      <w:pPr>
        <w:spacing w:before="0" w:after="120"/>
      </w:pPr>
      <w:r>
        <w:rPr>
          <w:b/>
        </w:rPr>
        <w:t xml:space="preserve">Source: </w:t>
      </w:r>
      <w:r>
        <w:t>Wiley: Angewandte Chemie International Edition: Table of Contents</w:t>
      </w:r>
      <w:r>
        <w:t xml:space="preserve">    </w:t>
      </w:r>
      <w:r>
        <w:rPr>
          <w:b/>
        </w:rPr>
        <w:t xml:space="preserve">Pub date: </w:t>
      </w:r>
      <w:r>
        <w:t>2026-06-24 05:04:51+00:00</w:t>
      </w:r>
      <w:r>
        <w:t xml:space="preserve">    </w:t>
      </w:r>
      <w:r>
        <w:rPr>
          <w:b/>
        </w:rPr>
        <w:t xml:space="preserve">DOI: </w:t>
      </w:r>
      <w:hyperlink r:id="rId843">
        <w:r>
          <w:rPr>
            <w:color w:val="1155CC"/>
            <w:u w:val="single"/>
          </w:rPr>
          <w:t>10.1002/anie.4417946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[320] </w:t>
      </w:r>
      <w:hyperlink r:id="rId844">
        <w:r>
          <w:rPr>
            <w:color w:val="1155CC"/>
            <w:u w:val="single"/>
          </w:rPr>
          <w:t>约翰·P·斯莫尔简介</w:t>
        </w:r>
      </w:hyperlink>
    </w:p>
    <w:p>
      <w:pPr>
        <w:spacing w:before="0" w:after="80"/>
      </w:pPr>
      <w:r>
        <w:rPr>
          <w:i/>
          <w:sz w:val="20"/>
        </w:rPr>
        <w:t>EN: Profile of John P. Smol</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845">
        <w:r>
          <w:rPr>
            <w:color w:val="1155CC"/>
            <w:u w:val="single"/>
          </w:rPr>
          <w:t>10.1073/pnas.2615527123</w:t>
        </w:r>
      </w:hyperlink>
    </w:p>
    <w:p>
      <w:pPr>
        <w:spacing w:before="0" w:after="120"/>
      </w:pPr>
      <w:r>
        <w:rPr>
          <w:b/>
        </w:rPr>
        <w:t xml:space="preserve">Notes: </w:t>
      </w:r>
      <w:r>
        <w:t>abstract_source=crossref</w:t>
      </w:r>
    </w:p>
    <w:p>
      <w:pPr>
        <w:spacing w:before="0" w:after="80" w:lineRule="auto" w:line="276"/>
      </w:pPr>
      <w:r>
        <w:rPr>
          <w:b/>
        </w:rPr>
        <w:t xml:space="preserve">摘要（ZH）: </w:t>
      </w:r>
      <w:r>
        <w:t>约翰·P·斯莫尔 (John P. Smol) 花了四十多年的时间来证明湖泊沉积物岩心如何揭示数十年到数百年的环境变化。他的开创性工作首先记录了 20 世纪 80 年代酸雨对北美湖泊的影响，后来又跟踪北极气候变暖，将古湖沼学确立为一门可靠的科学学科。通过对高北极池塘和湖泊的持续监测，Smol 展示了冰盖持续时间如何影响水生生态系统。他最近的研究表明，由于气候变暖加速，即使是北极最深的湖泊现在也正在跨越生态阈值，这对土著渔业和北部社区产生了影响。</w:t>
      </w:r>
    </w:p>
    <w:p>
      <w:pPr>
        <w:spacing w:before="0" w:after="200" w:lineRule="auto" w:line="276"/>
      </w:pPr>
      <w:r>
        <w:rPr>
          <w:b/>
        </w:rPr>
        <w:t xml:space="preserve">Abstract (EN): </w:t>
      </w:r>
      <w:r>
        <w:t>John P. Smol has spent more than four decades demonstrating how lake sediment cores can reveal environmental changes spanning decades to centuries. His pioneering work established paleolimnology as a credible scientific discipline, first, by documenting the impact of acid rain on North American lakes in the 1980s and, later, by tracking Arctic climate warming. Through continuous monitoring of High Arctic ponds and lakes, Smol has shown how ice cover duration influences aquatic ecosystems. His recent research reveals that even the deepest Arctic lakes are now crossing ecological thresholds due to accelerated warming, with implications for Indigenous fisheries and northern communities.</w:t>
      </w:r>
    </w:p>
    <w:p>
      <w:pPr>
        <w:spacing w:before="120" w:after="120"/>
      </w:pPr>
      <w:r>
        <w:rPr>
          <w:sz w:val="18"/>
        </w:rPr>
        <w:t>——————————————————————————————————————————————————————————————————————</w:t>
      </w:r>
    </w:p>
    <w:p>
      <w:pPr>
        <w:spacing w:before="160" w:after="40" w:line="240" w:lineRule="auto"/>
      </w:pPr>
      <w:r>
        <w:rPr>
          <w:b/>
        </w:rPr>
        <w:t xml:space="preserve">[321] </w:t>
      </w:r>
      <w:hyperlink r:id="rId846">
        <w:r>
          <w:rPr>
            <w:color w:val="1155CC"/>
            <w:u w:val="single"/>
          </w:rPr>
          <w:t>安东尼奥·加西亚-贝利多：果蝇简史、谱系和新的发育遗传逻辑</w:t>
        </w:r>
      </w:hyperlink>
    </w:p>
    <w:p>
      <w:pPr>
        <w:spacing w:before="0" w:after="80"/>
      </w:pPr>
      <w:r>
        <w:rPr>
          <w:i/>
          <w:sz w:val="20"/>
        </w:rPr>
        <w:t>EN: Antonio García-Bellido: A brief history of flies, lineages, and a new developmental genetic logic</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847">
        <w:r>
          <w:rPr>
            <w:color w:val="1155CC"/>
            <w:u w:val="single"/>
          </w:rPr>
          <w:t>10.1073/pnas.2614026123</w:t>
        </w:r>
      </w:hyperlink>
    </w:p>
    <w:p>
      <w:pPr>
        <w:spacing w:before="0" w:after="120"/>
      </w:pPr>
      <w:r>
        <w:rPr>
          <w:b/>
        </w:rPr>
        <w:t xml:space="preserve">Notes: </w:t>
      </w:r>
      <w:r>
        <w:t>abstract_source=crossref</w:t>
      </w:r>
    </w:p>
    <w:p>
      <w:pPr>
        <w:spacing w:before="0" w:after="80" w:lineRule="auto" w:line="276"/>
      </w:pPr>
      <w:r>
        <w:rPr>
          <w:b/>
        </w:rPr>
        <w:t xml:space="preserve">摘要（ZH）: </w:t>
      </w:r>
      <w:r>
        <w:t>安东尼奥·加西亚-贝利多（Antonio García-Bellido）是西班牙发育生物学的先驱，他具有罕见的能力，能够超越树木，不仅掌握森林，而且掌握整个景观。无论是在智力上还是在个人方面，他都孜孜不倦、毫不妥协，并且全身心致力于科学。他以身作则，坚定地要求学员尊重数据高于一切。安东尼奥发现翅膀中存在“发育区”</w:t>
      </w:r>
      <w:r>
        <w:t xml:space="preserve"> </w:t>
      </w:r>
      <w:r>
        <w:t>果蝇</w:t>
      </w:r>
      <w:r>
        <w:t xml:space="preserve"> </w:t>
      </w:r>
      <w:r>
        <w:t>并提出这些区域对应于同源异型基因的作用领域。他是假设的坚定捍卫者，他认为这些假设最能解释现有的数据，但当这些想法不再有助于理解当前的现象时，他不会盲目地坚持这些想法。他以其独特的风格创立了一所成功的学校</w:t>
      </w:r>
      <w:r>
        <w:t xml:space="preserve"> </w:t>
      </w:r>
      <w:r>
        <w:t>果蝇</w:t>
      </w:r>
      <w:r>
        <w:t xml:space="preserve"> </w:t>
      </w:r>
      <w:r>
        <w:t>发育遗传学家将非常怀念他对科学无与伦比的热情。</w:t>
      </w:r>
    </w:p>
    <w:p>
      <w:pPr>
        <w:spacing w:before="0" w:after="200" w:lineRule="auto" w:line="276"/>
      </w:pPr>
      <w:r>
        <w:rPr>
          <w:b/>
        </w:rPr>
        <w:t xml:space="preserve">Abstract (EN): </w:t>
      </w:r>
      <w:r>
        <w:t>Antonio García-Bellido was a pioneer of developmental biology in Spain who had the rare ability to see beyond the trees and grasp not just the forest, but entire landscapes. Intellectually and personally, he was indefatigable, uncompromising, and wholly committed to science. He led his trainees by example in his unflagging demands on honoring the data above all else. Antonio discovered the existence of “developmental compartments” in the wing of</w:t>
      </w:r>
      <w:r>
        <w:t xml:space="preserve"> </w:t>
      </w:r>
      <w:r>
        <w:t>Drosophila</w:t>
      </w:r>
      <w:r>
        <w:t xml:space="preserve"> </w:t>
      </w:r>
      <w:r>
        <w:t>and proposed that these territories corresponded to the realm of action of homeotic genes. He was a fierce defender of hypotheses that he thought best explained available data but did not cling blindly to ideas when they no longer served to understand the phenomena at hand. With his distinctive style he founded a successful school of</w:t>
      </w:r>
      <w:r>
        <w:t xml:space="preserve"> </w:t>
      </w:r>
      <w:r>
        <w:t>Drosophila</w:t>
      </w:r>
      <w:r>
        <w:t xml:space="preserve"> </w:t>
      </w:r>
      <w:r>
        <w:t>developmental geneticists that will sorely miss his unparalleled passion for science.</w:t>
      </w:r>
    </w:p>
    <w:p>
      <w:pPr>
        <w:spacing w:before="120" w:after="120"/>
      </w:pPr>
      <w:r>
        <w:rPr>
          <w:sz w:val="18"/>
        </w:rPr>
        <w:t>——————————————————————————————————————————————————————————————————————</w:t>
      </w:r>
    </w:p>
    <w:p>
      <w:pPr>
        <w:spacing w:before="160" w:after="40" w:line="240" w:lineRule="auto"/>
      </w:pPr>
      <w:r>
        <w:rPr>
          <w:b/>
        </w:rPr>
        <w:t xml:space="preserve">[322] </w:t>
      </w:r>
      <w:hyperlink r:id="rId848">
        <w:r>
          <w:rPr>
            <w:color w:val="1155CC"/>
            <w:u w:val="single"/>
          </w:rPr>
          <w:t>IRE1 通过核糖体相关质量控制调节 ALS/FTD 中 TDP-43/TARDBP 的蛋白质稳态</w:t>
        </w:r>
      </w:hyperlink>
    </w:p>
    <w:p>
      <w:pPr>
        <w:spacing w:before="0" w:after="80"/>
      </w:pPr>
      <w:r>
        <w:rPr>
          <w:i/>
          <w:sz w:val="20"/>
        </w:rPr>
        <w:t>EN: IRE1 regulates the proteostasis of TDP-43/TARDBP in ALS/FTD through ribosome-associated quality control</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849">
        <w:r>
          <w:rPr>
            <w:color w:val="1155CC"/>
            <w:u w:val="single"/>
          </w:rPr>
          <w:t>10.1073/pnas.2610001123</w:t>
        </w:r>
      </w:hyperlink>
    </w:p>
    <w:p>
      <w:pPr>
        <w:spacing w:before="0" w:after="120"/>
      </w:pPr>
      <w:r>
        <w:rPr>
          <w:b/>
        </w:rPr>
        <w:t xml:space="preserve">Notes: </w:t>
      </w:r>
      <w:r>
        <w:t>abstract_source=crossref</w:t>
      </w:r>
    </w:p>
    <w:p>
      <w:pPr>
        <w:spacing w:before="0" w:after="80" w:lineRule="auto" w:line="276"/>
      </w:pPr>
      <w:r>
        <w:rPr>
          <w:b/>
        </w:rPr>
        <w:t xml:space="preserve">摘要（ZH）: </w:t>
      </w:r>
      <w:r>
        <w:t>肌萎缩侧索硬化症 (ALS) 和额颞叶痴呆 (FTD) 是进行性神经退行性疾病，其特征是运动神经元变性，导致肌肉无力、萎缩和认知障碍。 ALS/FTD 的一个明确的病理标志是 TAR DNA 结合蛋白 43 (TDP-43) 的胞质错误定位和积累，突出了其在 ALS 发病机制中的关键作用。然而，TDP-43 蛋白质稳态的分子机制仍知之甚少。通过基因筛选方法，我们发现肌醇需求酶 1 (IRE1)（一种内质网驻留跨膜蛋白）是 TDP-43 蛋白水平的有效抑制剂。此外，我们发现核糖体相关质量控制（RQC）因子在调节 TDP-43 蛋白质稳态和细胞毒性中发挥着至关重要的作用。 RQC 途径的激活可防止 TDP-43 的过度积累和相关毒性。从机制上讲，我们的研究结果表明，IRE1 通过 RQC 途径促进异常 TDP-43 翻译产物的降解来调节 TDP-43 蛋白水平。 IRE1 的规范作用是增强 RQC 核心成分 Clbn/NEMF 的转录，并且非规范地与 Clbn/NEMF 发生物理相互作用，从而改善 TDP-43 诱导的蛋白质毒性。此外，IRE1 的异位表达或药理学激活可减轻 TDP-43 A315T ALS 小鼠模型中的 TDP-43 病理并恢复认知功能。总的来说，我们的研究确定了 IRE1 在 TDP-43 翻译质量控制中的作用，并确定了其潜力</w:t>
      </w:r>
    </w:p>
    <w:p>
      <w:pPr>
        <w:spacing w:before="0" w:after="200" w:lineRule="auto" w:line="276"/>
      </w:pPr>
      <w:r>
        <w:rPr>
          <w:b/>
        </w:rPr>
        <w:t xml:space="preserve">Abstract (EN): </w:t>
      </w:r>
      <w:r>
        <w:t>Amyotrophic lateral sclerosis (ALS) and frontotemporal dementia (FTD) are progressive neurodegenerative disorders characterized by motor neuron degeneration, leading to muscle weakness, atrophy, and cognitive impairments. A defining pathological hallmark of ALS/FTD is the cytosolic mislocalization and accumulation of TAR DNA-binding protein 43 (TDP-43), highlighting its critical role in ALS pathogenesis. However, the molecular mechanisms underlying TDP-43 proteostasis remain poorly understood. Through a genetic screening approach, we identify inositol-requiring enzyme 1 (IRE1), an endoplasmic reticulum-resident transmembrane protein, as a potent suppressor of TDP-43 protein levels. Furthermore, we show that ribosome-associated quality control (RQC) factors play a crucial role in regulating TDP-43 proteostasis and cellular toxicity. Activation of the RQC pathway prevents excessive accumulation of TDP-43 and associated toxicity. Mechanistically, our findings suggest that IRE1 regulates TDP-43 protein level by promoting the degradation of aberrant TDP-43 translation product through the RQC pathway. IRE1 acts canonically to enhance the transcription of the RQC core component Clbn/NEMF and noncanonically to physically interact with Clbn/NEMF, thereby ameliorating TDP-43-induced proteotoxicity. Moreover, ectopic expression or pharmacological activation of IRE1 alleviates TDP-43 pathology and restores cognitive function in the TDP-43 A315T ALS mouse models. Collectively, our study identifies a role for IRE1 in the translational quality control of TDP-43 and establishes its potential as a therapeutic target for ALS/FTD.</w:t>
      </w:r>
    </w:p>
    <w:p>
      <w:pPr>
        <w:spacing w:before="120" w:after="120"/>
      </w:pPr>
      <w:r>
        <w:rPr>
          <w:sz w:val="18"/>
        </w:rPr>
        <w:t>——————————————————————————————————————————————————————————————————————</w:t>
      </w:r>
    </w:p>
    <w:p>
      <w:pPr>
        <w:spacing w:before="160" w:after="40" w:line="240" w:lineRule="auto"/>
      </w:pPr>
      <w:r>
        <w:rPr>
          <w:b/>
        </w:rPr>
        <w:t xml:space="preserve">[323] </w:t>
      </w:r>
      <w:hyperlink r:id="rId850">
        <w:r>
          <w:rPr>
            <w:color w:val="1155CC"/>
            <w:u w:val="single"/>
          </w:rPr>
          <w:t>资源减少影响物候和形态对气候变化的反应</w:t>
        </w:r>
      </w:hyperlink>
    </w:p>
    <w:p>
      <w:pPr>
        <w:spacing w:before="0" w:after="80"/>
      </w:pPr>
      <w:r>
        <w:rPr>
          <w:i/>
          <w:sz w:val="20"/>
        </w:rPr>
        <w:t>EN: Resource declines shape phenological and morphological responses to climate change</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851">
        <w:r>
          <w:rPr>
            <w:color w:val="1155CC"/>
            <w:u w:val="single"/>
          </w:rPr>
          <w:t>10.1073/pnas.2607714123</w:t>
        </w:r>
      </w:hyperlink>
    </w:p>
    <w:p>
      <w:pPr>
        <w:spacing w:before="0" w:after="120"/>
      </w:pPr>
      <w:r>
        <w:rPr>
          <w:b/>
        </w:rPr>
        <w:t xml:space="preserve">Notes: </w:t>
      </w:r>
      <w:r>
        <w:t>abstract_source=crossref</w:t>
      </w:r>
    </w:p>
    <w:p>
      <w:pPr>
        <w:spacing w:before="0" w:after="80" w:lineRule="auto" w:line="276"/>
      </w:pPr>
      <w:r>
        <w:rPr>
          <w:b/>
        </w:rPr>
        <w:t xml:space="preserve">摘要（ZH）: </w:t>
      </w:r>
      <w:r>
        <w:t>生物多样性正在下降，预计各营养层动物区系丧失将产生连锁效应。广泛的人口下降可能会推动生物体对全球变化的反应，并决定其健康效应。我们发现半个世纪以来昆虫生物量减少了 62%，这改变了空中食虫动物——树燕的形态、生存和繁殖物候。</w:t>
      </w:r>
      <w:r>
        <w:t xml:space="preserve"> </w:t>
      </w:r>
      <w:r>
        <w:t>二色速足虫</w:t>
      </w:r>
      <w:r>
        <w:t xml:space="preserve"> </w:t>
      </w:r>
      <w:r>
        <w:t>）。昆虫较少的年份导致树燕体重下降，适应性景观转向有利于较小的个体。早些时候，昆虫丰度的时间变化较大且不太明显的峰值削弱了跨营养级物候同步的好处。这种现象（我们称之为营养衰退）导致了昆虫少年的有利物候不匹配。我们的结果表明，必须在资源普遍减少的背景下评估对气候变化的经典应对措施。</w:t>
      </w:r>
    </w:p>
    <w:p>
      <w:pPr>
        <w:spacing w:before="0" w:after="200" w:lineRule="auto" w:line="276"/>
      </w:pPr>
      <w:r>
        <w:rPr>
          <w:b/>
        </w:rPr>
        <w:t xml:space="preserve">Abstract (EN): </w:t>
      </w:r>
      <w:r>
        <w:t>Biodiversity is declining, with cascading effects of defaunation expected across trophic levels. Widespread population declines may drive general biotic responses to global change and determine their fitness effects. We find that a 62% decrease in insect biomass over a half-century altered the morphology, survival, and breeding phenology of an aerial insectivore, the tree swallow (</w:t>
      </w:r>
      <w:r>
        <w:t xml:space="preserve"> </w:t>
      </w:r>
      <w:r>
        <w:t>Tachycineta bicolor</w:t>
      </w:r>
      <w:r>
        <w:t xml:space="preserve"> </w:t>
      </w:r>
      <w:r>
        <w:t>). Low-insect years resulted in decreased tree swallow body mass, with the fitness landscape shifting to favor smaller individuals. Earlier, more temporally variable, and less-pronounced peaks in insect abundance eroded the benefits of phenological synchronization across trophic levels. This phenomenon—which we term trophic decay—led to advantageous phenological mismatch in low-insect years. Our results suggest classic responses to climate change must be evaluated within the context of widespread resource declines.</w:t>
      </w:r>
    </w:p>
    <w:p>
      <w:pPr>
        <w:spacing w:before="120" w:after="120"/>
      </w:pPr>
      <w:r>
        <w:rPr>
          <w:sz w:val="18"/>
        </w:rPr>
        <w:t>——————————————————————————————————————————————————————————————————————</w:t>
      </w:r>
    </w:p>
    <w:p>
      <w:pPr>
        <w:spacing w:before="160" w:after="40" w:line="240" w:lineRule="auto"/>
      </w:pPr>
      <w:r>
        <w:rPr>
          <w:b/>
        </w:rPr>
        <w:t xml:space="preserve">[324] </w:t>
      </w:r>
      <w:hyperlink r:id="rId852">
        <w:r>
          <w:rPr>
            <w:color w:val="1155CC"/>
            <w:u w:val="single"/>
          </w:rPr>
          <w:t>FUBL-3/FUBP1 介导线粒体应激诱导的染色质重塑和长寿</w:t>
        </w:r>
      </w:hyperlink>
    </w:p>
    <w:p>
      <w:pPr>
        <w:spacing w:before="0" w:after="80"/>
      </w:pPr>
      <w:r>
        <w:rPr>
          <w:i/>
          <w:sz w:val="20"/>
        </w:rPr>
        <w:t>EN: FUBL-3/FUBP1 mediates mitochondrial stress–induced chromatin remodeling and longevity</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53">
        <w:r>
          <w:rPr>
            <w:color w:val="1155CC"/>
            <w:u w:val="single"/>
          </w:rPr>
          <w:t>10.1126/sciadv.aec8143</w:t>
        </w:r>
      </w:hyperlink>
    </w:p>
    <w:p>
      <w:pPr>
        <w:spacing w:before="0" w:after="120"/>
      </w:pPr>
      <w:r>
        <w:rPr>
          <w:b/>
        </w:rPr>
        <w:t xml:space="preserve">Notes: </w:t>
      </w:r>
      <w:r>
        <w:t>abstract_source=crossref</w:t>
      </w:r>
    </w:p>
    <w:p>
      <w:pPr>
        <w:spacing w:before="0" w:after="80" w:lineRule="auto" w:line="276"/>
      </w:pPr>
      <w:r>
        <w:rPr>
          <w:b/>
        </w:rPr>
        <w:t xml:space="preserve">摘要（ZH）: </w:t>
      </w:r>
      <w:r>
        <w:t>线粒体应激激活核转录程序以恢复体内平衡并延长寿命；然而，在应激过程中直接重塑染色质的核效应子仍不清楚。通过正向遗传筛选</w:t>
      </w:r>
      <w:r>
        <w:t xml:space="preserve"> </w:t>
      </w:r>
      <w:r>
        <w:t>秀丽隐杆线虫</w:t>
      </w:r>
      <w:r>
        <w:t xml:space="preserve"> </w:t>
      </w:r>
      <w:r>
        <w:t>，我们确定了 FUBL-3（人类远上游元件结合蛋白 1 (FUBP1) 的同源物）作为一种保守的调节因子，将线粒体应激与染色质重塑耦合起来。 FUBL-3 在应激时易位至肠核，驱动核小体重塑和脱乙酰酶依赖性染色质浓缩，并激活线粒体未折叠蛋白反应 (UPR)</w:t>
      </w:r>
      <w:r>
        <w:t xml:space="preserve"> </w:t>
      </w:r>
      <w:r>
        <w:t>山</w:t>
      </w:r>
      <w:r>
        <w:t xml:space="preserve"> </w:t>
      </w:r>
      <w:r>
        <w:t>）。损失</w:t>
      </w:r>
      <w:r>
        <w:t xml:space="preserve"> </w:t>
      </w:r>
      <w:r>
        <w:t>富布尔-3</w:t>
      </w:r>
      <w:r>
        <w:t xml:space="preserve"> </w:t>
      </w:r>
      <w:r>
        <w:t>破坏染色质压缩并消除压力诱导的寿命延长，而其过度表达足以重组染色质，触发 UPR</w:t>
      </w:r>
      <w:r>
        <w:t xml:space="preserve"> </w:t>
      </w:r>
      <w:r>
        <w:t>山</w:t>
      </w:r>
      <w:r>
        <w:t xml:space="preserve"> </w:t>
      </w:r>
      <w:r>
        <w:t>，并延长使用寿命。值得注意的是，人类 FUBP1 可以拯救</w:t>
      </w:r>
      <w:r>
        <w:t xml:space="preserve"> </w:t>
      </w:r>
      <w:r>
        <w:t>富布尔-3</w:t>
      </w:r>
      <w:r>
        <w:t xml:space="preserve"> </w:t>
      </w:r>
      <w:r>
        <w:t>蠕虫中的突变体并介导线粒体应激下哺乳动物细胞中的染色质重塑。 FUBP1 结合蛋白质稳态和线粒体质量控制基因的启动子，支持其在核适应中的作用。我们的研究确定 FUBL-3/FUBP1 是一种保守的线粒体到核通讯器，可以重新编程染色质结构，以促进压力恢复和健康衰老。</w:t>
      </w:r>
    </w:p>
    <w:p>
      <w:pPr>
        <w:spacing w:before="0" w:after="200" w:lineRule="auto" w:line="276"/>
      </w:pPr>
      <w:r>
        <w:rPr>
          <w:b/>
        </w:rPr>
        <w:t xml:space="preserve">Abstract (EN): </w:t>
      </w:r>
      <w:r>
        <w:t>Mitochondrial stress activates nuclear transcriptional programs to restore homeostasis and promote longevity; yet, the nuclear effector that directly reshapes chromatin during stress remains unclear. Through a forward genetic screen in</w:t>
      </w:r>
      <w:r>
        <w:t xml:space="preserve"> </w:t>
      </w:r>
      <w:r>
        <w:t>Caenorhabditis elegans</w:t>
      </w:r>
      <w:r>
        <w:t xml:space="preserve"> </w:t>
      </w:r>
      <w:r>
        <w:t>, we identify FUBL-3, the homolog of human far-upstream elements binding protein 1 (FUBP1), as a conserved regulator that couples mitochondrial stress to chromatin remodeling. FUBL-3 translocates to intestinal nuclei upon stress, where it drives nucleosome remodeling and deacetylase–dependent chromatin condensation and activates mitochondrial unfolded protein response (UPR</w:t>
      </w:r>
      <w:r>
        <w:t xml:space="preserve"> </w:t>
      </w:r>
      <w:r>
        <w:t>mt</w:t>
      </w:r>
      <w:r>
        <w:t xml:space="preserve"> </w:t>
      </w:r>
      <w:r>
        <w:t>). Loss of</w:t>
      </w:r>
      <w:r>
        <w:t xml:space="preserve"> </w:t>
      </w:r>
      <w:r>
        <w:t>fubl-3</w:t>
      </w:r>
      <w:r>
        <w:t xml:space="preserve"> </w:t>
      </w:r>
      <w:r>
        <w:t>disrupts chromatin compaction and abolishes stress-induced lifespan extension, while its overexpression is sufficient to restructure chromatin, trigger UPR</w:t>
      </w:r>
      <w:r>
        <w:t xml:space="preserve"> </w:t>
      </w:r>
      <w:r>
        <w:t>mt</w:t>
      </w:r>
      <w:r>
        <w:t xml:space="preserve"> </w:t>
      </w:r>
      <w:r>
        <w:t>, and extend lifespan. Notably, human FUBP1 rescues</w:t>
      </w:r>
      <w:r>
        <w:t xml:space="preserve"> </w:t>
      </w:r>
      <w:r>
        <w:t>fubl-3</w:t>
      </w:r>
      <w:r>
        <w:t xml:space="preserve"> </w:t>
      </w:r>
      <w:r>
        <w:t>mutants in worms and mediates chromatin remodeling in mammalian cells under mitochondrial stress. FUBP1 binds promoters of proteostasis and mitochondrial quality control genes, supporting its role in nuclear adaptation. Our study identifies FUBL-3/FUBP1 as a conserved mitochondrial-to-nuclear communicator that reprograms chromatin architecture to promote stress resilience and healthy aging.</w:t>
      </w:r>
    </w:p>
    <w:p>
      <w:pPr>
        <w:spacing w:before="120" w:after="120"/>
      </w:pPr>
      <w:r>
        <w:rPr>
          <w:sz w:val="18"/>
        </w:rPr>
        <w:t>——————————————————————————————————————————————————————————————————————</w:t>
      </w:r>
    </w:p>
    <w:p>
      <w:pPr>
        <w:spacing w:before="160" w:after="40" w:line="240" w:lineRule="auto"/>
      </w:pPr>
      <w:r>
        <w:rPr>
          <w:b/>
        </w:rPr>
        <w:t xml:space="preserve">[325] </w:t>
      </w:r>
      <w:hyperlink r:id="rId854">
        <w:r>
          <w:rPr>
            <w:color w:val="1155CC"/>
            <w:u w:val="single"/>
          </w:rPr>
          <w:t>用于稳健数据存储的长链 XNA-cssDNA 混合体</w:t>
        </w:r>
      </w:hyperlink>
    </w:p>
    <w:p>
      <w:pPr>
        <w:spacing w:before="0" w:after="80"/>
      </w:pPr>
      <w:r>
        <w:rPr>
          <w:i/>
          <w:sz w:val="20"/>
        </w:rPr>
        <w:t>EN: Long-stranded XNA-cssDNA hybrids for robust data storage</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55">
        <w:r>
          <w:rPr>
            <w:color w:val="1155CC"/>
            <w:u w:val="single"/>
          </w:rPr>
          <w:t>10.1126/sciadv.aed2917</w:t>
        </w:r>
      </w:hyperlink>
    </w:p>
    <w:p>
      <w:pPr>
        <w:spacing w:before="0" w:after="120"/>
      </w:pPr>
      <w:r>
        <w:rPr>
          <w:b/>
        </w:rPr>
        <w:t xml:space="preserve">Notes: </w:t>
      </w:r>
      <w:r>
        <w:t>abstract_source=crossref</w:t>
      </w:r>
    </w:p>
    <w:p>
      <w:pPr>
        <w:spacing w:before="0" w:after="80" w:lineRule="auto" w:line="276"/>
      </w:pPr>
      <w:r>
        <w:rPr>
          <w:b/>
        </w:rPr>
        <w:t xml:space="preserve">摘要（ZH）: </w:t>
      </w:r>
      <w:r>
        <w:t>DNA 因其高密度和低能源成本而成为一种很有前途的数据存储介质。具有最小索引的长链 DNA 提高了存储密度，但稳定性较差。为了解决这个问题，我们引入了长链异种核酸-环状单链 DNA (XNA-cssDNA) 混合策略来增强存储稳定性。我们在极端条件下评估了多种 XNA，并确定 2'-氟阿拉伯核酸 (FANA) 是最佳存储材料。为了克服 XNA 合成长度和速度限制，我们使用温度引导语言模型来进化 FANA 聚合酶 Tgo</w:t>
      </w:r>
      <w:r>
        <w:t xml:space="preserve"> </w:t>
      </w:r>
      <w:r>
        <w:t>穆特</w:t>
      </w:r>
      <w:r>
        <w:t xml:space="preserve"> </w:t>
      </w:r>
      <w:r>
        <w:t>，比 Tgo 快约 4.4 倍</w:t>
      </w:r>
      <w:r>
        <w:t xml:space="preserve"> </w:t>
      </w:r>
      <w:r>
        <w:t>D4K</w:t>
      </w:r>
      <w:r>
        <w:t xml:space="preserve"> </w:t>
      </w:r>
      <w:r>
        <w:t>并能够合成超过 7500 个核苷酸的链。使用 M13 噬菌体产生数据编码的 cssDNA。由此产生的 FANA-cssDNA 杂交体表现出对化学和酶降解的强大抵抗力。使用双策略框架，我们实现了可靠的数据写入和读取，即使在 DNA 降解后也能实现 100% 的数据恢复，并成功可视化哺乳动物细胞中的编码数字数据和增强的绿色荧光蛋白基因。</w:t>
      </w:r>
    </w:p>
    <w:p>
      <w:pPr>
        <w:spacing w:before="0" w:after="200" w:lineRule="auto" w:line="276"/>
      </w:pPr>
      <w:r>
        <w:rPr>
          <w:b/>
        </w:rPr>
        <w:t xml:space="preserve">Abstract (EN): </w:t>
      </w:r>
      <w:r>
        <w:t>DNA is a promising medium for data storage due to its high density and low energy cost. Long-stranded DNA with minimal indexing improves storage density but suffers from poor stability. To address this, we introduce a long-stranded xeno nucleic acid–circular single-stranded DNA (XNA-cssDNA) hybrid strategy to enhance storage robustness. We evaluated multiple XNAs under extreme conditions and identified 2′-fluoro-arabinonucleic acid (FANA) as the optimal storage material. To overcome XNA synthesis length and speed limitations, we used a temperature-guided language model to evolve a FANA polymerase Tgo</w:t>
      </w:r>
      <w:r>
        <w:t xml:space="preserve"> </w:t>
      </w:r>
      <w:r>
        <w:t>mut</w:t>
      </w:r>
      <w:r>
        <w:t xml:space="preserve"> </w:t>
      </w:r>
      <w:r>
        <w:t>, which is ~4.4-fold faster than Tgo</w:t>
      </w:r>
      <w:r>
        <w:t xml:space="preserve"> </w:t>
      </w:r>
      <w:r>
        <w:t>D4K</w:t>
      </w:r>
      <w:r>
        <w:t xml:space="preserve"> </w:t>
      </w:r>
      <w:r>
        <w:t>and enables synthesis of strands exceeding 7500 nucleotides. Data-encoded cssDNA were produced using M13 bacteriophage. The resulting FANA-cssDNA hybrids show strong resistance to chemical and enzymatic degradation. Using a dual-strategy framework, we achieved reliable data writing and reading with 100% data recovery, even after DNA degradation, and successfully visualized encoded digital data and an enhanced green fluorescent protein gene in mammalian cells.</w:t>
      </w:r>
    </w:p>
    <w:p>
      <w:pPr>
        <w:spacing w:before="120" w:after="120"/>
      </w:pPr>
      <w:r>
        <w:rPr>
          <w:sz w:val="18"/>
        </w:rPr>
        <w:t>——————————————————————————————————————————————————————————————————————</w:t>
      </w:r>
    </w:p>
    <w:p>
      <w:pPr>
        <w:spacing w:before="160" w:after="40" w:line="240" w:lineRule="auto"/>
      </w:pPr>
      <w:r>
        <w:rPr>
          <w:b/>
        </w:rPr>
        <w:t xml:space="preserve">[326] </w:t>
      </w:r>
      <w:hyperlink r:id="rId856">
        <w:r>
          <w:rPr>
            <w:color w:val="1155CC"/>
            <w:u w:val="single"/>
          </w:rPr>
          <w:t>对 McWilliams 的修正，位势坐标中没有水平重力</w:t>
        </w:r>
      </w:hyperlink>
    </w:p>
    <w:p>
      <w:pPr>
        <w:spacing w:before="0" w:after="80"/>
      </w:pPr>
      <w:r>
        <w:rPr>
          <w:i/>
          <w:sz w:val="20"/>
        </w:rPr>
        <w:t>EN: Correction for McWilliams, There is no horizontal gravity force in geopotential coordinates</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857">
        <w:r>
          <w:rPr>
            <w:color w:val="1155CC"/>
            <w:u w:val="single"/>
          </w:rPr>
          <w:t>10.1073/pnas.2618226123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[327] </w:t>
      </w:r>
      <w:hyperlink r:id="rId858">
        <w:r>
          <w:rPr>
            <w:color w:val="1155CC"/>
            <w:u w:val="single"/>
          </w:rPr>
          <w:t>p53 通过线粒体呼吸超越 METTL5 缺失诱导的肿瘤抑制</w:t>
        </w:r>
      </w:hyperlink>
    </w:p>
    <w:p>
      <w:pPr>
        <w:spacing w:before="0" w:after="80"/>
      </w:pPr>
      <w:r>
        <w:rPr>
          <w:i/>
          <w:sz w:val="20"/>
        </w:rPr>
        <w:t>EN: p53 overrides METTL5 loss–induced tumor suppression via mitochondrial respiration</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859">
        <w:r>
          <w:rPr>
            <w:color w:val="1155CC"/>
            <w:u w:val="single"/>
          </w:rPr>
          <w:t>10.1073/pnas.2604695123</w:t>
        </w:r>
      </w:hyperlink>
    </w:p>
    <w:p>
      <w:pPr>
        <w:spacing w:before="0" w:after="120"/>
      </w:pPr>
      <w:r>
        <w:rPr>
          <w:b/>
        </w:rPr>
        <w:t xml:space="preserve">Notes: </w:t>
      </w:r>
      <w:r>
        <w:t>abstract_source=crossref</w:t>
      </w:r>
    </w:p>
    <w:p>
      <w:pPr>
        <w:spacing w:before="0" w:after="80" w:lineRule="auto" w:line="276"/>
      </w:pPr>
      <w:r>
        <w:rPr>
          <w:b/>
        </w:rPr>
        <w:t xml:space="preserve">摘要（ZH）: </w:t>
      </w:r>
      <w:r>
        <w:t>抑癌基因 p53 在生理条件下抑制肿瘤发生至关重要。矛盾的是，我们发现野生型 (WT) p53 在缓解</w:t>
      </w:r>
      <w:r>
        <w:t xml:space="preserve"> </w:t>
      </w:r>
      <w:r>
        <w:t>METTL5</w:t>
      </w:r>
      <w:r>
        <w:t xml:space="preserve"> </w:t>
      </w:r>
      <w:r>
        <w:t>通过维持线粒体呼吸，耗尽引起的癌症消退。甲基转移酶 METTL5 在非小细胞肺癌 (NSCLC) 中表达上调，与晚期肿瘤分级和不良预后相关。耗尽</w:t>
      </w:r>
      <w:r>
        <w:t xml:space="preserve"> </w:t>
      </w:r>
      <w:r>
        <w:t>METTL5</w:t>
      </w:r>
      <w:r>
        <w:t xml:space="preserve"> </w:t>
      </w:r>
      <w:r>
        <w:t>在体外和体内损害 NSCLC 细胞增殖和迁移，p53 缺失细胞表现出增强的敏感性。同时</w:t>
      </w:r>
      <w:r>
        <w:t xml:space="preserve"> </w:t>
      </w:r>
      <w:r>
        <w:t>METTL5</w:t>
      </w:r>
      <w:r>
        <w:t xml:space="preserve"> </w:t>
      </w:r>
      <w:r>
        <w:t>-耗尽抑制p53-WT和p53-null细胞中的细胞质翻译，只有缺乏p53的细胞由于线粒体蛋白质合成缺陷和随后的呼吸功能障碍而表现出严重的肿瘤消退。从机制上讲，p53 结合 5’UTR</w:t>
      </w:r>
      <w:r>
        <w:t xml:space="preserve"> </w:t>
      </w:r>
      <w:r>
        <w:t>托姆40</w:t>
      </w:r>
      <w:r>
        <w:t xml:space="preserve"> </w:t>
      </w:r>
      <w:r>
        <w:t>，线粒体蛋白质输入的关键看门人，强制其排除在翻译之外。</w:t>
      </w:r>
      <w:r>
        <w:t xml:space="preserve"> </w:t>
      </w:r>
      <w:r>
        <w:t>METTL5</w:t>
      </w:r>
      <w:r>
        <w:t xml:space="preserve"> </w:t>
      </w:r>
      <w:r>
        <w:t>缺失通过抑制 MDM2 介导的 p53 泛素化促进 p53 核保留，从而减轻其翻译抑制</w:t>
      </w:r>
      <w:r>
        <w:t xml:space="preserve"> </w:t>
      </w:r>
      <w:r>
        <w:t>托姆40</w:t>
      </w:r>
      <w:r>
        <w:t xml:space="preserve"> </w:t>
      </w:r>
      <w:r>
        <w:t>，并支持氧化磷酸化。值得注意的是，组合目标</w:t>
      </w:r>
      <w:r>
        <w:t xml:space="preserve"> </w:t>
      </w:r>
      <w:r>
        <w:t>p53</w:t>
      </w:r>
      <w:r>
        <w:t xml:space="preserve"> </w:t>
      </w:r>
      <w:r>
        <w:t>和</w:t>
      </w:r>
      <w:r>
        <w:t xml:space="preserve"> </w:t>
      </w:r>
      <w:r>
        <w:t>METTL5</w:t>
      </w:r>
      <w:r>
        <w:t xml:space="preserve"> </w:t>
      </w:r>
      <w:r>
        <w:t>协同减弱 p53-WT 癌细胞的增殖和迁移。我们的研究阐明了</w:t>
      </w:r>
    </w:p>
    <w:p>
      <w:pPr>
        <w:spacing w:before="0" w:after="200" w:lineRule="auto" w:line="276"/>
      </w:pPr>
      <w:r>
        <w:rPr>
          <w:b/>
        </w:rPr>
        <w:t xml:space="preserve">Abstract (EN): </w:t>
      </w:r>
      <w:r>
        <w:t>The tumor suppressor p53 is pivotal in repressing tumorigenesis under physiological conditions. Paradoxically, we find that wild-type (WT) p53 plays an oncogenic role in relieving</w:t>
      </w:r>
      <w:r>
        <w:t xml:space="preserve"> </w:t>
      </w:r>
      <w:r>
        <w:t>METTL5</w:t>
      </w:r>
      <w:r>
        <w:t xml:space="preserve"> </w:t>
      </w:r>
      <w:r>
        <w:t>depletion–caused cancer regression by sustaining mitochondrial respiration. The methyltransferase METTL5 is upregulated in non–small cell lung cancer (NSCLC) and associated with advanced tumor grade and poor prognosis. Depletion of</w:t>
      </w:r>
      <w:r>
        <w:t xml:space="preserve"> </w:t>
      </w:r>
      <w:r>
        <w:t>METTL5</w:t>
      </w:r>
      <w:r>
        <w:t xml:space="preserve"> </w:t>
      </w:r>
      <w:r>
        <w:t>impairs NSCLC cell proliferation and migration in vitro and in vivo, with p53-null cells displaying enhanced sensitivity. While</w:t>
      </w:r>
      <w:r>
        <w:t xml:space="preserve"> </w:t>
      </w:r>
      <w:r>
        <w:t>METTL5</w:t>
      </w:r>
      <w:r>
        <w:t xml:space="preserve"> </w:t>
      </w:r>
      <w:r>
        <w:t>-depletion inhibits cytoplasmic translation in both p53-WT and p53-null cells, only cells lacking p53 exhibit severe tumor regression due to defective mitochondrial protein synthesis and consequent respiratory dysfunction. Mechanistically, p53 binds 5’UTR of</w:t>
      </w:r>
      <w:r>
        <w:t xml:space="preserve"> </w:t>
      </w:r>
      <w:r>
        <w:t>TOMM40</w:t>
      </w:r>
      <w:r>
        <w:t xml:space="preserve"> </w:t>
      </w:r>
      <w:r>
        <w:t>, the crucial gatekeeper of mitochondrial protein import, to enforce its exclusion from translation.</w:t>
      </w:r>
      <w:r>
        <w:t xml:space="preserve"> </w:t>
      </w:r>
      <w:r>
        <w:t>METTL5</w:t>
      </w:r>
      <w:r>
        <w:t xml:space="preserve"> </w:t>
      </w:r>
      <w:r>
        <w:t>loss promotes p53 nuclear retention via inhibiting MDM2-mediated p53 ubiquitination, alleviating its translational suppression of</w:t>
      </w:r>
      <w:r>
        <w:t xml:space="preserve"> </w:t>
      </w:r>
      <w:r>
        <w:t>TOMM40</w:t>
      </w:r>
      <w:r>
        <w:t xml:space="preserve"> </w:t>
      </w:r>
      <w:r>
        <w:t>, and supporting oxidative phosphorylation. Remarkably, the combination targeting of</w:t>
      </w:r>
      <w:r>
        <w:t xml:space="preserve"> </w:t>
      </w:r>
      <w:r>
        <w:t>p53</w:t>
      </w:r>
      <w:r>
        <w:t xml:space="preserve"> </w:t>
      </w:r>
      <w:r>
        <w:t>and</w:t>
      </w:r>
      <w:r>
        <w:t xml:space="preserve"> </w:t>
      </w:r>
      <w:r>
        <w:t>METTL5</w:t>
      </w:r>
      <w:r>
        <w:t xml:space="preserve"> </w:t>
      </w:r>
      <w:r>
        <w:t>synergistically attenuates the proliferation and migration in p53-WT cancer cells. Our study elucidates the essential role of p53 in supporting tumor viability upon</w:t>
      </w:r>
      <w:r>
        <w:t xml:space="preserve"> </w:t>
      </w:r>
      <w:r>
        <w:t>METTL5</w:t>
      </w:r>
      <w:r>
        <w:t xml:space="preserve"> </w:t>
      </w:r>
      <w:r>
        <w:t>deficiency by maintaining mitochondrial respiration. Meanwhile, it provides a molecular foundation for developing therapeutic strategies regarding cancers with WT p53.</w:t>
      </w:r>
    </w:p>
    <w:p>
      <w:pPr>
        <w:spacing w:before="120" w:after="120"/>
      </w:pPr>
      <w:r>
        <w:rPr>
          <w:sz w:val="18"/>
        </w:rPr>
        <w:t>——————————————————————————————————————————————————————————————————————</w:t>
      </w:r>
    </w:p>
    <w:p>
      <w:pPr>
        <w:spacing w:before="160" w:after="40" w:line="240" w:lineRule="auto"/>
      </w:pPr>
      <w:r>
        <w:rPr>
          <w:b/>
        </w:rPr>
        <w:t xml:space="preserve">[328] </w:t>
      </w:r>
      <w:hyperlink r:id="rId860">
        <w:r>
          <w:rPr>
            <w:color w:val="1155CC"/>
            <w:u w:val="single"/>
          </w:rPr>
          <w:t>与盐胁迫植物相关的假单胞菌通过增强木质素生物合成促进大豆的胁迫适应</w:t>
        </w:r>
      </w:hyperlink>
    </w:p>
    <w:p>
      <w:pPr>
        <w:spacing w:before="0" w:after="80"/>
      </w:pPr>
      <w:r>
        <w:rPr>
          <w:i/>
          <w:sz w:val="20"/>
        </w:rPr>
        <w:t>EN: Pseudomonads associated to salt-stressed plants facilitate stress adaption of soybean through enhanced lignin biosynthesis</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61">
        <w:r>
          <w:rPr>
            <w:color w:val="1155CC"/>
            <w:u w:val="single"/>
          </w:rPr>
          <w:t>10.1126/sciadv.aed8447</w:t>
        </w:r>
      </w:hyperlink>
    </w:p>
    <w:p>
      <w:pPr>
        <w:spacing w:before="0" w:after="120"/>
      </w:pPr>
      <w:r>
        <w:rPr>
          <w:b/>
        </w:rPr>
        <w:t xml:space="preserve">Notes: </w:t>
      </w:r>
      <w:r>
        <w:t>abstract_source=crossref</w:t>
      </w:r>
    </w:p>
    <w:p>
      <w:pPr>
        <w:spacing w:before="0" w:after="80" w:lineRule="auto" w:line="276"/>
      </w:pPr>
      <w:r>
        <w:rPr>
          <w:b/>
        </w:rPr>
        <w:t xml:space="preserve">摘要（ZH）: </w:t>
      </w:r>
      <w:r>
        <w:t>根部相关微生物群在植物对盐胁迫的耐受性中发挥着关键作用。然而，不同作物和土壤之间有益相互作用的保护及其潜在机制仍不清楚。在这里，我们发现假单胞菌在多种土壤类型和大多数作物种类的盐胁迫植物根部中持续富集。比较基因组学揭示这些假单胞菌具有与高盐耐受性相关的独特基因组特征，例如Na</w:t>
      </w:r>
      <w:r>
        <w:t xml:space="preserve"> </w:t>
      </w:r>
      <w:r>
        <w:t>+</w:t>
      </w:r>
      <w:r>
        <w:t xml:space="preserve"> </w:t>
      </w:r>
      <w:r>
        <w:t>运输者。从盐胁迫植物中分离出来的假单胞菌能够在大豆根部大量定植，并在温室和田间条件下显着提高耐盐性。假单胞菌依赖性植物盐胁迫耐受性是通过植物木质素生物合成刺激介导的，而不是通过Na的经典机制介导的</w:t>
      </w:r>
      <w:r>
        <w:t xml:space="preserve"> </w:t>
      </w:r>
      <w:r>
        <w:t>+</w:t>
      </w:r>
      <w:r>
        <w:t xml:space="preserve"> </w:t>
      </w:r>
      <w:r>
        <w:t>体内平衡。关键植物木质素生物合成基因的过度表达，包括</w:t>
      </w:r>
      <w:r>
        <w:t xml:space="preserve"> </w:t>
      </w:r>
      <w:r>
        <w:t>通用CAD</w:t>
      </w:r>
      <w:r>
        <w:t xml:space="preserve"> </w:t>
      </w:r>
      <w:r>
        <w:t>,</w:t>
      </w:r>
      <w:r>
        <w:t xml:space="preserve"> </w:t>
      </w:r>
      <w:r>
        <w:t>通用型COMT</w:t>
      </w:r>
      <w:r>
        <w:t xml:space="preserve"> </w:t>
      </w:r>
      <w:r>
        <w:t>, 和</w:t>
      </w:r>
      <w:r>
        <w:t xml:space="preserve"> </w:t>
      </w:r>
      <w:r>
        <w:t>GM4CL</w:t>
      </w:r>
      <w:r>
        <w:t xml:space="preserve"> </w:t>
      </w:r>
      <w:r>
        <w:t>，显着增强了盐胁迫下大豆的生长。此外，木质素生物合成缺陷的突变植物不再表现出假单胞菌诱导的耐盐性。总的来说，我们的研究结果揭示了一种以前未被认识的微生物介导的途径，可以增强植物对盐胁迫的抵抗力。</w:t>
      </w:r>
    </w:p>
    <w:p>
      <w:pPr>
        <w:spacing w:before="0" w:after="200" w:lineRule="auto" w:line="276"/>
      </w:pPr>
      <w:r>
        <w:rPr>
          <w:b/>
        </w:rPr>
        <w:t xml:space="preserve">Abstract (EN): </w:t>
      </w:r>
      <w:r>
        <w:t>Root-associated microbiota play a critical role in plant tolerance to salt stress. However, the conservation of beneficial interactions across diverse crops and soils and the underlying mechanisms remain unclear. Here, we show that pseudomonads were consistently enriched in salt-stressed plant roots across multiple soil types and most crop species. Comparative genomics revealed that these pseudomonads harbored unique genomic signatures associated with high salinity tolerance, such as Na</w:t>
      </w:r>
      <w:r>
        <w:t xml:space="preserve"> </w:t>
      </w:r>
      <w:r>
        <w:t>+</w:t>
      </w:r>
      <w:r>
        <w:t xml:space="preserve"> </w:t>
      </w:r>
      <w:r>
        <w:t>transporters. Pseudomonad isolates from salt-stressed plants robustly colonized soybean roots and significantly improved salt tolerance under both greenhouse and field conditions. Pseudomonads-dependent plant salt stress tolerance was mediated through plant lignin biosynthesis stimulation rather than the canonical mechanism of Na</w:t>
      </w:r>
      <w:r>
        <w:t xml:space="preserve"> </w:t>
      </w:r>
      <w:r>
        <w:t>+</w:t>
      </w:r>
      <w:r>
        <w:t xml:space="preserve"> </w:t>
      </w:r>
      <w:r>
        <w:t>homeostasis. Overexpression of the key plant lignin biosynthesis genes, including</w:t>
      </w:r>
      <w:r>
        <w:t xml:space="preserve"> </w:t>
      </w:r>
      <w:r>
        <w:t>GmCAD</w:t>
      </w:r>
      <w:r>
        <w:t xml:space="preserve"> </w:t>
      </w:r>
      <w:r>
        <w:t>,</w:t>
      </w:r>
      <w:r>
        <w:t xml:space="preserve"> </w:t>
      </w:r>
      <w:r>
        <w:t>GmCOMT</w:t>
      </w:r>
      <w:r>
        <w:t xml:space="preserve"> </w:t>
      </w:r>
      <w:r>
        <w:t>, and</w:t>
      </w:r>
      <w:r>
        <w:t xml:space="preserve"> </w:t>
      </w:r>
      <w:r>
        <w:t>Gm4CL</w:t>
      </w:r>
      <w:r>
        <w:t xml:space="preserve"> </w:t>
      </w:r>
      <w:r>
        <w:t>, significantly enhanced soybean growth under salt stress. Furthermore, mutant plants deficient in lignin biosynthesis no longer showed pseudomonads-induced salt tolerance. Collectively, our findings reveal a previously unrecognized microbial-mediated pathway that enhances plant resilience to salt stress.</w:t>
      </w:r>
    </w:p>
    <w:p>
      <w:pPr>
        <w:spacing w:before="120" w:after="120"/>
      </w:pPr>
      <w:r>
        <w:rPr>
          <w:sz w:val="18"/>
        </w:rPr>
        <w:t>——————————————————————————————————————————————————————————————————————</w:t>
      </w:r>
    </w:p>
    <w:p>
      <w:pPr>
        <w:spacing w:before="160" w:after="40" w:line="240" w:lineRule="auto"/>
      </w:pPr>
      <w:r>
        <w:rPr>
          <w:b/>
        </w:rPr>
        <w:t xml:space="preserve">[329] </w:t>
      </w:r>
      <w:hyperlink r:id="rId862">
        <w:r>
          <w:rPr>
            <w:color w:val="1155CC"/>
            <w:u w:val="single"/>
          </w:rPr>
          <w:t>异构体特异性立体拉链导致缩短的 TDP-43 的异常组装和错误定位</w:t>
        </w:r>
      </w:hyperlink>
    </w:p>
    <w:p>
      <w:pPr>
        <w:spacing w:before="0" w:after="80"/>
      </w:pPr>
      <w:r>
        <w:rPr>
          <w:i/>
          <w:sz w:val="20"/>
        </w:rPr>
        <w:t>EN: Isoform-specific steric zippers drive aberrant assembly and mislocalization of shortened TDP-43</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63">
        <w:r>
          <w:rPr>
            <w:color w:val="1155CC"/>
            <w:u w:val="single"/>
          </w:rPr>
          <w:t>10.1126/sciadv.ady0256</w:t>
        </w:r>
      </w:hyperlink>
    </w:p>
    <w:p>
      <w:pPr>
        <w:spacing w:before="0" w:after="120"/>
      </w:pPr>
      <w:r>
        <w:rPr>
          <w:b/>
        </w:rPr>
        <w:t xml:space="preserve">Notes: </w:t>
      </w:r>
      <w:r>
        <w:t>abstract_source=crossref</w:t>
      </w:r>
    </w:p>
    <w:p>
      <w:pPr>
        <w:spacing w:before="0" w:after="80" w:lineRule="auto" w:line="276"/>
      </w:pPr>
      <w:r>
        <w:rPr>
          <w:b/>
        </w:rPr>
        <w:t xml:space="preserve">摘要（ZH）: </w:t>
      </w:r>
      <w:r>
        <w:t>朊病毒样结构域 (PrLD) 介导的 43 千道尔顿必需 RNA 结合蛋白交互反应 (TAR) DNA 结合蛋白 (TDP-43) 的聚集和伴随功能障碍是多种衰弱性神经退行性疾病的共同特征，包括肌萎缩侧索硬化症 (ALS)。然而，缩短的 TDP-43 (sTDP-43) 剪接亚型（其中 PrLD 大部分被 18 个残基羧基末端尾部取代）也有助于 ALS 病理生理学，并且在运动神经元中富集。奇怪的是，尽管缺乏大部分 PrLD，sTDP-43 在 ALS 患者的细胞和组织中表现出明显的不溶性。在这里，我们确定 sTDP-43 的短异构体特异性羧基末端尾部具有高聚集倾向，该倾向由两簇空间拉链编码，并且可以通过短 RNA 伴侣来减轻。破坏这些拉链可以增强 sTDP-43 在纯蛋白质水平和神经元中的溶解度。值得注意的是，这些空间拉链，而不是羧基末端尾部中预测的核输出信号，驱动了 sTDP-43 在神经元中的细胞质错误定位和聚集。因此，我们定义了异常 sTDP-43 组装的序列编码决定因素，并提供了对 sTDP-43 疾病病理学的机制见解。</w:t>
      </w:r>
    </w:p>
    <w:p>
      <w:pPr>
        <w:spacing w:before="0" w:after="200" w:lineRule="auto" w:line="276"/>
      </w:pPr>
      <w:r>
        <w:rPr>
          <w:b/>
        </w:rPr>
        <w:t xml:space="preserve">Abstract (EN): </w:t>
      </w:r>
      <w:r>
        <w:t>Prion-like domain (PrLD)–mediated aggregation and concomitant dysfunction of the essential RNA-binding protein transactive response (TAR) DNA-binding protein of 43 kilodaltons (TDP-43) is a common feature of multiple debilitating neurodegenerative disorders, including amyotrophic lateral sclerosis (ALS). However, shortened TDP-43 (sTDP-43) splice isoforms where the PrLD is largely replaced by an 18-residue carboxyl-terminal tail also contribute to ALS pathophysiology and are enriched in motor neurons. Curiously, despite lacking most of the PrLD, sTDP-43 exhibits pronounced insolubility in cells and tissue of patients with ALS. Here, we establish that the short, isoform-specific carboxyl-terminal tail of sTDP-43 confers high aggregation propensity, which is encoded by two clusters of steric zippers, and can be mitigated by short RNA chaperones. Disrupting these zippers enhances sTDP-43 solubility at the pure protein level and in neurons. Notably, these steric zippers, rather than a predicted nuclear export signal in the carboxyl-terminal tail, drive cytoplasmic mislocalization and aggregation of sTDP-43 in neurons. Thus, we define the sequence-encoded determinants of aberrant sTDP-43 assembly and provide mechanistic insights into sTDP-43 disease pathology.</w:t>
      </w:r>
    </w:p>
    <w:p>
      <w:pPr>
        <w:spacing w:before="120" w:after="120"/>
      </w:pPr>
      <w:r>
        <w:rPr>
          <w:sz w:val="18"/>
        </w:rPr>
        <w:t>——————————————————————————————————————————————————————————————————————</w:t>
      </w:r>
    </w:p>
    <w:p>
      <w:pPr>
        <w:spacing w:before="160" w:after="40" w:line="240" w:lineRule="auto"/>
      </w:pPr>
      <w:r>
        <w:rPr>
          <w:b/>
        </w:rPr>
        <w:t xml:space="preserve">[330] </w:t>
      </w:r>
      <w:hyperlink r:id="rId864">
        <w:r>
          <w:rPr>
            <w:color w:val="1155CC"/>
            <w:u w:val="single"/>
          </w:rPr>
          <w:t>油菜素类固醇信号通过协调细胞分裂素和 WUSCHEL 活性调节茎尖分生组织稳态</w:t>
        </w:r>
      </w:hyperlink>
    </w:p>
    <w:p>
      <w:pPr>
        <w:spacing w:before="0" w:after="80"/>
      </w:pPr>
      <w:r>
        <w:rPr>
          <w:i/>
          <w:sz w:val="20"/>
        </w:rPr>
        <w:t>EN: Brassinosteroid signaling regulates shoot apical meristem homeostasis via orchestrating cytokinin and WUSCHEL activity</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65">
        <w:r>
          <w:rPr>
            <w:color w:val="1155CC"/>
            <w:u w:val="single"/>
          </w:rPr>
          <w:t>10.1126/sciadv.aed5120</w:t>
        </w:r>
      </w:hyperlink>
    </w:p>
    <w:p>
      <w:pPr>
        <w:spacing w:before="0" w:after="120"/>
      </w:pPr>
      <w:r>
        <w:rPr>
          <w:b/>
        </w:rPr>
        <w:t xml:space="preserve">Notes: </w:t>
      </w:r>
      <w:r>
        <w:t>abstract_source=crossref</w:t>
      </w:r>
    </w:p>
    <w:p>
      <w:pPr>
        <w:spacing w:before="0" w:after="80" w:lineRule="auto" w:line="276"/>
      </w:pPr>
      <w:r>
        <w:rPr>
          <w:b/>
        </w:rPr>
        <w:t xml:space="preserve">摘要（ZH）: </w:t>
      </w:r>
      <w:r>
        <w:t>在开花植物中，茎尖分生组织 (SAM) 通过干细胞识别基因之间的串扰来维持</w:t>
      </w:r>
      <w:r>
        <w:t xml:space="preserve"> </w:t>
      </w:r>
      <w:r>
        <w:t>乌舍尔</w:t>
      </w:r>
      <w:r>
        <w:t xml:space="preserve"> </w:t>
      </w:r>
      <w:r>
        <w:t>（</w:t>
      </w:r>
      <w:r>
        <w:t xml:space="preserve"> </w:t>
      </w:r>
      <w:r>
        <w:t>西澳大学</w:t>
      </w:r>
      <w:r>
        <w:t xml:space="preserve"> </w:t>
      </w:r>
      <w:r>
        <w:t>）和几种植物激素信号传导途径。然而，众所周知的甾醇植物激素油菜素内酯 (BR) 信号是否直接调节 SAM 活性仍然是个谜。在这里，我们表明 BR 信号传导通过增强</w:t>
      </w:r>
      <w:r>
        <w:t xml:space="preserve"> </w:t>
      </w:r>
      <w:r>
        <w:t>西澳大学</w:t>
      </w:r>
      <w:r>
        <w:t xml:space="preserve"> </w:t>
      </w:r>
      <w:r>
        <w:t>在组织中心表达和调节 WUS 活动。 BR 信号受损的植物表现出 SAM 大小减小、SAM 过早终止以及总花数减少。 BRs 与细胞分裂素 (CK) 协同激活</w:t>
      </w:r>
      <w:r>
        <w:t xml:space="preserve"> </w:t>
      </w:r>
      <w:r>
        <w:t>西澳大学</w:t>
      </w:r>
      <w:r>
        <w:t xml:space="preserve"> </w:t>
      </w:r>
      <w:r>
        <w:t>通过 BR 转录因子耐黄铜酶 1 (BZR1) 和 CK 反应因子形成的蛋白质复合物进行表达</w:t>
      </w:r>
      <w:r>
        <w:t xml:space="preserve"> </w:t>
      </w:r>
      <w:r>
        <w:t>拟南芥</w:t>
      </w:r>
      <w:r>
        <w:t xml:space="preserve"> </w:t>
      </w:r>
      <w:r>
        <w:t>响应调节器 1 (ARR1)。此外，BR 促进 BZR1-WUS 蛋白复合物的核积累，该复合物在全基因组范围内结合 E-box (CANNTG) 基序并抑制 A 型</w:t>
      </w:r>
      <w:r>
        <w:t xml:space="preserve"> </w:t>
      </w:r>
      <w:r>
        <w:t>ARR</w:t>
      </w:r>
      <w:r>
        <w:t xml:space="preserve"> </w:t>
      </w:r>
      <w:r>
        <w:t>和</w:t>
      </w:r>
      <w:r>
        <w:t xml:space="preserve"> </w:t>
      </w:r>
      <w:r>
        <w:t>硕果累累</w:t>
      </w:r>
      <w:r>
        <w:t xml:space="preserve"> </w:t>
      </w:r>
      <w:r>
        <w:t>，从而维持 CK 输出并延迟 SAM 逮捕。 BR 信号传导下的 BZR1-WUS 模块在番茄中是保守的，揭示了 BR 信号传导维持 SAM 的一般调节机制。</w:t>
      </w:r>
    </w:p>
    <w:p>
      <w:pPr>
        <w:spacing w:before="0" w:after="200" w:lineRule="auto" w:line="276"/>
      </w:pPr>
      <w:r>
        <w:rPr>
          <w:b/>
        </w:rPr>
        <w:t xml:space="preserve">Abstract (EN): </w:t>
      </w:r>
      <w:r>
        <w:t>In flowering plants, the shoot apical meristem (SAM) is maintained through cross-talk between the stem cell identity gene</w:t>
      </w:r>
      <w:r>
        <w:t xml:space="preserve"> </w:t>
      </w:r>
      <w:r>
        <w:t>WUSCHEL</w:t>
      </w:r>
      <w:r>
        <w:t xml:space="preserve"> </w:t>
      </w:r>
      <w:r>
        <w:t>(</w:t>
      </w:r>
      <w:r>
        <w:t xml:space="preserve"> </w:t>
      </w:r>
      <w:r>
        <w:t>WUS</w:t>
      </w:r>
      <w:r>
        <w:t xml:space="preserve"> </w:t>
      </w:r>
      <w:r>
        <w:t>) and several phytohormone-signaling pathways. However, whether the well-known sterol phytohormone brassinosteroid (BR) signaling directly regulates SAM activity remains mysterious. Here, we showed that BR signaling maintains SAM homeostasis through both enhancing</w:t>
      </w:r>
      <w:r>
        <w:t xml:space="preserve"> </w:t>
      </w:r>
      <w:r>
        <w:t>WUS</w:t>
      </w:r>
      <w:r>
        <w:t xml:space="preserve"> </w:t>
      </w:r>
      <w:r>
        <w:t>expression and modulating WUS activity in organizing center. Plants with compromised BR signaling exhibited reduced SAM size, prematurely terminated SAM, and decreased total flower numbers. BRs synergize with cytokinin (CK) to activate</w:t>
      </w:r>
      <w:r>
        <w:t xml:space="preserve"> </w:t>
      </w:r>
      <w:r>
        <w:t>WUS</w:t>
      </w:r>
      <w:r>
        <w:t xml:space="preserve"> </w:t>
      </w:r>
      <w:r>
        <w:t>expression via a protein complex formed by the BR transcription factor brassinazole-resistant 1 (BZR1) and the CK-responsive factor</w:t>
      </w:r>
      <w:r>
        <w:t xml:space="preserve"> </w:t>
      </w:r>
      <w:r>
        <w:t>Arabidopsis</w:t>
      </w:r>
      <w:r>
        <w:t xml:space="preserve"> </w:t>
      </w:r>
      <w:r>
        <w:t>response regulator 1 (ARR1). In addition, BR promotes nuclear accumulation of BZR1-WUS protein complex, which binds E-box (CANNTG) motifs genome-wide and represses type A</w:t>
      </w:r>
      <w:r>
        <w:t xml:space="preserve"> </w:t>
      </w:r>
      <w:r>
        <w:t>ARRs</w:t>
      </w:r>
      <w:r>
        <w:t xml:space="preserve"> </w:t>
      </w:r>
      <w:r>
        <w:t>and</w:t>
      </w:r>
      <w:r>
        <w:t xml:space="preserve"> </w:t>
      </w:r>
      <w:r>
        <w:t>FRUITFUL</w:t>
      </w:r>
      <w:r>
        <w:t xml:space="preserve"> </w:t>
      </w:r>
      <w:r>
        <w:t>, thereby sustaining CK output and delaying SAM arrest. This BZR1-WUS module under BR signaling is conserved in tomatoes, revealing a general regulatory mechanism of SAM maintenance by BR signaling.</w:t>
      </w:r>
    </w:p>
    <w:p>
      <w:pPr>
        <w:spacing w:before="120" w:after="120"/>
      </w:pPr>
      <w:r>
        <w:rPr>
          <w:sz w:val="18"/>
        </w:rPr>
        <w:t>——————————————————————————————————————————————————————————————————————</w:t>
      </w:r>
    </w:p>
    <w:p>
      <w:pPr>
        <w:spacing w:before="160" w:after="40" w:line="240" w:lineRule="auto"/>
      </w:pPr>
      <w:r>
        <w:rPr>
          <w:b/>
        </w:rPr>
        <w:t xml:space="preserve">[331] </w:t>
      </w:r>
      <w:hyperlink r:id="rId866">
        <w:r>
          <w:rPr>
            <w:color w:val="1155CC"/>
            <w:u w:val="single"/>
          </w:rPr>
          <w:t>通过植入的磁性假肢动觉界面揭示协调的手部运动感觉</w:t>
        </w:r>
      </w:hyperlink>
    </w:p>
    <w:p>
      <w:pPr>
        <w:spacing w:before="0" w:after="80"/>
      </w:pPr>
      <w:r>
        <w:rPr>
          <w:i/>
          <w:sz w:val="20"/>
        </w:rPr>
        <w:t>EN: Coordinated hand movement sensation revealed through an implanted magnetic prosthetic kinesthetic interface</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67">
        <w:r>
          <w:rPr>
            <w:color w:val="1155CC"/>
            <w:u w:val="single"/>
          </w:rPr>
          <w:t>10.1126/sciadv.adx5046</w:t>
        </w:r>
      </w:hyperlink>
    </w:p>
    <w:p>
      <w:pPr>
        <w:spacing w:before="0" w:after="120"/>
      </w:pPr>
      <w:r>
        <w:rPr>
          <w:b/>
        </w:rPr>
        <w:t xml:space="preserve">Notes: </w:t>
      </w:r>
      <w:r>
        <w:t>abstract_source=crossref</w:t>
      </w:r>
    </w:p>
    <w:p>
      <w:pPr>
        <w:spacing w:before="0" w:after="80" w:lineRule="auto" w:line="276"/>
      </w:pPr>
      <w:r>
        <w:rPr>
          <w:b/>
        </w:rPr>
        <w:t xml:space="preserve">摘要（ZH）: </w:t>
      </w:r>
      <w:r>
        <w:t>控制假肢手的肌肉收缩感觉与控制自然手的肌肉收缩不同，因为截肢将运动感觉（动觉）与运动执行分离。肌动动觉接口（MKkI）利用植入截肢前臂肌肉中的永磁体的远程振动来恢复动觉。一名参与者报告了手部闭合和张开的协调手指运动，限制在生理范围内，具有刻板的构象和动态。聚合的非结构化探索和系统的心理物理学暴露了未报告的振动频率的感知敏感性，这些振动频率触发了动觉。从单个前臂肌肉引起的复杂协调的握力感觉表明，动觉大脑表征可能植根于协同运动产生的感知。通过利用动觉的自然协同特征，MKkI 将有助于将感知和行动联系起来，以在功能上提升新兴的直观双向人机界面。</w:t>
      </w:r>
    </w:p>
    <w:p>
      <w:pPr>
        <w:spacing w:before="0" w:after="200" w:lineRule="auto" w:line="276"/>
      </w:pPr>
      <w:r>
        <w:rPr>
          <w:b/>
        </w:rPr>
        <w:t xml:space="preserve">Abstract (EN): </w:t>
      </w:r>
      <w:r>
        <w:t>Muscle contractions to control prosthetic hands do not feel like those to control natural hands because amputation decouples movement sense (kinesthesia) from movement execution. The myokinetic kinesthetic interface (MKkI) uses remote vibration of permanent magnets implanted in amputated forearm muscles to restore kinesthesia. A participant reported coordinated finger movements of hand closing and opening, constrained within physiological bounds, with stereotypical conformations and dynamics. Aggregated unstructured explorations and systematic psychophysics exposed unreported perceptual sensitivity at vibration frequencies that trigger kinesthetic sensations. Complex coordinated grip sensations elicited from single forearm muscles reveal that kinesthetic brain representations are likely rooted in perception of synergistic movement production. By leveraging the natural synergistic features of kinesthesia, the MKkI will help link perception and action to functionally elevate emerging intuitive bidirectional human-machine interfaces.</w:t>
      </w:r>
    </w:p>
    <w:p>
      <w:pPr>
        <w:spacing w:before="120" w:after="120"/>
      </w:pPr>
      <w:r>
        <w:rPr>
          <w:sz w:val="18"/>
        </w:rPr>
        <w:t>——————————————————————————————————————————————————————————————————————</w:t>
      </w:r>
    </w:p>
    <w:p>
      <w:pPr>
        <w:spacing w:before="160" w:after="40" w:line="240" w:lineRule="auto"/>
      </w:pPr>
      <w:r>
        <w:rPr>
          <w:b/>
        </w:rPr>
        <w:t xml:space="preserve">[332] </w:t>
      </w:r>
      <w:hyperlink r:id="rId868">
        <w:r>
          <w:rPr>
            <w:color w:val="1155CC"/>
            <w:u w:val="single"/>
          </w:rPr>
          <w:t>在火星杰泽罗陨石坑的古老河谷中检测到空间分布的复杂有机物</w:t>
        </w:r>
      </w:hyperlink>
    </w:p>
    <w:p>
      <w:pPr>
        <w:spacing w:before="0" w:after="80"/>
      </w:pPr>
      <w:r>
        <w:rPr>
          <w:i/>
          <w:sz w:val="20"/>
        </w:rPr>
        <w:t>EN: Spatially distributed complex organic matter detected in an ancient river valley in Jezero crater, Mars</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69">
        <w:r>
          <w:rPr>
            <w:color w:val="1155CC"/>
            <w:u w:val="single"/>
          </w:rPr>
          <w:t>10.1126/sciadv.adx0047</w:t>
        </w:r>
      </w:hyperlink>
    </w:p>
    <w:p>
      <w:pPr>
        <w:spacing w:before="0" w:after="120"/>
      </w:pPr>
      <w:r>
        <w:rPr>
          <w:b/>
        </w:rPr>
        <w:t xml:space="preserve">Notes: </w:t>
      </w:r>
      <w:r>
        <w:t>abstract_source=crossref</w:t>
      </w:r>
    </w:p>
    <w:p>
      <w:pPr>
        <w:spacing w:before="0" w:after="80" w:lineRule="auto" w:line="276"/>
      </w:pPr>
      <w:r>
        <w:rPr>
          <w:b/>
        </w:rPr>
        <w:t xml:space="preserve">摘要（ZH）: </w:t>
      </w:r>
      <w:r>
        <w:t>使用毅力号火星车上的拉曼光谱仪，我们报告了位于火星古老河谷的泥岩中有机碳的不均匀分布。对两块泥岩的测量显示了数百个有机检测，这使得这是迄今为止 Jezero 陨石坑中最可靠的有机检测，并且据我们所知，这是在火星天然岩石表面上唯一检测到大分子碳。一块岩石内部的光谱揭示了有机物与次生碳酸盐和硫酸盐矿物的关联，而另一块岩石则显示出有机物与原生硅酸盐为主的基质的关联。尽管原位拉曼分析无法确定这些有机物是否代表非生物或生物来源，但与沉积和成岩矿物的有机关联以及火星表面有机物的检测表明，在光明天使露头处普遍观察到的有机物可能具有抗辐射和氧化能力，或者最近才暴露。</w:t>
      </w:r>
    </w:p>
    <w:p>
      <w:pPr>
        <w:spacing w:before="0" w:after="200" w:lineRule="auto" w:line="276"/>
      </w:pPr>
      <w:r>
        <w:rPr>
          <w:b/>
        </w:rPr>
        <w:t xml:space="preserve">Abstract (EN): </w:t>
      </w:r>
      <w:r>
        <w:t>Using a Raman spectrometer onboard the Perseverance rover, we report the heterogeneous distribution of organic carbon within mudstones located in an ancient river valley on Mars. Measurements of two mudstones show hundreds of organic detections, making this the most robust organic detection in Jezero crater thus far, and, to our knowledge, the only detection of macromolecular carbon on a natural rock surface on Mars. Spectra of the interior of one rock reveal an association of organics with secondary carbonate and sulfate minerals, whereas another rock exhibits an association of organics with primary silicate-dominated matrix. Although in situ Raman analyses cannot determine whether these organics denote abiotic or biotic sources, the organic association with both depositional and diagenetic minerals and the detection of organics on the martian surface suggests that the organics observed ubiquitously at the Bright Angel outcrop may be resistant to radiation and oxidation or have been relatively recently exposed.</w:t>
      </w:r>
    </w:p>
    <w:p>
      <w:pPr>
        <w:spacing w:before="120" w:after="120"/>
      </w:pPr>
      <w:r>
        <w:rPr>
          <w:sz w:val="18"/>
        </w:rPr>
        <w:t>——————————————————————————————————————————————————————————————————————</w:t>
      </w:r>
    </w:p>
    <w:p>
      <w:pPr>
        <w:spacing w:before="160" w:after="40" w:line="240" w:lineRule="auto"/>
      </w:pPr>
      <w:r>
        <w:rPr>
          <w:b/>
        </w:rPr>
        <w:t xml:space="preserve">[333] </w:t>
      </w:r>
      <w:hyperlink r:id="rId870">
        <w:r>
          <w:rPr>
            <w:color w:val="1155CC"/>
            <w:u w:val="single"/>
          </w:rPr>
          <w:t>美国公平工作周法：对有意和无意后果的评估</w:t>
        </w:r>
      </w:hyperlink>
    </w:p>
    <w:p>
      <w:pPr>
        <w:spacing w:before="0" w:after="80"/>
      </w:pPr>
      <w:r>
        <w:rPr>
          <w:i/>
          <w:sz w:val="20"/>
        </w:rPr>
        <w:t>EN: Fair Workweek laws in the US: An appraisal of intended and unintended consequences</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71">
        <w:r>
          <w:rPr>
            <w:color w:val="1155CC"/>
            <w:u w:val="single"/>
          </w:rPr>
          <w:t>10.1126/sciadv.aea8632</w:t>
        </w:r>
      </w:hyperlink>
    </w:p>
    <w:p>
      <w:pPr>
        <w:spacing w:before="0" w:after="120"/>
      </w:pPr>
      <w:r>
        <w:rPr>
          <w:b/>
        </w:rPr>
        <w:t xml:space="preserve">Notes: </w:t>
      </w:r>
      <w:r>
        <w:t>abstract_source=crossref</w:t>
      </w:r>
    </w:p>
    <w:p>
      <w:pPr>
        <w:spacing w:before="0" w:after="80" w:lineRule="auto" w:line="276"/>
      </w:pPr>
      <w:r>
        <w:rPr>
          <w:b/>
        </w:rPr>
        <w:t xml:space="preserve">摘要（ZH）: </w:t>
      </w:r>
      <w:r>
        <w:t>公平工作周法在几个大城市和一个州实施，代表了一个世纪以来关于工作时间的争论和立法中的新一波创新浪潮。以前的立法试图规范过度工作，而这些法律旨在规范工作时间表不稳定和工作时间不足，但其影响的证据并不完整。使用叠加的双重差异模型和原始调查数据，我们发现了强有力的证据，表明公平工作周规定导致提前通知时间表和轮班之间的休息时间增加，并减少了最后一刻时间表的变化。我们没有发现工作质量其他方面出现补偿性紧缩的证据。这些平均效应掩盖了不同司法管辖区之间的巨大异质性，表明地方执法对于实现政策目标的重要性。公平工作周立法已经实现了对工作时间表的一些预期影响，而没有产生意想不到的后果，但更广泛、更有效执行的潜力尚未完全实现。</w:t>
      </w:r>
    </w:p>
    <w:p>
      <w:pPr>
        <w:spacing w:before="0" w:after="200" w:lineRule="auto" w:line="276"/>
      </w:pPr>
      <w:r>
        <w:rPr>
          <w:b/>
        </w:rPr>
        <w:t xml:space="preserve">Abstract (EN): </w:t>
      </w:r>
      <w:r>
        <w:t>Fair Workweek laws, implemented in several large cities and one state, represent a new wave of innovation in a century of contestation and legislation around work time. Where previous legislation sought to regulate overwork, these laws aim to regulate work schedule instability and insufficiency of work hours, but evidence on their effects is incomplete. Using stacked difference-in-differences models and original survey data, we find robust evidence that Fair Workweek regulations led to increases in advance notice of schedules and time to rest between shifts and reductions in last-minute schedule changes. We find no evidence of compensatory retrenchment in other aspects of job quality. These average effects disguise substantial heterogeneity across jurisdictions, pointing to the importance of local enforcement in realizing policy goals. Fair Workweek legislation has realized some intended effects on work schedules without unintended consequences, but the potential for more widespread, effective enforcement has not been fully realized.</w:t>
      </w:r>
    </w:p>
    <w:p>
      <w:pPr>
        <w:spacing w:before="120" w:after="120"/>
      </w:pPr>
      <w:r>
        <w:rPr>
          <w:sz w:val="18"/>
        </w:rPr>
        <w:t>——————————————————————————————————————————————————————————————————————</w:t>
      </w:r>
    </w:p>
    <w:p>
      <w:pPr>
        <w:spacing w:before="160" w:after="40" w:line="240" w:lineRule="auto"/>
      </w:pPr>
      <w:r>
        <w:rPr>
          <w:b/>
        </w:rPr>
        <w:t xml:space="preserve">[334] </w:t>
      </w:r>
      <w:hyperlink r:id="rId872">
        <w:r>
          <w:rPr>
            <w:color w:val="1155CC"/>
            <w:u w:val="single"/>
          </w:rPr>
          <w:t>PVN 催产素神经元的独特投射调节不同的防御行为以应对社会威胁</w:t>
        </w:r>
      </w:hyperlink>
    </w:p>
    <w:p>
      <w:pPr>
        <w:spacing w:before="0" w:after="80"/>
      </w:pPr>
      <w:r>
        <w:rPr>
          <w:i/>
          <w:sz w:val="20"/>
        </w:rPr>
        <w:t>EN: Distinct projections of PVN oxytocin neurons regulate the divergent defensive behaviors in response to social threat</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73">
        <w:r>
          <w:rPr>
            <w:color w:val="1155CC"/>
            <w:u w:val="single"/>
          </w:rPr>
          <w:t>10.1126/sciadv.aeb0400</w:t>
        </w:r>
      </w:hyperlink>
    </w:p>
    <w:p>
      <w:pPr>
        <w:spacing w:before="0" w:after="120"/>
      </w:pPr>
      <w:r>
        <w:rPr>
          <w:b/>
        </w:rPr>
        <w:t xml:space="preserve">Notes: </w:t>
      </w:r>
      <w:r>
        <w:t>abstract_source=crossref</w:t>
      </w:r>
    </w:p>
    <w:p>
      <w:pPr>
        <w:spacing w:before="0" w:after="80" w:lineRule="auto" w:line="276"/>
      </w:pPr>
      <w:r>
        <w:rPr>
          <w:b/>
        </w:rPr>
        <w:t xml:space="preserve">摘要（ZH）: </w:t>
      </w:r>
      <w:r>
        <w:t>中枢催产素（OXT）系统参与社会行为和情绪调节的各个方面。然而，调节防御行为以应对社会威胁的室旁核（PVN）OXT神经元功能多样性的神经元基础仍不清楚。这项研究发现，急性社交失败压力 (ASDS) 会激活小鼠的 PVN OXT 神经元，从而促进 ASDS 期间和之后的防御行为。当小鼠受到攻击时，伏隔核（NAc）投射PVN OXT（OXT</w:t>
      </w:r>
      <w:r>
        <w:t xml:space="preserve"> </w:t>
      </w:r>
      <w:r>
        <w:t>PVN-NAc</w:t>
      </w:r>
      <w:r>
        <w:t xml:space="preserve"> </w:t>
      </w:r>
      <w:r>
        <w:t>）神经元受到抑制，而中央杏仁核（CeA）投射的PVN OXT（OXT</w:t>
      </w:r>
      <w:r>
        <w:t xml:space="preserve"> </w:t>
      </w:r>
      <w:r>
        <w:t>PVN-CeA</w:t>
      </w:r>
      <w:r>
        <w:t xml:space="preserve"> </w:t>
      </w:r>
      <w:r>
        <w:t>）神经元被激活。使用狂犬病病毒追踪和特定回路的研究</w:t>
      </w:r>
      <w:r>
        <w:t xml:space="preserve"> </w:t>
      </w:r>
      <w:r>
        <w:t>奥克斯特</w:t>
      </w:r>
      <w:r>
        <w:t xml:space="preserve"> </w:t>
      </w:r>
      <w:r>
        <w:t>敲除揭示下丘脑外侧区 (LHA) 支配 OXT</w:t>
      </w:r>
      <w:r>
        <w:t xml:space="preserve"> </w:t>
      </w:r>
      <w:r>
        <w:t>PVN-NAc</w:t>
      </w:r>
      <w:r>
        <w:t xml:space="preserve"> </w:t>
      </w:r>
      <w:r>
        <w:t>和 OXT</w:t>
      </w:r>
      <w:r>
        <w:t xml:space="preserve"> </w:t>
      </w:r>
      <w:r>
        <w:t>PVN-CeA</w:t>
      </w:r>
      <w:r>
        <w:t xml:space="preserve"> </w:t>
      </w:r>
      <w:r>
        <w:t>神经元，而外侧缰核 (LHb) 专门支配 OXT</w:t>
      </w:r>
      <w:r>
        <w:t xml:space="preserve"> </w:t>
      </w:r>
      <w:r>
        <w:t>PVN-CeA</w:t>
      </w:r>
      <w:r>
        <w:t xml:space="preserve"> </w:t>
      </w:r>
      <w:r>
        <w:t>神经元。 LHA 支配的 PVN OXT 神经元对社交互动和社交失败 (SD) 都有反应。它们在 SD 期间促进反击行为，并在 ASDS 后减少社交回避。相比之下，LHb-PVN</w:t>
      </w:r>
      <w:r>
        <w:t xml:space="preserve"> </w:t>
      </w:r>
      <w:r>
        <w:t>奥克斯</w:t>
      </w:r>
      <w:r>
        <w:t xml:space="preserve"> </w:t>
      </w:r>
      <w:r>
        <w:t>-CeA 电路专门对 SD 做出反应，促进失败期间的逃避行为并增加 ASDS 后的社交回避。敲低 OXT 受体（</w:t>
      </w:r>
      <w:r>
        <w:t xml:space="preserve"> </w:t>
      </w:r>
      <w:r>
        <w:t>奥克斯特尔</w:t>
      </w:r>
      <w:r>
        <w:t xml:space="preserve"> </w:t>
      </w:r>
      <w:r>
        <w:t>）在</w:t>
      </w:r>
    </w:p>
    <w:p>
      <w:pPr>
        <w:spacing w:before="0" w:after="200" w:lineRule="auto" w:line="276"/>
      </w:pPr>
      <w:r>
        <w:rPr>
          <w:b/>
        </w:rPr>
        <w:t xml:space="preserve">Abstract (EN): </w:t>
      </w:r>
      <w:r>
        <w:t>The central oxytocin (OXT) system is involved in various aspects of social behavior and emotional regulation. However, the neuronal basis of the functional diversity of paraventricular nucleus (PVN) OXT neurons that modulate the defensive behaviors in response to social threat remains unclear. This study found that acute social defeat stress (ASDS) activates PVN OXT neurons in mice, promoting defensive behaviors during and after ASDS. When the mice were attacked, the nucleus accumbens (NAc)–projecting PVN OXT (OXT</w:t>
      </w:r>
      <w:r>
        <w:t xml:space="preserve"> </w:t>
      </w:r>
      <w:r>
        <w:t>PVN-NAc</w:t>
      </w:r>
      <w:r>
        <w:t xml:space="preserve"> </w:t>
      </w:r>
      <w:r>
        <w:t>) neurons were inhibited, while the central amygdala (CeA)–projecting PVN OXT (OXT</w:t>
      </w:r>
      <w:r>
        <w:t xml:space="preserve"> </w:t>
      </w:r>
      <w:r>
        <w:t>PVN-CeA</w:t>
      </w:r>
      <w:r>
        <w:t xml:space="preserve"> </w:t>
      </w:r>
      <w:r>
        <w:t>) neurons were activated. Studies using rabies virus tracing and circuit-specific</w:t>
      </w:r>
      <w:r>
        <w:t xml:space="preserve"> </w:t>
      </w:r>
      <w:r>
        <w:t>Oxt</w:t>
      </w:r>
      <w:r>
        <w:t xml:space="preserve"> </w:t>
      </w:r>
      <w:r>
        <w:t>knockout revealed that the lateral hypothalamic area (LHA) innervates both OXT</w:t>
      </w:r>
      <w:r>
        <w:t xml:space="preserve"> </w:t>
      </w:r>
      <w:r>
        <w:t>PVN-NAc</w:t>
      </w:r>
      <w:r>
        <w:t xml:space="preserve"> </w:t>
      </w:r>
      <w:r>
        <w:t>and OXT</w:t>
      </w:r>
      <w:r>
        <w:t xml:space="preserve"> </w:t>
      </w:r>
      <w:r>
        <w:t>PVN-CeA</w:t>
      </w:r>
      <w:r>
        <w:t xml:space="preserve"> </w:t>
      </w:r>
      <w:r>
        <w:t>neurons, whereas the lateral habenula (LHb) exclusively innervated OXT</w:t>
      </w:r>
      <w:r>
        <w:t xml:space="preserve"> </w:t>
      </w:r>
      <w:r>
        <w:t>PVN-CeA</w:t>
      </w:r>
      <w:r>
        <w:t xml:space="preserve"> </w:t>
      </w:r>
      <w:r>
        <w:t>neurons. LHA-innervated PVN OXT neurons respond to both social interaction and social defeat (SD). They promote the fight-back behavior during SD and decrease social avoidance after ASDS. In contrast, the LHb-PVN</w:t>
      </w:r>
      <w:r>
        <w:t xml:space="preserve"> </w:t>
      </w:r>
      <w:r>
        <w:t>OXT</w:t>
      </w:r>
      <w:r>
        <w:t xml:space="preserve"> </w:t>
      </w:r>
      <w:r>
        <w:t>-CeA circuit responded exclusively to SD promoting escape behavior during defeat and increasing the social avoidance after ASDS. Knocking down the OXT receptor (</w:t>
      </w:r>
      <w:r>
        <w:t xml:space="preserve"> </w:t>
      </w:r>
      <w:r>
        <w:t>Oxtr</w:t>
      </w:r>
      <w:r>
        <w:t xml:space="preserve"> </w:t>
      </w:r>
      <w:r>
        <w:t>) in the NAc decreases fight-back behavior, while knocking down</w:t>
      </w:r>
      <w:r>
        <w:t xml:space="preserve"> </w:t>
      </w:r>
      <w:r>
        <w:t>Oxtr</w:t>
      </w:r>
      <w:r>
        <w:t xml:space="preserve"> </w:t>
      </w:r>
      <w:r>
        <w:t>in the CeA decreases the escape behavior during defeat and immobility after defeat. These findings clarify that PVN OXT neurons embedded in different circuits promote distinct defensive behaviors in response to social threats and provide insights into the various effects of systematic OXT-based therapies for emotional and social disorders.</w:t>
      </w:r>
    </w:p>
    <w:p>
      <w:pPr>
        <w:spacing w:before="120" w:after="120"/>
      </w:pPr>
      <w:r>
        <w:rPr>
          <w:sz w:val="18"/>
        </w:rPr>
        <w:t>——————————————————————————————————————————————————————————————————————</w:t>
      </w:r>
    </w:p>
    <w:p>
      <w:pPr>
        <w:spacing w:before="160" w:after="40" w:line="240" w:lineRule="auto"/>
      </w:pPr>
      <w:r>
        <w:rPr>
          <w:b/>
        </w:rPr>
        <w:t xml:space="preserve">[335] </w:t>
      </w:r>
      <w:hyperlink r:id="rId874">
        <w:r>
          <w:rPr>
            <w:color w:val="1155CC"/>
            <w:u w:val="single"/>
          </w:rPr>
          <w:t>真核生物基因组的光足迹</w:t>
        </w:r>
      </w:hyperlink>
    </w:p>
    <w:p>
      <w:pPr>
        <w:spacing w:before="0" w:after="80"/>
      </w:pPr>
      <w:r>
        <w:rPr>
          <w:i/>
          <w:sz w:val="20"/>
        </w:rPr>
        <w:t>EN: Light-based footprinting of a eukaryotic genome</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75">
        <w:r>
          <w:rPr>
            <w:color w:val="1155CC"/>
            <w:u w:val="single"/>
          </w:rPr>
          <w:t>10.1126/sciadv.aec0059</w:t>
        </w:r>
      </w:hyperlink>
    </w:p>
    <w:p>
      <w:pPr>
        <w:spacing w:before="0" w:after="120"/>
      </w:pPr>
      <w:r>
        <w:rPr>
          <w:b/>
        </w:rPr>
        <w:t xml:space="preserve">Notes: </w:t>
      </w:r>
      <w:r>
        <w:t>abstract_source=crossref</w:t>
      </w:r>
    </w:p>
    <w:p>
      <w:pPr>
        <w:spacing w:before="0" w:after="80" w:lineRule="auto" w:line="276"/>
      </w:pPr>
      <w:r>
        <w:rPr>
          <w:b/>
        </w:rPr>
        <w:t xml:space="preserve">摘要（ZH）: </w:t>
      </w:r>
      <w:r>
        <w:t>识别蛋白质结合的 DNA 位点是了解基因组功能和调控的关键，但研究活的、未受干扰的细胞中蛋白质-DNA 相互作用仍然具有挑战性。紫外足迹法已被用来通过检测蛋白质结合位点 DNA 光产物形成的变化来研究体内的这种相互作用，但仅限于有限的规模。在这里，我们描述了全基因组脱氨测序（Deam-seq），其中紫外线照射诱导的光产物（嘧啶二聚体）被揭示为突变，从而能够生成酵母的定量光足迹</w:t>
      </w:r>
      <w:r>
        <w:t xml:space="preserve"> </w:t>
      </w:r>
      <w:r>
        <w:t>酿酒酵母</w:t>
      </w:r>
      <w:r>
        <w:t xml:space="preserve"> </w:t>
      </w:r>
      <w:r>
        <w:t>超深覆盖。通过比较细胞和裸露 DNA，我们发现这种方法可以以高分辨率解析蛋白质占据，而不偏向可访问区域。细胞/裸差异信号通常与预测的调控位点、ChIP 峰和 DNase I 保护足迹一致，并支持酵母 DNA 结合蛋白通常对紫外线损伤表现出保护作用。我们的结果为使用光和测序在基因组规模的天然细胞环境中研究蛋白质-DNA 相互作用提供了概念证明。</w:t>
      </w:r>
    </w:p>
    <w:p>
      <w:pPr>
        <w:spacing w:before="0" w:after="200" w:lineRule="auto" w:line="276"/>
      </w:pPr>
      <w:r>
        <w:rPr>
          <w:b/>
        </w:rPr>
        <w:t xml:space="preserve">Abstract (EN): </w:t>
      </w:r>
      <w:r>
        <w:t>Identification of protein-bound DNA sites is key to understanding genome function and regulation, but studying protein-DNA interactions in living, unperturbed cells remains challenging. UV footprinting has been used to study such interactions in vivo by detecting changes in DNA photoproduct formation at protein-bound sites, but only on a limited scale. Here, we describe whole-genome deamination sequencing (Deam-seq), wherein photoproducts (pyrimidine dimers) induced by UV irradiation are revealed as mutations, enabling generation of quantitative photofootprints of the yeast</w:t>
      </w:r>
      <w:r>
        <w:t xml:space="preserve"> </w:t>
      </w:r>
      <w:r>
        <w:t>Saccharomyces cerevisiae</w:t>
      </w:r>
      <w:r>
        <w:t xml:space="preserve"> </w:t>
      </w:r>
      <w:r>
        <w:t>at ultradeep coverage. By comparing cellular and naked DNA, we find that this approach can resolve protein occupancy at high resolution without preference toward accessible regions. Cell/naked differential signals commonly aligned with predicted regulatory sites, ChIP peaks and DNase I protection footprints, and supported that yeast DNA binding proteins typically exhibit protective effects on UV damage. Our results provide proof of concept for using light and sequencing to study protein-DNA interactions in their native cellular context at genome scale.</w:t>
      </w:r>
    </w:p>
    <w:p>
      <w:pPr>
        <w:spacing w:before="120" w:after="120"/>
      </w:pPr>
      <w:r>
        <w:rPr>
          <w:sz w:val="18"/>
        </w:rPr>
        <w:t>——————————————————————————————————————————————————————————————————————</w:t>
      </w:r>
    </w:p>
    <w:p>
      <w:pPr>
        <w:spacing w:before="160" w:after="40" w:line="240" w:lineRule="auto"/>
      </w:pPr>
      <w:r>
        <w:rPr>
          <w:b/>
        </w:rPr>
        <w:t xml:space="preserve">[336] </w:t>
      </w:r>
      <w:hyperlink r:id="rId876">
        <w:r>
          <w:rPr>
            <w:color w:val="1155CC"/>
            <w:u w:val="single"/>
          </w:rPr>
          <w:t>是什么引发了距主震数千公里之外的地震活动？</w:t>
        </w:r>
      </w:hyperlink>
    </w:p>
    <w:p>
      <w:pPr>
        <w:spacing w:before="0" w:after="80"/>
      </w:pPr>
      <w:r>
        <w:rPr>
          <w:i/>
          <w:sz w:val="20"/>
        </w:rPr>
        <w:t>EN: What triggers seismicity thousands of kilometers away from a mainshock?</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77">
        <w:r>
          <w:rPr>
            <w:color w:val="1155CC"/>
            <w:u w:val="single"/>
          </w:rPr>
          <w:t>10.1126/sciadv.aec4754</w:t>
        </w:r>
      </w:hyperlink>
    </w:p>
    <w:p>
      <w:pPr>
        <w:spacing w:before="0" w:after="120"/>
      </w:pPr>
      <w:r>
        <w:rPr>
          <w:b/>
        </w:rPr>
        <w:t xml:space="preserve">Notes: </w:t>
      </w:r>
      <w:r>
        <w:t>abstract_source=crossref</w:t>
      </w:r>
    </w:p>
    <w:p>
      <w:pPr>
        <w:spacing w:before="0" w:after="80" w:lineRule="auto" w:line="276"/>
      </w:pPr>
      <w:r>
        <w:rPr>
          <w:b/>
        </w:rPr>
        <w:t xml:space="preserve">摘要（ZH）: </w:t>
      </w:r>
      <w:r>
        <w:t>远程引发的地震已成为推进地震灾害预报的一个引人注目但令人困惑的现象。在这里，我们提出了一个统一的机制来解释它们的神秘行为，即断层泥中的孔隙压力动力学。使用植根于临界状态土壤力学的边界表面模型，我们将凿岩变形嵌入到计算框架中，该框架可跟踪远震波扰动下的应力演化。我们的模拟表明，动态载荷驱动孔隙压力的增加比施加的应力幅度大几倍，从而显着削弱断层并在最小扰动下发生故障。此外，我们还表明，波的压缩分量对孔隙压力的放大作用远大于剪切分量，这解释了瑞利波比拉夫波具有更强的触发能力。鉴于低渗透泥岩中孔隙压力消散缓慢，弱化持续时间远远超出瞬态强迫，从而促进波通过后地震活动的升高。总之，这些结果将断层泥孔隙压力动力学确立为远程地震触发的基本机制。</w:t>
      </w:r>
    </w:p>
    <w:p>
      <w:pPr>
        <w:spacing w:before="0" w:after="200" w:lineRule="auto" w:line="276"/>
      </w:pPr>
      <w:r>
        <w:rPr>
          <w:b/>
        </w:rPr>
        <w:t xml:space="preserve">Abstract (EN): </w:t>
      </w:r>
      <w:r>
        <w:t>Remotely triggered earthquakes have emerged as a compelling yet puzzling phenomenon for advancing seismic-hazard forecasting. Here, we propose a unifying mechanism to explain their enigmatic behaviors, that is, the pore-pressure dynamics in fault gouge. Using a bounding surface model rooted in critical-state soil mechanics, we embed gouge deformation into a computational framework that tracks stress evolution under the perturbation of teleseismic waves. Our simulations reveal that dynamic loading drives pore-pressure increases several times larger than the applied stress amplitude, thus markedly weakening the fault and enabling failure under minimal perturbations. Also, we show that compressional components of the waves amplify pore pressure far more than shear components, explaining the superior triggering capacity of Rayleigh waves over Love waves. Given that pore pressure dissipates slowly in low-permeability gouge, weakening persists well beyond the transient forcing, promoting elevated seismicity after wave passage. Together, these results establish fault-gouge pore-pressure dynamics as a fundamental mechanism for remote earthquake triggering.</w:t>
      </w:r>
    </w:p>
    <w:p>
      <w:pPr>
        <w:spacing w:before="120" w:after="120"/>
      </w:pPr>
      <w:r>
        <w:rPr>
          <w:sz w:val="18"/>
        </w:rPr>
        <w:t>——————————————————————————————————————————————————————————————————————</w:t>
      </w:r>
    </w:p>
    <w:p>
      <w:pPr>
        <w:spacing w:before="160" w:after="40" w:line="240" w:lineRule="auto"/>
      </w:pPr>
      <w:r>
        <w:rPr>
          <w:b/>
        </w:rPr>
        <w:t xml:space="preserve">[337] </w:t>
      </w:r>
      <w:hyperlink r:id="rId878">
        <w:r>
          <w:rPr>
            <w:color w:val="1155CC"/>
            <w:u w:val="single"/>
          </w:rPr>
          <w:t>常见的人类 ALDH1B1 和 ALDH2 变体会增加小鼠对单剂量乙醇的神经炎症反应</w:t>
        </w:r>
      </w:hyperlink>
    </w:p>
    <w:p>
      <w:pPr>
        <w:spacing w:before="0" w:after="80"/>
      </w:pPr>
      <w:r>
        <w:rPr>
          <w:i/>
          <w:sz w:val="20"/>
        </w:rPr>
        <w:t>EN: Common human ALDH1B1 and ALDH2 variants increase neuroinflammatory response to a single ethanol dose in mice</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79">
        <w:r>
          <w:rPr>
            <w:color w:val="1155CC"/>
            <w:u w:val="single"/>
          </w:rPr>
          <w:t>10.1126/sciadv.aec6309</w:t>
        </w:r>
      </w:hyperlink>
    </w:p>
    <w:p>
      <w:pPr>
        <w:spacing w:before="0" w:after="120"/>
      </w:pPr>
      <w:r>
        <w:rPr>
          <w:b/>
        </w:rPr>
        <w:t xml:space="preserve">Notes: </w:t>
      </w:r>
      <w:r>
        <w:t>abstract_source=crossref</w:t>
      </w:r>
    </w:p>
    <w:p>
      <w:pPr>
        <w:spacing w:before="0" w:after="80" w:lineRule="auto" w:line="276"/>
      </w:pPr>
      <w:r>
        <w:rPr>
          <w:b/>
        </w:rPr>
        <w:t xml:space="preserve">摘要（ZH）: </w:t>
      </w:r>
      <w:r>
        <w:t>与乙醛脱氢酶 2 (ALDH2) 活性低下变体的影响有据可查的不同，ALDH1B1 活性低下的影响尚未阐明。使用全球人类基因组聚合数据库，我们鉴定了 38 个 ALDH1B1 变体，这些变体在不同的人类遗传祖先群体中很常见（&gt;0.1% 等位基因频率）。一些错义 ALDH1B1 人类变体的活性和稳定性明显较差，并且三个变体由于早期终止密码子而导致功能完全丧失 (LoF)。由于这些失活变体在人类中很常见，因此我们研究了携带 ALDH1B1 LoF 和 ALDH2 失活变体对小鼠的影响。携带 ALDH1B1 的双敲入 (DKI) 小鼠</w:t>
      </w:r>
      <w:r>
        <w:t xml:space="preserve"> </w:t>
      </w:r>
      <w:r>
        <w:t>G193fs</w:t>
      </w:r>
      <w:r>
        <w:t xml:space="preserve"> </w:t>
      </w:r>
      <w:r>
        <w:t>和 ALDH2*2</w:t>
      </w:r>
      <w:r>
        <w:t xml:space="preserve"> </w:t>
      </w:r>
      <w:r>
        <w:t>E504K</w:t>
      </w:r>
      <w:r>
        <w:t xml:space="preserve"> </w:t>
      </w:r>
      <w:r>
        <w:t>表现出升高的神经损伤标志物。与 WT 或单一突变小鼠相比，单次乙醇灌胃（2 克/千克）后，DKI 小鼠表现出中毒加剧和神经损伤标志物水平显着升高，包括淀粉样蛋白-β 和 ptau217 升高。我们的研究强调了常见的线粒体 ALDH 酶活性低下对人类健康的潜在影响，尤其是对于饮酒的人。</w:t>
      </w:r>
    </w:p>
    <w:p>
      <w:pPr>
        <w:spacing w:before="0" w:after="200" w:lineRule="auto" w:line="276"/>
      </w:pPr>
      <w:r>
        <w:rPr>
          <w:b/>
        </w:rPr>
        <w:t xml:space="preserve">Abstract (EN): </w:t>
      </w:r>
      <w:r>
        <w:t>Unlike the well-documented effects of aldehyde dehydrogenase 2 (ALDH2) hypoactive variants, the impact of hypoactive ALDH1B1 has yet to be elucidated. Using the Global Human Genome Aggregation Database, we identified 38 ALDH1B1 variants, common (&amp;gt;0.1% allele frequency) to different human genetic ancestral groups. Some missense ALDH1B1 human variants are notably less active and less stable, and three variants represent a complete loss of function (LoF) due to early stop codon. Since these inactive variants are common among humans, we studied the impact of carrying both ALDH1B1 LoF and ALDH2 inactive variant in mice. Double knock-in (DKI) mice carrying ALDH1B1</w:t>
      </w:r>
      <w:r>
        <w:t xml:space="preserve"> </w:t>
      </w:r>
      <w:r>
        <w:t>G193fs</w:t>
      </w:r>
      <w:r>
        <w:t xml:space="preserve"> </w:t>
      </w:r>
      <w:r>
        <w:t>and ALDH2*2</w:t>
      </w:r>
      <w:r>
        <w:t xml:space="preserve"> </w:t>
      </w:r>
      <w:r>
        <w:t>E504K</w:t>
      </w:r>
      <w:r>
        <w:t xml:space="preserve"> </w:t>
      </w:r>
      <w:r>
        <w:t>exhibited elevated neuroinjury markers. Following a single ethanol gavage (2 grams per kilogram), DKI mice showed exacerbated intoxication and significantly higher levels of neuroinjury markers, including elevated amyloid-β and ptau217 compared to WT or single-mutant mice. Our study highlights a potential impact of common hypoactive mitochondrial ALDH enzymes on human health, especially among those that consume alcohol.</w:t>
      </w:r>
    </w:p>
    <w:p>
      <w:pPr>
        <w:spacing w:before="120" w:after="120"/>
      </w:pPr>
      <w:r>
        <w:rPr>
          <w:sz w:val="18"/>
        </w:rPr>
        <w:t>——————————————————————————————————————————————————————————————————————</w:t>
      </w:r>
    </w:p>
    <w:p>
      <w:pPr>
        <w:spacing w:before="160" w:after="40" w:line="240" w:lineRule="auto"/>
      </w:pPr>
      <w:r>
        <w:rPr>
          <w:b/>
        </w:rPr>
        <w:t xml:space="preserve">[338] </w:t>
      </w:r>
      <w:hyperlink r:id="rId880">
        <w:r>
          <w:rPr>
            <w:color w:val="1155CC"/>
            <w:u w:val="single"/>
          </w:rPr>
          <w:t>人工智能驱动的三重分类，用于优化抑郁症管理中的可穿戴生物电子学</w:t>
        </w:r>
      </w:hyperlink>
    </w:p>
    <w:p>
      <w:pPr>
        <w:spacing w:before="0" w:after="80"/>
      </w:pPr>
      <w:r>
        <w:rPr>
          <w:i/>
          <w:sz w:val="20"/>
        </w:rPr>
        <w:t>EN: AI-driven tripartite classification for optimizing wearable bioelectronics in depression management</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81">
        <w:r>
          <w:rPr>
            <w:color w:val="1155CC"/>
            <w:u w:val="single"/>
          </w:rPr>
          <w:t>10.1126/sciadv.aec9837</w:t>
        </w:r>
      </w:hyperlink>
    </w:p>
    <w:p>
      <w:pPr>
        <w:spacing w:before="0" w:after="120"/>
      </w:pPr>
      <w:r>
        <w:rPr>
          <w:b/>
        </w:rPr>
        <w:t xml:space="preserve">Notes: </w:t>
      </w:r>
      <w:r>
        <w:t>abstract_source=crossref</w:t>
      </w:r>
    </w:p>
    <w:p>
      <w:pPr>
        <w:spacing w:before="0" w:after="80" w:lineRule="auto" w:line="276"/>
      </w:pPr>
      <w:r>
        <w:rPr>
          <w:b/>
        </w:rPr>
        <w:t xml:space="preserve">摘要（ZH）: </w:t>
      </w:r>
      <w:r>
        <w:t>目前的疾病传感设备主要侧重于区分健康和患病状态，对于诊断有效，但在指导预防的最佳干预时机方面有限。我们开发了一个三方框架来识别抑郁症的病前状态，即不可逆发作之前的可逆阶段。利用复杂系统理论，我们分析了生物系统接近关键转变时出现的预警信号。对九种多模式生物标志物（涵盖电生理学、行为学和生物学）的连续监测，可以通过定量定义关键点将其分类为正常、疾病前和疾病状态。人工智能代理使用多模态数据对疾病状态进行分类，准确率高达 95.2%，并由超软神经探针实现稳定、低损伤的记录。使用集成软三维电极的可附着于皮肤的无线迷走神经刺激器进行的治疗验证表明，在疾病前期状态下具有卓越的功效。在疾病前期接受治疗的受试者表现出更快的恢复和更好的治疗反应，而在疾病发作后接受治疗的受试者未能实现完全康复。该框架为早期干预提供了基于证据的基本原理。</w:t>
      </w:r>
    </w:p>
    <w:p>
      <w:pPr>
        <w:spacing w:before="0" w:after="200" w:lineRule="auto" w:line="276"/>
      </w:pPr>
      <w:r>
        <w:rPr>
          <w:b/>
        </w:rPr>
        <w:t xml:space="preserve">Abstract (EN): </w:t>
      </w:r>
      <w:r>
        <w:t>Current disease-sensing devices primarily focus on distinguishing between healthy and diseased states, effective for diagnosis but limited in guiding optimal intervention timing for prevention. We developed a tripartite framework identifying pre-disease state in depression, a reversible phase preceding irreversible onset. Using complex systems theory, we analyzed early-warning signals emerging as biological systems approach critical transitions. Continuous monitoring of nine multimodal biomarkers—spanning electrophysiological, behavioral, and biological—enabled classification into normal, pre-disease, and disease states by quantitatively defining critical points. An artificial intelligence agent classified disease states with 95.2% accuracy using multimodal data, enabled by ultrasoft neural probes for stable, low-damage recordings. Therapeutic validation with a skin-attachable wireless vagus nerve stimulator integrating soft three-dimensional electrodes demonstrated superior efficacy during pre-disease states. Subjects treated during pre-disease showed faster recovery and greater therapeutic responses, while those treated after disease onset failed to achieve full recovery. This framework provides evidence-based rationale for early intervention.</w:t>
      </w:r>
    </w:p>
    <w:p>
      <w:pPr>
        <w:spacing w:before="120" w:after="120"/>
      </w:pPr>
      <w:r>
        <w:rPr>
          <w:sz w:val="18"/>
        </w:rPr>
        <w:t>——————————————————————————————————————————————————————————————————————</w:t>
      </w:r>
    </w:p>
    <w:p>
      <w:pPr>
        <w:spacing w:before="160" w:after="40" w:line="240" w:lineRule="auto"/>
      </w:pPr>
      <w:r>
        <w:rPr>
          <w:b/>
        </w:rPr>
        <w:t xml:space="preserve">[339] </w:t>
      </w:r>
      <w:hyperlink r:id="rId882">
        <w:r>
          <w:rPr>
            <w:color w:val="1155CC"/>
            <w:u w:val="single"/>
          </w:rPr>
          <w:t>NETosis 诱导过程中的动态中性粒细胞脂质组重塑</w:t>
        </w:r>
      </w:hyperlink>
    </w:p>
    <w:p>
      <w:pPr>
        <w:spacing w:before="0" w:after="80"/>
      </w:pPr>
      <w:r>
        <w:rPr>
          <w:i/>
          <w:sz w:val="20"/>
        </w:rPr>
        <w:t>EN: Dynamic neutrophil lipidome remodeling during induction of NETosis</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83">
        <w:r>
          <w:rPr>
            <w:color w:val="1155CC"/>
            <w:u w:val="single"/>
          </w:rPr>
          <w:t>10.1126/sciadv.aec9891</w:t>
        </w:r>
      </w:hyperlink>
    </w:p>
    <w:p>
      <w:pPr>
        <w:spacing w:before="0" w:after="120"/>
      </w:pPr>
      <w:r>
        <w:rPr>
          <w:b/>
        </w:rPr>
        <w:t xml:space="preserve">Notes: </w:t>
      </w:r>
      <w:r>
        <w:t>abstract_source=crossref</w:t>
      </w:r>
    </w:p>
    <w:p>
      <w:pPr>
        <w:spacing w:before="0" w:after="80" w:lineRule="auto" w:line="276"/>
      </w:pPr>
      <w:r>
        <w:rPr>
          <w:b/>
        </w:rPr>
        <w:t xml:space="preserve">摘要（ZH）: </w:t>
      </w:r>
      <w:r>
        <w:t>中性粒细胞胞外陷阱形成（NETosis）影响多种临床相关的人类疾病。 Although lipid remodeling is essential for neutrophil function and membrane rupture during NETosis, the neutrophil lipidome and its dynamics have not been characterized. Thus, we establish a quantitative lipidome of human neutrophils comprising 1048 species across nine orders of magnitude and map its remodeling during NETosis. NET formation caused profound alterations in the phosphatidylinositol, phosphatidic acid, diacylglycerol (DG), and lyso-glycerophospholipid levels. Calcium- and reactive oxygen species–dependent NETosis pathways displayed distinct lipidomic trajectories yet converged on the significance of phospholipid lipase networks.该网络的药理抑制改变了脂质成分并显着损害了 NETosis，而 DG 治疗则消除了这种效果。 Together, our findings reveal lipid remodeling as a fundamental determinant of NETosis and identify interconnected and dependent phospholipid lipase networks with downstream DG-dependent signaling as a potential therapeutic target in NET-associated diseases.</w:t>
      </w:r>
    </w:p>
    <w:p>
      <w:pPr>
        <w:spacing w:before="0" w:after="200" w:lineRule="auto" w:line="276"/>
      </w:pPr>
      <w:r>
        <w:rPr>
          <w:b/>
        </w:rPr>
        <w:t xml:space="preserve">Abstract (EN): </w:t>
      </w:r>
      <w:r>
        <w:t>Neutrophil extracellular trap formation (NETosis) affects a wide variety of clinically relevant human diseases. Although lipid remodeling is essential for neutrophil function and membrane rupture during NETosis, the neutrophil lipidome and its dynamics have not been characterized. Thus, we establish a quantitative lipidome of human neutrophils comprising 1048 species across nine orders of magnitude and map its remodeling during NETosis. NET formation caused profound alterations in the phosphatidylinositol, phosphatidic acid, diacylglycerol (DG), and lyso-glycerophospholipid levels. Calcium- and reactive oxygen species–dependent NETosis pathways displayed distinct lipidomic trajectories yet converged on the significance of phospholipid lipase networks. Pharmacological inhibition of this networks altered lipid composition and markedly impaired NETosis, while DG treatment revoked the effect. Together, our findings reveal lipid remodeling as a fundamental determinant of NETosis and identify interconnected and dependent phospholipid lipase networks with downstream DG-dependent signaling as a potential therapeutic target in NET-associated diseases.</w:t>
      </w:r>
    </w:p>
    <w:p>
      <w:pPr>
        <w:spacing w:before="120" w:after="120"/>
      </w:pPr>
      <w:r>
        <w:rPr>
          <w:sz w:val="18"/>
        </w:rPr>
        <w:t>——————————————————————————————————————————————————————————————————————</w:t>
      </w:r>
    </w:p>
    <w:p>
      <w:pPr>
        <w:spacing w:before="160" w:after="40" w:line="240" w:lineRule="auto"/>
      </w:pPr>
      <w:r>
        <w:rPr>
          <w:b/>
        </w:rPr>
        <w:t xml:space="preserve">[340] </w:t>
      </w:r>
      <w:hyperlink r:id="rId884">
        <w:r>
          <w:rPr>
            <w:color w:val="1155CC"/>
            <w:u w:val="single"/>
          </w:rPr>
          <w:t>FOLR1 靶向锕 225 α 粒子疗法可消除卵巢癌</w:t>
        </w:r>
      </w:hyperlink>
    </w:p>
    <w:p>
      <w:pPr>
        <w:spacing w:before="0" w:after="80"/>
      </w:pPr>
      <w:r>
        <w:rPr>
          <w:i/>
          <w:sz w:val="20"/>
        </w:rPr>
        <w:t>EN: FOLR1-targeted actinium-225–based alpha-particle therapy eliminates ovarian cancer</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85">
        <w:r>
          <w:rPr>
            <w:color w:val="1155CC"/>
            <w:u w:val="single"/>
          </w:rPr>
          <w:t>10.1126/sciadv.aef0121</w:t>
        </w:r>
      </w:hyperlink>
    </w:p>
    <w:p>
      <w:pPr>
        <w:spacing w:before="0" w:after="120"/>
      </w:pPr>
      <w:r>
        <w:rPr>
          <w:b/>
        </w:rPr>
        <w:t xml:space="preserve">Notes: </w:t>
      </w:r>
      <w:r>
        <w:t>abstract_source=crossref</w:t>
      </w:r>
    </w:p>
    <w:p>
      <w:pPr>
        <w:spacing w:before="0" w:after="80" w:lineRule="auto" w:line="276"/>
      </w:pPr>
      <w:r>
        <w:rPr>
          <w:b/>
        </w:rPr>
        <w:t xml:space="preserve">摘要（ZH）: </w:t>
      </w:r>
      <w:r>
        <w:t>Despite the advancement in therapies, ovarian cancer treatment is challenging because of poor prognosis and high relapse associated with acquired resistance.新兴的目标 α 粒子，特别是锕 225（</w:t>
      </w:r>
      <w:r>
        <w:rPr>
          <w:vertAlign w:val="subscript"/>
        </w:rPr>
        <w:t>225</w:t>
      </w:r>
      <w:r>
        <w:t>Ac），用于治疗难治性癌症，为改善治疗选择开辟了途径。在这里，我们描述了叶酸受体 1 (FOLR1) 靶向的成功示例</w:t>
      </w:r>
      <w:r>
        <w:rPr>
          <w:vertAlign w:val="subscript"/>
        </w:rPr>
        <w:t>225</w:t>
      </w:r>
      <w:r>
        <w:t>Ac α粒子疗法用于治疗卵巢癌。纵向正电子发射断层扫描成像显示 SKOV3 异种移植物中 αFOLR1（抗 FOLR1 抗体）的肿瘤特异性摄取较高。 FOLR1 靶向</w:t>
      </w:r>
      <w:r>
        <w:rPr>
          <w:vertAlign w:val="subscript"/>
        </w:rPr>
        <w:t>225</w:t>
      </w:r>
      <w:r>
        <w:t>Ac 表现出很高的治疗效果，实现了显着的肿瘤消退、80% 的存活率和 40% 的肿瘤完全消除。该疗法导致肿瘤特异性双链DNA损伤，在正常组织中未观察到明显的毒性。估计的人体剂量测定显示肿瘤吸收剂量较高，健康组织吸收剂量最小，证实了其安全性。总的来说，以 FOLR1 为目标</w:t>
      </w:r>
      <w:r>
        <w:rPr>
          <w:vertAlign w:val="subscript"/>
        </w:rPr>
        <w:t>225</w:t>
      </w:r>
      <w:r>
        <w:t>Ac α粒子疗法是一种有效且安全的治疗方法，具有很高的临床转化可行性以对抗卵巢癌。</w:t>
      </w:r>
    </w:p>
    <w:p>
      <w:pPr>
        <w:spacing w:before="0" w:after="200" w:lineRule="auto" w:line="276"/>
      </w:pPr>
      <w:r>
        <w:rPr>
          <w:b/>
        </w:rPr>
        <w:t xml:space="preserve">Abstract (EN): </w:t>
      </w:r>
      <w:r>
        <w:t>Despite the advancement in therapies, ovarian cancer treatment is challenging because of poor prognosis and high relapse associated with acquired resistance. Emerging targeted alpha particles, particularly actinium-225 (</w:t>
      </w:r>
      <w:r>
        <w:rPr>
          <w:vertAlign w:val="subscript"/>
        </w:rPr>
        <w:t>225</w:t>
      </w:r>
      <w:r>
        <w:t>Ac), for treating refractory cancers have opened avenues for improved therapeutic options. Here, we describe a successful example of folate receptor 1 (FOLR1)–targeted</w:t>
      </w:r>
      <w:r>
        <w:rPr>
          <w:vertAlign w:val="subscript"/>
        </w:rPr>
        <w:t>225</w:t>
      </w:r>
      <w:r>
        <w:t>Ac alpha-particle therapy for treatment of ovarian cancer. Longitudinal positron emission tomography imaging demonstrated high tumor-specific uptake of αFOLR1 (anti-FOLR1 antibody) in SKOV3 xenografts. FOLR1-targeted</w:t>
      </w:r>
      <w:r>
        <w:rPr>
          <w:vertAlign w:val="subscript"/>
        </w:rPr>
        <w:t>225</w:t>
      </w:r>
      <w:r>
        <w:t>Ac demonstrated high therapeutic efficacy, achieving marked tumor regression, 80% survival, and 40% complete tumor elimination. The therapy resulted in tumor-specific double-stranded DNA damage, and no obvious toxicity was observed in normal tissues. Estimated human dosimetry showed high absorbed dose for tumor and minimal absorbed dose for healthy tissues, establishing its safety. In totality, FOLR1-targeted</w:t>
      </w:r>
      <w:r>
        <w:rPr>
          <w:vertAlign w:val="subscript"/>
        </w:rPr>
        <w:t>225</w:t>
      </w:r>
      <w:r>
        <w:t>Ac alpha-particle therapy is an efficacious and safe treatment with high feasibility for clinical translation to fight against ovarian cancer.</w:t>
      </w:r>
    </w:p>
    <w:p>
      <w:pPr>
        <w:spacing w:before="120" w:after="120"/>
      </w:pPr>
      <w:r>
        <w:rPr>
          <w:sz w:val="18"/>
        </w:rPr>
        <w:t>——————————————————————————————————————————————————————————————————————</w:t>
      </w:r>
    </w:p>
    <w:p>
      <w:pPr>
        <w:spacing w:before="160" w:after="40" w:line="240" w:lineRule="auto"/>
      </w:pPr>
      <w:r>
        <w:rPr>
          <w:b/>
        </w:rPr>
        <w:t xml:space="preserve">[341] </w:t>
      </w:r>
      <w:hyperlink r:id="rId886">
        <w:r>
          <w:rPr>
            <w:color w:val="1155CC"/>
            <w:u w:val="single"/>
          </w:rPr>
          <w:t>群体的智慧体现在成千上万只候鸟的迁徙中</w:t>
        </w:r>
      </w:hyperlink>
    </w:p>
    <w:p>
      <w:pPr>
        <w:spacing w:before="0" w:after="80"/>
      </w:pPr>
      <w:r>
        <w:rPr>
          <w:i/>
          <w:sz w:val="20"/>
        </w:rPr>
        <w:t>EN: The wisdom of crowds emerges in flocks of thousands of migrating songbirds</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87">
        <w:r>
          <w:rPr>
            <w:color w:val="1155CC"/>
            <w:u w:val="single"/>
          </w:rPr>
          <w:t>10.1126/sciadv.aef3512</w:t>
        </w:r>
      </w:hyperlink>
    </w:p>
    <w:p>
      <w:pPr>
        <w:spacing w:before="0" w:after="120"/>
      </w:pPr>
      <w:r>
        <w:rPr>
          <w:b/>
        </w:rPr>
        <w:t xml:space="preserve">Notes: </w:t>
      </w:r>
      <w:r>
        <w:t>abstract_source=crossref</w:t>
      </w:r>
    </w:p>
    <w:p>
      <w:pPr>
        <w:spacing w:before="0" w:after="80" w:lineRule="auto" w:line="276"/>
      </w:pPr>
      <w:r>
        <w:rPr>
          <w:b/>
        </w:rPr>
        <w:t xml:space="preserve">摘要（ZH）: </w:t>
      </w:r>
      <w:r>
        <w:t>虽然在受控实验条件下已经证明了较大群体的决策能力增强，即群体的智慧，但观察大规模野生群体的困难性限制了来自自然系统的证据的可用性。为了应对这一挑战，我们分析了从北美五大湖 23 年的天气雷达数据中提取的数千只野生鸣禽的迁徙轨迹。我们证明了群体智慧的出现：较大的群体比较小的群体更能准确地确定其种群的迁徙方向。这很可能是通过多次错误效应而出现的，个体错误在整个鸡群中被平均。此外，鸡群规模随着时间的推移而下降，这一趋势可能会削弱航行性能，并在人为种群碎片化过程中产生重要的生态影响。总之，这些发现揭示了群体智慧如何在自然系统中出现，并强调了其在塑造社会动物的运动和生态恢复力方面的作用。</w:t>
      </w:r>
    </w:p>
    <w:p>
      <w:pPr>
        <w:spacing w:before="0" w:after="200" w:lineRule="auto" w:line="276"/>
      </w:pPr>
      <w:r>
        <w:rPr>
          <w:b/>
        </w:rPr>
        <w:t xml:space="preserve">Abstract (EN): </w:t>
      </w:r>
      <w:r>
        <w:t>While enhanced decision-making in larger groups, known as the wisdom of crowds, has been demonstrated in controlled experimental conditions, the intractability of observing large-scale wild groups has limited the availability of evidence from natural systems. Addressing this challenge, we analyze migratory trajectories of flocks of thousands of wild songbirds extracted from 23 years of weather radar data across the Great Lakes of North America. We show that the wisdom of crowds emerged: Larger flocks oriented more accurately toward their population’s migratory direction than smaller flocks. This likely emerged through the many-wrongs effect, with individual errors averaged out across flocks. Furthermore, flock size declined over time, a trend that may erode navigational performance and carry important ecological implications amid anthropogenic population fragmentation. Together, these findings reveal how the wisdom of crowds emerges in natural systems and underscore its role in shaping movement and ecological resilience in social animals.</w:t>
      </w:r>
    </w:p>
    <w:p>
      <w:pPr>
        <w:spacing w:before="120" w:after="120"/>
      </w:pPr>
      <w:r>
        <w:rPr>
          <w:sz w:val="18"/>
        </w:rPr>
        <w:t>——————————————————————————————————————————————————————————————————————</w:t>
      </w:r>
    </w:p>
    <w:p>
      <w:pPr>
        <w:spacing w:before="160" w:after="40" w:line="240" w:lineRule="auto"/>
      </w:pPr>
      <w:r>
        <w:rPr>
          <w:b/>
        </w:rPr>
        <w:t xml:space="preserve">[342] </w:t>
      </w:r>
      <w:hyperlink r:id="rId888">
        <w:r>
          <w:rPr>
            <w:color w:val="1155CC"/>
            <w:u w:val="single"/>
          </w:rPr>
          <w:t>GPAM 通过脂质重塑介导线粒体功能障碍和酒精性肝病的进展</w:t>
        </w:r>
      </w:hyperlink>
    </w:p>
    <w:p>
      <w:pPr>
        <w:spacing w:before="0" w:after="80"/>
      </w:pPr>
      <w:r>
        <w:rPr>
          <w:i/>
          <w:sz w:val="20"/>
        </w:rPr>
        <w:t>EN: GPAM mediates mitochondrial dysfunction and the progression of alcoholic liver disease through lipid remodeling</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89">
        <w:r>
          <w:rPr>
            <w:color w:val="1155CC"/>
            <w:u w:val="single"/>
          </w:rPr>
          <w:t>10.1126/sciadv.aef1896</w:t>
        </w:r>
      </w:hyperlink>
    </w:p>
    <w:p>
      <w:pPr>
        <w:spacing w:before="0" w:after="120"/>
      </w:pPr>
      <w:r>
        <w:rPr>
          <w:b/>
        </w:rPr>
        <w:t xml:space="preserve">Notes: </w:t>
      </w:r>
      <w:r>
        <w:t>abstract_source=crossref</w:t>
      </w:r>
    </w:p>
    <w:p>
      <w:pPr>
        <w:spacing w:before="0" w:after="80" w:lineRule="auto" w:line="276"/>
      </w:pPr>
      <w:r>
        <w:rPr>
          <w:b/>
        </w:rPr>
        <w:t xml:space="preserve">摘要（ZH）: </w:t>
      </w:r>
      <w:r>
        <w:t>脂质代谢紊乱和线粒体功能障碍是导致酒精性肝病（ALD）进展的关键和核心病理过程。然而，脂质代谢紊乱对 ALD 患者线粒体功能障碍的影响仍不清楚。在这里，我们证明甘油-3-磷酸酰基转移酶 (GPAM) 表达在 ALD 患者中下调，并与 ALD 进展相关。 GPAM（一种甘油三酯合成酶）的失调通过增加神经酰胺和溶血磷脂酰胆碱等有毒脂质的水平并降低心磷脂等线粒体结构脂质的水平来重塑脂质代谢。这些变化导致线粒体动力学异常、线粒体自噬受损和线粒体呼吸功能障碍，从而诱导 cGAS-STING 通路激活。这种激活导致炎症浸润的积累，引发小鼠体内的 ALD 过程。然而，GPAM 在体内、体外以及肝类器官中的重新表达减轻了 ALD 的发展。本研究旨在确定 GPAM 是否是一种潜在的治疗药物，并评估 ALD 患者脂质代谢紊乱与线粒体功能障碍之间的密切关系。</w:t>
      </w:r>
    </w:p>
    <w:p>
      <w:pPr>
        <w:spacing w:before="0" w:after="200" w:lineRule="auto" w:line="276"/>
      </w:pPr>
      <w:r>
        <w:rPr>
          <w:b/>
        </w:rPr>
        <w:t xml:space="preserve">Abstract (EN): </w:t>
      </w:r>
      <w:r>
        <w:t>Lipid metabolic disorders and mitochondrial dysfunction are key and core pathological processes that contribute to the progression of alcoholic liver disease (ALD). However, the effects of lipid metabolism disorders on mitochondrial dysfunction in patients with ALD remain unknown. Here, we demonstrated that glycerol-3-phosphateacyltransferase (GPAM) expression was down-regulated in patients with ALD and associated with ALD progression. Dysregulation of GPAM, a triglyceride synthetase, reshaped lipid metabolism by increasing the levels of toxic lipids such as ceramide and lysophosphatidylcholine and reducing the levels of mitochondrial structural lipids such as cardiolipin. These changes resulted in abnormal mitochondrial dynamics, impaired mitophagy, and dysfunctional mitochondrial respiration, which induced activation of the cGAS-STING pathway. This activation resulted in the accumulation of inflammatory infiltrates, triggering the ALD process in mice. However, the reexpression of GPAM in vivo and in vitro and in hepatic organoids alleviated the development of ALD. This study aimed to determine whether GPAM is a potential therapeutic agent and assess the close relationship between lipid metabolism disorders and mitochondrial dysfunction in patients with ALD.</w:t>
      </w:r>
    </w:p>
    <w:p>
      <w:pPr>
        <w:spacing w:before="120" w:after="120"/>
      </w:pPr>
      <w:r>
        <w:rPr>
          <w:sz w:val="18"/>
        </w:rPr>
        <w:t>——————————————————————————————————————————————————————————————————————</w:t>
      </w:r>
    </w:p>
    <w:p>
      <w:pPr>
        <w:spacing w:before="160" w:after="40" w:line="240" w:lineRule="auto"/>
      </w:pPr>
      <w:r>
        <w:rPr>
          <w:b/>
        </w:rPr>
        <w:t xml:space="preserve">[343] </w:t>
      </w:r>
      <w:hyperlink r:id="rId890">
        <w:r>
          <w:rPr>
            <w:color w:val="1155CC"/>
            <w:u w:val="single"/>
          </w:rPr>
          <w:t>经过智能隐形眼镜训练的数字孪生，可实现无设备的个性化尿酸预测</w:t>
        </w:r>
      </w:hyperlink>
    </w:p>
    <w:p>
      <w:pPr>
        <w:spacing w:before="0" w:after="80"/>
      </w:pPr>
      <w:r>
        <w:rPr>
          <w:i/>
          <w:sz w:val="20"/>
        </w:rPr>
        <w:t>EN: Smart contact lens–trained digital twin for device-free personalized uric acid prediction</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91">
        <w:r>
          <w:rPr>
            <w:color w:val="1155CC"/>
            <w:u w:val="single"/>
          </w:rPr>
          <w:t>10.1126/sciadv.aee8506</w:t>
        </w:r>
      </w:hyperlink>
    </w:p>
    <w:p>
      <w:pPr>
        <w:spacing w:before="0" w:after="120"/>
      </w:pPr>
      <w:r>
        <w:rPr>
          <w:b/>
        </w:rPr>
        <w:t xml:space="preserve">Notes: </w:t>
      </w:r>
      <w:r>
        <w:t>abstract_source=crossref</w:t>
      </w:r>
    </w:p>
    <w:p>
      <w:pPr>
        <w:spacing w:before="0" w:after="80" w:lineRule="auto" w:line="276"/>
      </w:pPr>
      <w:r>
        <w:rPr>
          <w:b/>
        </w:rPr>
        <w:t xml:space="preserve">摘要（ZH）: </w:t>
      </w:r>
      <w:r>
        <w:t>眼泪含有有价值的生物标志物，并为无创疾病监测提供了潜力。 However, the lack of correlation analysis between serum uric acid (SUA) and tear uric acid (TUA) has limited their clinical application in personalized medicine.在这里，我们推出了一种无线智能隐形眼镜，能够实时、无创地监测 TUA，作为基于血液的 UA 测试的替代方案。我们通过兔子和人类参与者（包括患有高尿酸血症和痛风的个体）的相关性分析来验证该设备。 Daily-life monitoring enabled personalized characterization of TUA fluctuations in response to food intake and physical activity, together with individualized lag time profiling.强大的线性关系允许开发回归模型，从 TUA 推导出估计的 SUA。 Building on these temporal profiles, lifestyle-informed digital twins were constructed to predict daily uric acid dynamics without continuous lens wear.这种支持数字孪生且无需设备的框架为实现低调且个性化的代谢健康监测提供了一条实用途径。</w:t>
      </w:r>
    </w:p>
    <w:p>
      <w:pPr>
        <w:spacing w:before="0" w:after="200" w:lineRule="auto" w:line="276"/>
      </w:pPr>
      <w:r>
        <w:rPr>
          <w:b/>
        </w:rPr>
        <w:t xml:space="preserve">Abstract (EN): </w:t>
      </w:r>
      <w:r>
        <w:t>Tears contain valuable biomarkers and offer potential for noninvasive disease monitoring. However, the lack of correlation analysis between serum uric acid (SUA) and tear uric acid (TUA) has limited their clinical application in personalized medicine. Here, we present a wireless smart contact lens capable of real-time, noninvasive monitoring of TUA as an alternative to blood-based UA testing. We validated the device through correlation analysis in rabbits and human participants, including individuals with hyperuricemia and gout. Daily-life monitoring enabled personalized characterization of TUA fluctuations in response to food intake and physical activity, together with individualized lag time profiling. A strong linear relationship allowed development of a regression model to derive estimated SUA from TUA. Building on these temporal profiles, lifestyle-informed digital twins were constructed to predict daily uric acid dynamics without continuous lens wear. This digital twin–enabled, device-free framework provides a practical route toward unobtrusive and personalized metabolic health monitoring.</w:t>
      </w:r>
    </w:p>
    <w:p>
      <w:pPr>
        <w:spacing w:before="120" w:after="120"/>
      </w:pPr>
      <w:r>
        <w:rPr>
          <w:sz w:val="18"/>
        </w:rPr>
        <w:t>——————————————————————————————————————————————————————————————————————</w:t>
      </w:r>
    </w:p>
    <w:p>
      <w:pPr>
        <w:spacing w:before="160" w:after="40" w:line="240" w:lineRule="auto"/>
      </w:pPr>
      <w:r>
        <w:rPr>
          <w:b/>
        </w:rPr>
        <w:t xml:space="preserve">[344] </w:t>
      </w:r>
      <w:hyperlink r:id="rId892">
        <w:r>
          <w:rPr>
            <w:color w:val="1155CC"/>
            <w:u w:val="single"/>
          </w:rPr>
          <w:t>一种无电池无线智能矫治器，用于慢性口腔疾病的空间分辨、闭环治疗诊断</w:t>
        </w:r>
      </w:hyperlink>
    </w:p>
    <w:p>
      <w:pPr>
        <w:spacing w:before="0" w:after="80"/>
      </w:pPr>
      <w:r>
        <w:rPr>
          <w:i/>
          <w:sz w:val="20"/>
        </w:rPr>
        <w:t>EN: A battery-free wireless intelligent aligner for spatially resolved, closed-loop theranostics of chronic oral diseases</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93">
        <w:r>
          <w:rPr>
            <w:color w:val="1155CC"/>
            <w:u w:val="single"/>
          </w:rPr>
          <w:t>10.1126/sciadv.aeg9950</w:t>
        </w:r>
      </w:hyperlink>
    </w:p>
    <w:p>
      <w:pPr>
        <w:spacing w:before="0" w:after="120"/>
      </w:pPr>
      <w:r>
        <w:rPr>
          <w:b/>
        </w:rPr>
        <w:t xml:space="preserve">Notes: </w:t>
      </w:r>
      <w:r>
        <w:t>abstract_source=crossref</w:t>
      </w:r>
    </w:p>
    <w:p>
      <w:pPr>
        <w:spacing w:before="0" w:after="80" w:lineRule="auto" w:line="276"/>
      </w:pPr>
      <w:r>
        <w:rPr>
          <w:b/>
        </w:rPr>
        <w:t xml:space="preserve">摘要（ZH）: </w:t>
      </w:r>
      <w:r>
        <w:t>智能可穿戴治疗诊断系统通过实现持续监测和主动治疗来推进个性化医疗保健。 However, managing chronic oral diseases such as caries and periodontitis is challenging due to the oral cavity’s complex, spatially heterogeneous microenvironments and limited space for powered intraoral electronics. To address this, we developed a wireless, battery-free, and wearable intelligent therapeutic aligner (WiB-ITA) that integrates a butterfly-inspired dual-sided flexible integrated theranostic electrode array (iTEA) to simultaneously monitor compartment-matched pH and nitrite and electrochemically gate on-demand antimicrobial release. The system is powered and commanded via a relay-assisted near-field communication (NFC)–Bluetooth low energy (BLE) dual-hop link, enabling stable battery-free operation across tooth positions and full-arch usability. Validated from in vitro to preliminary human studies, WiB-ITA establishes a scalable, compartment-matched intraoral closed-loop theranostic framework. This integrated theranostic platform represents a breakthrough in personalized oral health care and provides a paradigm for managing other chronic conditions.</w:t>
      </w:r>
    </w:p>
    <w:p>
      <w:pPr>
        <w:spacing w:before="0" w:after="200" w:lineRule="auto" w:line="276"/>
      </w:pPr>
      <w:r>
        <w:rPr>
          <w:b/>
        </w:rPr>
        <w:t xml:space="preserve">Abstract (EN): </w:t>
      </w:r>
      <w:r>
        <w:t>Intelligent wearable theranostic systems are advancing personalized health care by enabling continuous monitoring and proactive therapy. However, managing chronic oral diseases such as caries and periodontitis is challenging due to the oral cavity’s complex, spatially heterogeneous microenvironments and limited space for powered intraoral electronics. To address this, we developed a wireless, battery-free, and wearable intelligent therapeutic aligner (WiB-ITA) that integrates a butterfly-inspired dual-sided flexible integrated theranostic electrode array (iTEA) to simultaneously monitor compartment-matched pH and nitrite and electrochemically gate on-demand antimicrobial release. The system is powered and commanded via a relay-assisted near-field communication (NFC)–Bluetooth low energy (BLE) dual-hop link, enabling stable battery-free operation across tooth positions and full-arch usability. Validated from in vitro to preliminary human studies, WiB-ITA establishes a scalable, compartment-matched intraoral closed-loop theranostic framework. This integrated theranostic platform represents a breakthrough in personalized oral health care and provides a paradigm for managing other chronic conditions.</w:t>
      </w:r>
    </w:p>
    <w:p>
      <w:pPr>
        <w:spacing w:before="120" w:after="120"/>
      </w:pPr>
      <w:r>
        <w:rPr>
          <w:sz w:val="18"/>
        </w:rPr>
        <w:t>——————————————————————————————————————————————————————————————————————</w:t>
      </w:r>
    </w:p>
    <w:p>
      <w:pPr>
        <w:spacing w:before="160" w:after="40" w:line="240" w:lineRule="auto"/>
      </w:pPr>
      <w:r>
        <w:rPr>
          <w:b/>
        </w:rPr>
        <w:t xml:space="preserve">[345] </w:t>
      </w:r>
      <w:hyperlink r:id="rId894">
        <w:r>
          <w:rPr>
            <w:color w:val="1155CC"/>
            <w:u w:val="single"/>
          </w:rPr>
          <w:t>OsGLK1/2-DGP1/2/3反馈模块调节水稻光合作用和产量</w:t>
        </w:r>
      </w:hyperlink>
    </w:p>
    <w:p>
      <w:pPr>
        <w:spacing w:before="0" w:after="80"/>
      </w:pPr>
      <w:r>
        <w:rPr>
          <w:i/>
          <w:sz w:val="20"/>
        </w:rPr>
        <w:t>EN: An OsGLK1/2-DGP1/2/3 feedback module regulates rice photosynthesis and yield</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895">
        <w:r>
          <w:rPr>
            <w:color w:val="1155CC"/>
            <w:u w:val="single"/>
          </w:rPr>
          <w:t>10.1126/sciadv.aef5234</w:t>
        </w:r>
      </w:hyperlink>
    </w:p>
    <w:p>
      <w:pPr>
        <w:spacing w:before="0" w:after="120"/>
      </w:pPr>
      <w:r>
        <w:rPr>
          <w:b/>
        </w:rPr>
        <w:t xml:space="preserve">Notes: </w:t>
      </w:r>
      <w:r>
        <w:t>abstract_source=crossref</w:t>
      </w:r>
    </w:p>
    <w:p>
      <w:pPr>
        <w:spacing w:before="0" w:after="80" w:lineRule="auto" w:line="276"/>
      </w:pPr>
      <w:r>
        <w:rPr>
          <w:b/>
        </w:rPr>
        <w:t xml:space="preserve">摘要（ZH）: </w:t>
      </w:r>
      <w:r>
        <w:t>GOLDEN2-LIKE (GLK) 蛋白是植物光合作用的核心调节因子，其分子机制尚未完全阐明，特别是在水稻中。在这里，我们报道了一个以 GLK 为中心的分子模块，可调节水稻光合作用和产量。</w:t>
      </w:r>
      <w:r>
        <w:t xml:space="preserve"> </w:t>
      </w:r>
      <w:r>
        <w:t>奥斯格克1 奥斯格克2</w:t>
      </w:r>
      <w:r>
        <w:t xml:space="preserve"> </w:t>
      </w:r>
      <w:r>
        <w:t>double mutants are seedling lethal, and</w:t>
      </w:r>
      <w:r>
        <w:t xml:space="preserve"> </w:t>
      </w:r>
      <w:r>
        <w:t>奥斯格克2</w:t>
      </w:r>
      <w:r>
        <w:t xml:space="preserve"> </w:t>
      </w:r>
      <w:r>
        <w:t>呈现褪色的叶子和白色的圆锥花序，这表明部分多余的作用</w:t>
      </w:r>
      <w:r>
        <w:t xml:space="preserve"> </w:t>
      </w:r>
      <w:r>
        <w:t>奥斯GLK1</w:t>
      </w:r>
      <w:r>
        <w:t xml:space="preserve"> </w:t>
      </w:r>
      <w:r>
        <w:t>和</w:t>
      </w:r>
      <w:r>
        <w:t xml:space="preserve"> </w:t>
      </w:r>
      <w:r>
        <w:t>奥斯GLK2</w:t>
      </w:r>
      <w:r>
        <w:t xml:space="preserve"> </w:t>
      </w:r>
      <w:r>
        <w:t>in photosynthesis regulation.转录组测序分析表明，OsGLK 调节与碳水化合物代谢和光合作用相关的基因的表达。过度表达</w:t>
      </w:r>
      <w:r>
        <w:t xml:space="preserve"> </w:t>
      </w:r>
      <w:r>
        <w:t>奥斯GLK1</w:t>
      </w:r>
      <w:r>
        <w:t xml:space="preserve"> </w:t>
      </w:r>
      <w:r>
        <w:t>/</w:t>
      </w:r>
      <w:r>
        <w:rPr>
          <w:vertAlign w:val="subscript"/>
        </w:rPr>
        <w:t>2</w:t>
      </w:r>
      <w:r>
        <w:t>results in dark-green–panicle phenotypes.我们证明，DEEP GREEN PANICLE2 (DGP2) 和 DGP3（DGP1 的同源物）是 OsGLK 活性的直接抑制因子，并且在水稻叶绿素含量调节中发挥负作用。此外，OsGLK 直接结合到</w:t>
      </w:r>
      <w:r>
        <w:t xml:space="preserve"> </w:t>
      </w:r>
      <w:r>
        <w:t>DGP1</w:t>
      </w:r>
      <w:r>
        <w:t xml:space="preserve"> </w:t>
      </w:r>
      <w:r>
        <w:t>/</w:t>
      </w:r>
      <w:r>
        <w:rPr>
          <w:vertAlign w:val="subscript"/>
        </w:rPr>
        <w:t>2</w:t>
      </w:r>
      <w:r>
        <w:t>/</w:t>
      </w:r>
      <w:r>
        <w:rPr>
          <w:vertAlign w:val="subscript"/>
        </w:rPr>
        <w:t>3</w:t>
      </w:r>
      <w:r>
        <w:t>并激活他们的表情。农艺性状分析表明，突变</w:t>
      </w:r>
      <w:r>
        <w:t xml:space="preserve"> </w:t>
      </w:r>
      <w:r>
        <w:t>DGP1</w:t>
      </w:r>
      <w:r>
        <w:t xml:space="preserve"> </w:t>
      </w:r>
      <w:r>
        <w:t>和</w:t>
      </w:r>
      <w:r>
        <w:t xml:space="preserve"> </w:t>
      </w:r>
      <w:r>
        <w:t>DGP2</w:t>
      </w:r>
      <w:r>
        <w:t xml:space="preserve"> </w:t>
      </w:r>
      <w:r>
        <w:t>显着提高水稻种子重量和产量。总之，这些结果表明 OsGLK1/2-DGP1/2/3 反馈模块调节水稻光合作用和 yi</w:t>
      </w:r>
    </w:p>
    <w:p>
      <w:pPr>
        <w:spacing w:before="0" w:after="200" w:lineRule="auto" w:line="276"/>
      </w:pPr>
      <w:r>
        <w:rPr>
          <w:b/>
        </w:rPr>
        <w:t xml:space="preserve">Abstract (EN): </w:t>
      </w:r>
      <w:r>
        <w:t>GOLDEN2-LIKE (GLK) proteins are central regulators of plant photosynthesis, and their molecular mechanisms are not fully elucidated, especially in rice. Here, we report a GLK-centered molecular module that regulates rice photosynthesis and yield.</w:t>
      </w:r>
      <w:r>
        <w:t xml:space="preserve"> </w:t>
      </w:r>
      <w:r>
        <w:t>Osglk1 Osglk2</w:t>
      </w:r>
      <w:r>
        <w:t xml:space="preserve"> </w:t>
      </w:r>
      <w:r>
        <w:t>double mutants are seedling lethal, and</w:t>
      </w:r>
      <w:r>
        <w:t xml:space="preserve"> </w:t>
      </w:r>
      <w:r>
        <w:t>Osglk2</w:t>
      </w:r>
      <w:r>
        <w:t xml:space="preserve"> </w:t>
      </w:r>
      <w:r>
        <w:t>presents faded leaves and white panicles, which indicated the partially redundant role of</w:t>
      </w:r>
      <w:r>
        <w:t xml:space="preserve"> </w:t>
      </w:r>
      <w:r>
        <w:t>OsGLK1</w:t>
      </w:r>
      <w:r>
        <w:t xml:space="preserve"> </w:t>
      </w:r>
      <w:r>
        <w:t>and</w:t>
      </w:r>
      <w:r>
        <w:t xml:space="preserve"> </w:t>
      </w:r>
      <w:r>
        <w:t>OsGLK2</w:t>
      </w:r>
      <w:r>
        <w:t xml:space="preserve"> </w:t>
      </w:r>
      <w:r>
        <w:t>in photosynthesis regulation. Transcriptome sequencing analysis indicated that OsGLK regulates the expression of genes related to carbohydrate metabolism and photosynthesis. Overexpression of</w:t>
      </w:r>
      <w:r>
        <w:t xml:space="preserve"> </w:t>
      </w:r>
      <w:r>
        <w:t>OsGLK1</w:t>
      </w:r>
      <w:r>
        <w:t xml:space="preserve"> </w:t>
      </w:r>
      <w:r>
        <w:t>/</w:t>
      </w:r>
      <w:r>
        <w:rPr>
          <w:vertAlign w:val="subscript"/>
        </w:rPr>
        <w:t>2</w:t>
      </w:r>
      <w:r>
        <w:t>results in dark-green–panicle phenotypes. We proved that DEEP GREEN PANICLE2 (DGP2) and DGP3, homologs of DGP1, are direct repressors of OsGLK activity and function negatively in rice chlorophyll content regulation. Moreover, OsGLK directly binds to the promoters of</w:t>
      </w:r>
      <w:r>
        <w:t xml:space="preserve"> </w:t>
      </w:r>
      <w:r>
        <w:t>DGP1</w:t>
      </w:r>
      <w:r>
        <w:t xml:space="preserve"> </w:t>
      </w:r>
      <w:r>
        <w:t>/</w:t>
      </w:r>
      <w:r>
        <w:rPr>
          <w:vertAlign w:val="subscript"/>
        </w:rPr>
        <w:t>2</w:t>
      </w:r>
      <w:r>
        <w:t>/</w:t>
      </w:r>
      <w:r>
        <w:rPr>
          <w:vertAlign w:val="subscript"/>
        </w:rPr>
        <w:t>3</w:t>
      </w:r>
      <w:r>
        <w:t>and activates their expressions. Agronomic trait analysis showed that mutations of</w:t>
      </w:r>
      <w:r>
        <w:t xml:space="preserve"> </w:t>
      </w:r>
      <w:r>
        <w:t>DGP1</w:t>
      </w:r>
      <w:r>
        <w:t xml:space="preserve"> </w:t>
      </w:r>
      <w:r>
        <w:t>and</w:t>
      </w:r>
      <w:r>
        <w:t xml:space="preserve"> </w:t>
      </w:r>
      <w:r>
        <w:t>DGP2</w:t>
      </w:r>
      <w:r>
        <w:t xml:space="preserve"> </w:t>
      </w:r>
      <w:r>
        <w:t>significantly increased seed weight and yield of rice. Together, these results manifested an OsGLK1/2-DGP1/2/3 feedback module regulating rice photosynthesis and yield and may provide approaches for crop breeding.</w:t>
      </w:r>
    </w:p>
    <w:p>
      <w:pPr>
        <w:spacing w:before="120" w:after="120"/>
      </w:pPr>
      <w:r>
        <w:rPr>
          <w:sz w:val="18"/>
        </w:rPr>
        <w:t>——————————————————————————————————————————————————————————————————————</w:t>
      </w:r>
    </w:p>
    <w:p>
      <w:pPr>
        <w:spacing w:before="160" w:after="40" w:line="240" w:lineRule="auto"/>
      </w:pPr>
      <w:r>
        <w:rPr>
          <w:b/>
        </w:rPr>
        <w:t xml:space="preserve">[346] </w:t>
      </w:r>
      <w:hyperlink r:id="rId896">
        <w:r>
          <w:rPr>
            <w:color w:val="1155CC"/>
            <w:u w:val="single"/>
          </w:rPr>
          <w:t>果蝇肠道代谢的性别差异导致性别二态性感染结果并改变肠道病原体毒力</w:t>
        </w:r>
      </w:hyperlink>
    </w:p>
    <w:p>
      <w:pPr>
        <w:spacing w:before="0" w:after="80"/>
      </w:pPr>
      <w:r>
        <w:rPr>
          <w:i/>
          <w:sz w:val="20"/>
        </w:rPr>
        <w:t>EN: Sex differences in Drosophila intestinal metabolism contribute to sexually dimorphic infection outcome and alter gut pathogen virulence</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897">
        <w:r>
          <w:rPr>
            <w:color w:val="1155CC"/>
            <w:u w:val="single"/>
          </w:rPr>
          <w:t>10.1073/pnas.2514992123</w:t>
        </w:r>
      </w:hyperlink>
    </w:p>
    <w:p>
      <w:pPr>
        <w:spacing w:before="0" w:after="120"/>
      </w:pPr>
      <w:r>
        <w:rPr>
          <w:b/>
        </w:rPr>
        <w:t xml:space="preserve">Notes: </w:t>
      </w:r>
      <w:r>
        <w:t>abstract_source=crossref</w:t>
      </w:r>
    </w:p>
    <w:p>
      <w:pPr>
        <w:spacing w:before="0" w:after="80" w:lineRule="auto" w:line="276"/>
      </w:pPr>
      <w:r>
        <w:rPr>
          <w:b/>
        </w:rPr>
        <w:t xml:space="preserve">摘要（ZH）: </w:t>
      </w:r>
      <w:r>
        <w:t>感染结果中的性别二态性很普遍，但其潜在机制仍不完全清楚。利用</w:t>
      </w:r>
      <w:r>
        <w:t xml:space="preserve"> </w:t>
      </w:r>
      <w:r>
        <w:t>假单胞菌属</w:t>
      </w:r>
      <w:r>
        <w:t xml:space="preserve"> </w:t>
      </w:r>
      <w:r>
        <w:t>昆虫纲</w:t>
      </w:r>
      <w:r>
        <w:t xml:space="preserve"> </w:t>
      </w:r>
      <w:r>
        <w:t>肠道感染</w:t>
      </w:r>
      <w:r>
        <w:t xml:space="preserve"> </w:t>
      </w:r>
      <w:r>
        <w:t>果蝇，</w:t>
      </w:r>
      <w:r>
        <w:t xml:space="preserve"> </w:t>
      </w:r>
      <w:r>
        <w:t>我们证明肠道氧化还原过程中的性别差异导致女性对感染的易感性偏高。雌性无法克服病原体引起的氧化应激，导致排便阻塞、病原体持续存在和宿主死亡。雄性果蝇表现出增加的碳水化合物代谢和磷酸戊糖途径活性——一种关键的抗氧化防御系统。这使得雄性能够承受氧化应激引起的排便阻塞，并清除肠道中的病原体，从而得以生存。值得注意的是，我们发现 Duox 依赖性过程对病理学的影响与总 ROS 水平无关。同时，</w:t>
      </w:r>
      <w:r>
        <w:t xml:space="preserve"> </w:t>
      </w:r>
      <w:r>
        <w:t>嗜虫假单胞菌</w:t>
      </w:r>
      <w:r>
        <w:t xml:space="preserve"> </w:t>
      </w:r>
      <w:r>
        <w:t>显示女性肠道中几种毒力因子的表达增加，包括 RNA 结合蛋白 Hfq，导致女性偏向的毒力</w:t>
      </w:r>
      <w:r>
        <w:t xml:space="preserve"> </w:t>
      </w:r>
      <w:r>
        <w:t>嗜虫假单胞菌</w:t>
      </w:r>
      <w:r>
        <w:t xml:space="preserve"> </w:t>
      </w:r>
      <w:r>
        <w:t>。因此，肠道代谢环境对宿主防御和病原体毒力的影响决定了肠道感染结果的性别差异。</w:t>
      </w:r>
    </w:p>
    <w:p>
      <w:pPr>
        <w:spacing w:before="0" w:after="200" w:lineRule="auto" w:line="276"/>
      </w:pPr>
      <w:r>
        <w:rPr>
          <w:b/>
        </w:rPr>
        <w:t xml:space="preserve">Abstract (EN): </w:t>
      </w:r>
      <w:r>
        <w:t>Sexual dimorphism in infection outcomes is widespread, yet its underlying mechanisms remain incompletely understood. Utilizing</w:t>
      </w:r>
      <w:r>
        <w:t xml:space="preserve"> </w:t>
      </w:r>
      <w:r>
        <w:t>Pseudomonas</w:t>
      </w:r>
      <w:r>
        <w:t xml:space="preserve"> </w:t>
      </w:r>
      <w:r>
        <w:t>entomophila</w:t>
      </w:r>
      <w:r>
        <w:t xml:space="preserve"> </w:t>
      </w:r>
      <w:r>
        <w:t>intestinal infection in</w:t>
      </w:r>
      <w:r>
        <w:t xml:space="preserve"> </w:t>
      </w:r>
      <w:r>
        <w:t>Drosophila,</w:t>
      </w:r>
      <w:r>
        <w:t xml:space="preserve"> </w:t>
      </w:r>
      <w:r>
        <w:t>we demonstrate that sex differences in intestinal redox processes contribute to female-biased susceptibility to infection. Female inability to overcome pathogen-induced oxidative stress results in defecation blockage, pathogen persistence, and host death. Male flies exhibit increased carbohydrate metabolism and pentose phosphate pathway activity—a key antioxidant defense system. This allows males to withstand oxidative stress-induced defecation blockage and clear the pathogen from the intestine, resulting in survival. Notably, we uncovered that Duox-dependent processes contribute to pathology independently of total ROS levels. In parallel,</w:t>
      </w:r>
      <w:r>
        <w:t xml:space="preserve"> </w:t>
      </w:r>
      <w:r>
        <w:t>P. entomophila</w:t>
      </w:r>
      <w:r>
        <w:t xml:space="preserve"> </w:t>
      </w:r>
      <w:r>
        <w:t>showed increased expression of several virulence factors, including RNA-binding protein Hfq, in the female gut, contributing to female-biased virulence of</w:t>
      </w:r>
      <w:r>
        <w:t xml:space="preserve"> </w:t>
      </w:r>
      <w:r>
        <w:t>P. entomophila</w:t>
      </w:r>
      <w:r>
        <w:t xml:space="preserve"> </w:t>
      </w:r>
      <w:r>
        <w:t>. Thus, the effect of the gut metabolic environment on host defenses and pathogen virulence determines the sex differences in intestinal infection outcomes.</w:t>
      </w:r>
    </w:p>
    <w:p>
      <w:pPr>
        <w:spacing w:before="120" w:after="120"/>
      </w:pPr>
      <w:r>
        <w:rPr>
          <w:sz w:val="18"/>
        </w:rPr>
        <w:t>——————————————————————————————————————————————————————————————————————</w:t>
      </w:r>
    </w:p>
    <w:p>
      <w:pPr>
        <w:spacing w:before="160" w:after="40" w:line="240" w:lineRule="auto"/>
      </w:pPr>
      <w:r>
        <w:rPr>
          <w:b/>
        </w:rPr>
        <w:t xml:space="preserve">[347] </w:t>
      </w:r>
      <w:hyperlink r:id="rId898">
        <w:r>
          <w:rPr>
            <w:color w:val="1155CC"/>
            <w:u w:val="single"/>
          </w:rPr>
          <w:t>通过局部新皮质群之间的竞争性抑制进行偏差检测</w:t>
        </w:r>
      </w:hyperlink>
    </w:p>
    <w:p>
      <w:pPr>
        <w:spacing w:before="0" w:after="80"/>
      </w:pPr>
      <w:r>
        <w:rPr>
          <w:i/>
          <w:sz w:val="20"/>
        </w:rPr>
        <w:t>EN: Deviance detection via competitive inhibition between local neocortical ensembles</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899">
        <w:r>
          <w:rPr>
            <w:color w:val="1155CC"/>
            <w:u w:val="single"/>
          </w:rPr>
          <w:t>10.1073/pnas.2527342123</w:t>
        </w:r>
      </w:hyperlink>
    </w:p>
    <w:p>
      <w:pPr>
        <w:spacing w:before="0" w:after="120"/>
      </w:pPr>
      <w:r>
        <w:rPr>
          <w:b/>
        </w:rPr>
        <w:t xml:space="preserve">Notes: </w:t>
      </w:r>
      <w:r>
        <w:t>abstract_source=crossref</w:t>
      </w:r>
    </w:p>
    <w:p>
      <w:pPr>
        <w:spacing w:before="0" w:after="80" w:lineRule="auto" w:line="276"/>
      </w:pPr>
      <w:r>
        <w:rPr>
          <w:b/>
        </w:rPr>
        <w:t xml:space="preserve">摘要（ZH）: </w:t>
      </w:r>
      <w:r>
        <w:t>新皮质神经元和电路放大对意外刺激变化的反应的过程，通常称为偏差检测（DD），传统上被认为是特殊细胞类型和/或来自不同大脑区域的路由的产物。在这里，我们探索了一种不同的理论，即 DD 本质上是由新皮质柱外源输入的异常增加或减少驱动的局部网络级交互而产生的。我们提出，偏差驱动的神经动力学是由兴奋性和抑制性神经元的集合产生的，这些神经元具有基本的抑制性连接基序：在前馈选择性（解除）抑制的调节下，相互连接的神经表示之间的竞争性抑制。在具有不同生物物理抽象水平的两个计算模型中实现这一主题，我们能够模拟与实验观察到的 DD 期间神经元、时间和刺激历史的神经调谐变化相关的各种现象。我们进一步测试了与我们的理论相关的假设，并检查了与先前实验观察一致的新兴现象的稳健性。我们的结果表明，在选择性（解除）抑制的调节下通过竞争性抑制进行的整体启动可以作为编码短期刺激记忆的局部机制，从而实现刺激表征中由偏差驱动的转变。这项工作建立了一个理论范式，解决了新皮质中预测感觉处理的先前令人困惑的方面，并且我们提供了</w:t>
      </w:r>
    </w:p>
    <w:p>
      <w:pPr>
        <w:spacing w:before="0" w:after="200" w:lineRule="auto" w:line="276"/>
      </w:pPr>
      <w:r>
        <w:rPr>
          <w:b/>
        </w:rPr>
        <w:t xml:space="preserve">Abstract (EN): </w:t>
      </w:r>
      <w:r>
        <w:t>The process by which neocortical neurons and circuits amplify their response to an unexpected change in stimulus, typically referred to as deviance detection (DD), has traditionally been thought to be the product of specialized cell types and/or routing from distinct brain areas. Here, we explore a different theory, whereby DD emerges intrinsically from local network-level interactions driven by a deviant increase or decrease in exogenous input to a neocortical column. We propose that deviance-driven neural dynamics are generated by ensembles of excitatory and inhibitory neurons that have a fundamental inhibitory connectivity motif: competitive inhibition between reciprocally connected neural representations under modulation from feed-forward selective (dis)inhibition. Implementing this motif in two computational models with different levels of biophysical abstraction, we were able to simulate a variety of phenomena pertaining to the experimentally observed shifts in neural tuning during DD across neurons, time, and stimulus history. We further tested hypotheses related to our theory and examined the robustness of emergent phenomena consistent with prior experimental observations. Our results show that ensemble priming via competitive inhibition under modulation from selective (dis)inhibition can serve as a local mechanism for encoding short-term stimulus memory, enabling deviance-driven shifts in stimulus representation. This work establishes a theoretical paradigm that resolves previously confounding aspects of predictive sensory processing in Neocortex, and we provide a number of corollary predictions that can be tested in future in vivo studies.</w:t>
      </w:r>
    </w:p>
    <w:p>
      <w:pPr>
        <w:spacing w:before="120" w:after="120"/>
      </w:pPr>
      <w:r>
        <w:rPr>
          <w:sz w:val="18"/>
        </w:rPr>
        <w:t>——————————————————————————————————————————————————————————————————————</w:t>
      </w:r>
    </w:p>
    <w:p>
      <w:pPr>
        <w:spacing w:before="160" w:after="40" w:line="240" w:lineRule="auto"/>
      </w:pPr>
      <w:r>
        <w:rPr>
          <w:b/>
        </w:rPr>
        <w:t xml:space="preserve">[348] </w:t>
      </w:r>
      <w:hyperlink r:id="rId900">
        <w:r>
          <w:rPr>
            <w:color w:val="1155CC"/>
            <w:u w:val="single"/>
          </w:rPr>
          <w:t>一种受体样机械敏感蛋白控制不对称细胞分裂和 SC 形态发生的前期带定位</w:t>
        </w:r>
      </w:hyperlink>
    </w:p>
    <w:p>
      <w:pPr>
        <w:spacing w:before="0" w:after="80"/>
      </w:pPr>
      <w:r>
        <w:rPr>
          <w:i/>
          <w:sz w:val="20"/>
        </w:rPr>
        <w:t>EN: A receptor-like mechanosensitive protein governs preprophase band positioning for asymmetric cell divisions and SC morphogenesis</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901">
        <w:r>
          <w:rPr>
            <w:color w:val="1155CC"/>
            <w:u w:val="single"/>
          </w:rPr>
          <w:t>10.1073/pnas.2528001123</w:t>
        </w:r>
      </w:hyperlink>
    </w:p>
    <w:p>
      <w:pPr>
        <w:spacing w:before="0" w:after="120"/>
      </w:pPr>
      <w:r>
        <w:rPr>
          <w:b/>
        </w:rPr>
        <w:t xml:space="preserve">Notes: </w:t>
      </w:r>
      <w:r>
        <w:t>abstract_source=crossref</w:t>
      </w:r>
    </w:p>
    <w:p>
      <w:pPr>
        <w:spacing w:before="0" w:after="80" w:lineRule="auto" w:line="276"/>
      </w:pPr>
      <w:r>
        <w:rPr>
          <w:b/>
        </w:rPr>
        <w:t xml:space="preserve">摘要（ZH）: </w:t>
      </w:r>
      <w:r>
        <w:t>不对称细胞分裂支撑着多细胞植物的细胞多样性。这些分裂是机械敏感的，前期带（PPB）的形成取决于植物细胞的细胞壁机械特性。然而，植物中控制这一过程的空间控制机制仍然难以捉摸。在草气孔发育过程中，机械信号源自不同的生长速率和保卫母细胞/辅助母细胞（SMC）界面处的细胞壁修饰。在这项工作中，我们鉴定了一种玉米受体样蛋白 KAI1，它充当气孔复合体内附属细胞形成的主调节因子。 KAI1 通过机械化学信号控制 SMC 中的分割面方向：它通过果胶相互作用感知细胞壁刚性，随后招募微管蛋白进行 PPB 定位，从而指导分割面规范。这项工作揭示了一种植物独特的机械敏感蛋白，它在细胞多样性的不对称分裂过程中介导细胞外基质对细胞骨架重组的影响。我们的研究结果表明，KAI1 控制依赖于细胞壁力学的 PPB 定位，以控制 SMC 的精确分割平面对齐。该机制随后介导气孔发育过程中 SMC 极化和辅助细胞形态发生的调节。</w:t>
      </w:r>
    </w:p>
    <w:p>
      <w:pPr>
        <w:spacing w:before="0" w:after="200" w:lineRule="auto" w:line="276"/>
      </w:pPr>
      <w:r>
        <w:rPr>
          <w:b/>
        </w:rPr>
        <w:t xml:space="preserve">Abstract (EN): </w:t>
      </w:r>
      <w:r>
        <w:t>Asymmetric cell division underpins cellular diversity in multicellular plants. These divisions are mechanosensitive, and preprophase band (PPB) formation hinges on cell-wall mechanical properties in plant cells. Yet, the spatial control mechanism governing this process in plants remains elusive. During grass stomatal development, mechanical cues originate from differential growth rates and cell wall modifications at the interface of guard mother cell/subsidiary mother cell (SMC). In this work, we have identified a maize receptor-like protein, KAI1, that functions as a master regulator of subsidiary cell formation within the stomatal complex. KAI1 governs division-plane orientation in SMCs through mechanochemical signaling: It perceives cell wall rigidity via pectin interaction, and subsequently recruits tubulin for PPB positioning, thereby directing division-plane specification. This work uncovers a plant-unique mechanosensitive protein that mediates extracellular matrix cues to cytoskeletal reorganization during asymmetric division for cell diversity. Our findings establish that KAI1 governs a cell wall mechanics-dependent PPB positioning to control the exact division plane alignment of the SMC. This mechanism subsequently mediates the regulation of SMC polarization and subsidiary cell morphogenesis during stomatal development.</w:t>
      </w:r>
    </w:p>
    <w:p>
      <w:pPr>
        <w:spacing w:before="120" w:after="120"/>
      </w:pPr>
      <w:r>
        <w:rPr>
          <w:sz w:val="18"/>
        </w:rPr>
        <w:t>——————————————————————————————————————————————————————————————————————</w:t>
      </w:r>
    </w:p>
    <w:p>
      <w:pPr>
        <w:spacing w:before="160" w:after="40" w:line="240" w:lineRule="auto"/>
      </w:pPr>
      <w:r>
        <w:rPr>
          <w:b/>
        </w:rPr>
        <w:t xml:space="preserve">[349] </w:t>
      </w:r>
      <w:hyperlink r:id="rId902">
        <w:r>
          <w:rPr>
            <w:color w:val="1155CC"/>
            <w:u w:val="single"/>
          </w:rPr>
          <w:t>SARS-CoV-2 的额外基因编码能力为体外和体内应用提供了病毒工程平台</w:t>
        </w:r>
      </w:hyperlink>
    </w:p>
    <w:p>
      <w:pPr>
        <w:spacing w:before="0" w:after="80"/>
      </w:pPr>
      <w:r>
        <w:rPr>
          <w:i/>
          <w:sz w:val="20"/>
        </w:rPr>
        <w:t>EN: Extra gene coding capacity of SARS-CoV-2 provides a virus engineering platform for in vitro and in vivo applications</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903">
        <w:r>
          <w:rPr>
            <w:color w:val="1155CC"/>
            <w:u w:val="single"/>
          </w:rPr>
          <w:t>10.1073/pnas.2532920123</w:t>
        </w:r>
      </w:hyperlink>
    </w:p>
    <w:p>
      <w:pPr>
        <w:spacing w:before="0" w:after="120"/>
      </w:pPr>
      <w:r>
        <w:rPr>
          <w:b/>
        </w:rPr>
        <w:t xml:space="preserve">Notes: </w:t>
      </w:r>
      <w:r>
        <w:t>abstract_source=crossref</w:t>
      </w:r>
    </w:p>
    <w:p>
      <w:pPr>
        <w:spacing w:before="0" w:after="80" w:lineRule="auto" w:line="276"/>
      </w:pPr>
      <w:r>
        <w:rPr>
          <w:b/>
        </w:rPr>
        <w:t xml:space="preserve">摘要（ZH）: </w:t>
      </w:r>
      <w:r>
        <w:t>包括严重急性呼吸综合征冠状病毒 2 (SARS-CoV-2) 在内的正冠状病毒的基因组灵活性通过辅助基因的存在来体现，这些基因的数量因病毒种类和毒株的不同而不同。鉴于这种灵活性，可以人为地扩展病毒编码能力以表达病毒基因组中的异源基因，从而能够开发病毒载体平台。在这里，我们通过在其基因组的每个基因间区域插入额外的报告基因，系统地探索了 SARS-CoV-2 的额外基因编码能力。我们揭示了其额外基因表达的整个方案，并确定了稳定表达报告基因同时保持野生型病毒表型的基因组位置。利用这种结构，我们开发了一套荧光和发光报告基因 SARS-CoV-2 病毒，可用于体内流式细胞术和体外抗病毒筛选。对这些报告病毒的流式细胞术分析揭示了 K18-hACE2 小鼠肺组织中 SARS-CoV-2 感染的细胞类型特异性动态。我们的研究结果为 SARS-CoV-2 基因组工程提供了一个平台，为研究应用提供了一组报告病毒。</w:t>
      </w:r>
    </w:p>
    <w:p>
      <w:pPr>
        <w:spacing w:before="0" w:after="200" w:lineRule="auto" w:line="276"/>
      </w:pPr>
      <w:r>
        <w:rPr>
          <w:b/>
        </w:rPr>
        <w:t xml:space="preserve">Abstract (EN): </w:t>
      </w:r>
      <w:r>
        <w:t>The genomic flexibility of orthocoronaviruses, including severe acute respiratory syndrome coronavirus 2 (SARS-CoV-2), is showcased by the presence of accessory genes, which vary in number among virus species and strains. Given this flexibility, the viral coding capacity can be artificially expanded to express a heterologous gene from the viral genome, thereby enabling the development of a viral vector platform. Here, we systematically explored the extra gene coding capacity of SARS-CoV-2 by inserting an extra reporter gene at every intergenic region in its genome. We revealed the entire scheme of its extra gene expression and identified a genomic location that stably expresses reporter genes while maintaining the wild-type viral phenotype. Using this construct, we developed a set of fluorescent and luminescent reporter SARS-CoV-2 viruses available for in vivo flow cytometry and in vitro antiviral screening. Flow cytometric analysis with these reporter viruses revealed cell type–specific dynamics of SARS-CoV-2 infection in the lung tissue of K18-hACE2 mice. Our findings offer a platform for SARS-CoV-2 genome engineering, providing a set of reporter viruses for research applications.</w:t>
      </w:r>
    </w:p>
    <w:p>
      <w:pPr>
        <w:spacing w:before="120" w:after="120"/>
      </w:pPr>
      <w:r>
        <w:rPr>
          <w:sz w:val="18"/>
        </w:rPr>
        <w:t>——————————————————————————————————————————————————————————————————————</w:t>
      </w:r>
    </w:p>
    <w:p>
      <w:pPr>
        <w:spacing w:before="160" w:after="40" w:line="240" w:lineRule="auto"/>
      </w:pPr>
      <w:r>
        <w:rPr>
          <w:b/>
        </w:rPr>
        <w:t xml:space="preserve">[350] </w:t>
      </w:r>
      <w:hyperlink r:id="rId904">
        <w:r>
          <w:rPr>
            <w:color w:val="1155CC"/>
            <w:u w:val="single"/>
          </w:rPr>
          <w:t>二氧化碳对蒸散量的生理影响的潜在高估</w:t>
        </w:r>
      </w:hyperlink>
    </w:p>
    <w:p>
      <w:pPr>
        <w:spacing w:before="0" w:after="80"/>
      </w:pPr>
      <w:r>
        <w:rPr>
          <w:i/>
          <w:sz w:val="20"/>
        </w:rPr>
        <w:t>EN: A potential overestimation of CO2 physiological effects on evapotranspiration</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905">
        <w:r>
          <w:rPr>
            <w:color w:val="1155CC"/>
            <w:u w:val="single"/>
          </w:rPr>
          <w:t>10.1073/pnas.2534643123</w:t>
        </w:r>
      </w:hyperlink>
    </w:p>
    <w:p>
      <w:pPr>
        <w:spacing w:before="0" w:after="120"/>
      </w:pPr>
      <w:r>
        <w:rPr>
          <w:b/>
        </w:rPr>
        <w:t xml:space="preserve">Notes: </w:t>
      </w:r>
      <w:r>
        <w:t>abstract_source=crossref</w:t>
      </w:r>
    </w:p>
    <w:p>
      <w:pPr>
        <w:spacing w:before="0" w:after="80" w:lineRule="auto" w:line="276"/>
      </w:pPr>
      <w:r>
        <w:rPr>
          <w:b/>
        </w:rPr>
        <w:t xml:space="preserve">摘要（ZH）: </w:t>
      </w:r>
      <w:r>
        <w:t>一般认为CO</w:t>
      </w:r>
      <w:r>
        <w:rPr>
          <w:vertAlign w:val="subscript"/>
        </w:rPr>
        <w:t>2</w:t>
      </w:r>
      <w:r>
        <w:t>生理强迫可以通过减少气孔导度和蒸散量来部分缓解全球变暖下的陆地表面干燥。大多数此类研究侧重于植被生理学的直接调节，忽视了大气的交互反馈。使用完全耦合的地球系统模型模拟，我们发现生理益处可能被乐观地高估了。植被引起的能量变化可能反过来进一步影响大气蒸气压赤字（VPD），间接产生额外的蒸散需求。北部中高纬度地区的间接 VPD 反馈可以抵消当前 CO 下由气孔关闭引起的蒸散量减少的 54% (±26%)</w:t>
      </w:r>
      <w:r>
        <w:rPr>
          <w:vertAlign w:val="subscript"/>
        </w:rPr>
        <w:t>2</w:t>
      </w:r>
      <w:r>
        <w:t>条件下，该比例在 4 × CO 时增加到 68% (±18%)</w:t>
      </w:r>
      <w:r>
        <w:rPr>
          <w:vertAlign w:val="subscript"/>
        </w:rPr>
        <w:t>2</w:t>
      </w:r>
      <w:r>
        <w:t>。 VPD反馈增强主要是由植被介导的反照率下降和北部中高纬度地区温度上升驱动的，这加剧了蒸散损失，因为气孔限制很小。这些都是重要的发现，极大地限制了二氧化碳的生理益处</w:t>
      </w:r>
      <w:r>
        <w:rPr>
          <w:vertAlign w:val="subscript"/>
        </w:rPr>
        <w:t>2</w:t>
      </w:r>
      <w:r>
        <w:t>对地表干旱化和水资源造成额外压力。</w:t>
      </w:r>
    </w:p>
    <w:p>
      <w:pPr>
        <w:spacing w:before="0" w:after="200" w:lineRule="auto" w:line="276"/>
      </w:pPr>
      <w:r>
        <w:rPr>
          <w:b/>
        </w:rPr>
        <w:t xml:space="preserve">Abstract (EN): </w:t>
      </w:r>
      <w:r>
        <w:t>It is generally believed that CO</w:t>
      </w:r>
      <w:r>
        <w:rPr>
          <w:vertAlign w:val="subscript"/>
        </w:rPr>
        <w:t>2</w:t>
      </w:r>
      <w:r>
        <w:t>physiological forcing can partially mitigate land surface drying under global warming by reducing stomatal conductance and evapotranspiration. Most of this type of study focuses on the direct regulation by vegetation physiology, overlooking interactive feedback from the atmosphere. Using fully coupled earth system model simulations, we find that the physiological benefit may have been optimistically overestimated. Vegetation-induced energy change may in turn further affect atmospheric vapor pressure deficit (VPD), exerting extra evapotranspiration demand indirectly. Indirect VPD feedback over northern mid-high latitudes could offset 54% (±26%) of evapotranspiration reduction driven by stomatal closure under current CO</w:t>
      </w:r>
      <w:r>
        <w:rPr>
          <w:vertAlign w:val="subscript"/>
        </w:rPr>
        <w:t>2</w:t>
      </w:r>
      <w:r>
        <w:t>condition, and that proportion increases to 68% (±18%) at 4 × CO</w:t>
      </w:r>
      <w:r>
        <w:rPr>
          <w:vertAlign w:val="subscript"/>
        </w:rPr>
        <w:t>2</w:t>
      </w:r>
      <w:r>
        <w:t>. The enhanced VPD feedback is largely driven by vegetation-mediated albedo decline and temperature rise in northern mid-high latitudes, which intensifies evapotranspiration loss as stomatal constraints are minimal. These are important findings, substantially limiting the physiological benefits of CO</w:t>
      </w:r>
      <w:r>
        <w:rPr>
          <w:vertAlign w:val="subscript"/>
        </w:rPr>
        <w:t>2</w:t>
      </w:r>
      <w:r>
        <w:t>with extra pressure on surface aridification and water resources.</w:t>
      </w:r>
    </w:p>
    <w:p>
      <w:pPr>
        <w:spacing w:before="120" w:after="120"/>
      </w:pPr>
      <w:r>
        <w:rPr>
          <w:sz w:val="18"/>
        </w:rPr>
        <w:t>——————————————————————————————————————————————————————————————————————</w:t>
      </w:r>
    </w:p>
    <w:p>
      <w:pPr>
        <w:spacing w:before="160" w:after="40" w:line="240" w:lineRule="auto"/>
      </w:pPr>
      <w:r>
        <w:rPr>
          <w:b/>
        </w:rPr>
        <w:t xml:space="preserve">[351] </w:t>
      </w:r>
      <w:hyperlink r:id="rId906">
        <w:r>
          <w:rPr>
            <w:color w:val="1155CC"/>
            <w:u w:val="single"/>
          </w:rPr>
          <w:t>天然致幻剂的化学生态学和趋同进化：从生态防御到保守的神经靶标</w:t>
        </w:r>
      </w:hyperlink>
    </w:p>
    <w:p>
      <w:pPr>
        <w:spacing w:before="0" w:after="80"/>
      </w:pPr>
      <w:r>
        <w:rPr>
          <w:i/>
          <w:sz w:val="20"/>
        </w:rPr>
        <w:t>EN: Chemical ecology and convergent evolution of natural hallucinogens: From ecological defense to conserved neural targets</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907">
        <w:r>
          <w:rPr>
            <w:color w:val="1155CC"/>
            <w:u w:val="single"/>
          </w:rPr>
          <w:t>10.1073/pnas.2535785123</w:t>
        </w:r>
      </w:hyperlink>
    </w:p>
    <w:p>
      <w:pPr>
        <w:spacing w:before="0" w:after="120"/>
      </w:pPr>
      <w:r>
        <w:rPr>
          <w:b/>
        </w:rPr>
        <w:t xml:space="preserve">Notes: </w:t>
      </w:r>
      <w:r>
        <w:t>abstract_source=crossref</w:t>
      </w:r>
    </w:p>
    <w:p>
      <w:pPr>
        <w:spacing w:before="0" w:after="80" w:lineRule="auto" w:line="276"/>
      </w:pPr>
      <w:r>
        <w:rPr>
          <w:b/>
        </w:rPr>
        <w:t xml:space="preserve">摘要（ZH）: </w:t>
      </w:r>
      <w:r>
        <w:t>天然致幻化合物在植物、真菌和动物中独立出现，并演变成多种化学武器，包括苯乙胺、吲哚烷基胺和萜类支架。除了临床和文化框架之外，它们的生态起源和进化轨迹可能有助于解释为什么这种感知、情感和认知的有效调节剂在自然界中持续存在。在这里，结合化学生态学、比较基因组学、生物合成逻辑和进化生物学，我们提出这些分子可能充当食草动物和传粉动物行为的防御剂或共生相关操纵器。 “构建块”生物合成逻辑通过一系列反复出现的定制反应（包括脱羧和甲基化）将初级代谢与聚合精神药物支架联系起来。最近的进展阐明了仙人掌中的麦司卡林生物合成、真菌中裸盖菇素簇的水平基因转移以及草中共生体衍生的生物碱。我们还评估了围绕内源性哺乳动物色胺的争论，认为主要假设指向 sigma-1 受体介导的细胞保护和应激反应，并得到一致的药理学和细胞证据的支持，而不是固有的致幻功能。在各个领域，天然致幻剂似乎都集中在保守的神经靶标上，包括跨门共享的血清素能和其他神经调节系统。从这个角度来看，人类的心理活动可能是为生态相互作用而选择的分子的进化副产品</w:t>
      </w:r>
    </w:p>
    <w:p>
      <w:pPr>
        <w:spacing w:before="0" w:after="200" w:lineRule="auto" w:line="276"/>
      </w:pPr>
      <w:r>
        <w:rPr>
          <w:b/>
        </w:rPr>
        <w:t xml:space="preserve">Abstract (EN): </w:t>
      </w:r>
      <w:r>
        <w:t>Natural hallucinogenic compounds have arisen independently across plants, fungi, and animals, evolving into a diverse chemical arsenal that includes phenethylamines, indolealkylamines, and terpenoid scaffolds. Beyond clinical and cultural frameworks, their ecological origins and evolutionary trajectories may help explain why such potent modulators of perception, emotion, and cognition persist in nature. Here, integrating chemical ecology, comparative genomics, biosynthetic logic, and evolutionary biology, we propose that these molecules may function as defensive agents or symbiosis-associated manipulators of herbivore and pollinator behavior. A “building-block” biosynthetic logic links primary metabolism to convergent psychotropic scaffolds via a recurrent set of tailoring reactions, including decarboxylations and methylations. Recent advances illuminate mescaline biosynthesis in cacti, horizontal gene transfer of psilocybin clusters in fungi, and symbiont-derived alkaloids in grasses. We also assess the debate surrounding endogenous mammalian tryptamines, arguing that the leading hypothesis points toward sigma-1 receptor-mediated cytoprotection and stress responses, supported by convergent pharmacological and cellular evidence, rather than inherent hallucinogenic functions. Across kingdoms, natural hallucinogens appear to converge on conserved neural targets, including serotonergic and other neuromodulatory systems that are shared across phyla. From this perspective, human psychoactivity is likely an evolutionary by-product of molecules selected for ecological interactions with animals possessing deeply conserved receptor architectures. Framing hallucinogens through chemical ecology not only clarifies their origins but also highlights translational opportunities in target discovery, pathway engineering, and sustainable production, while emphasizing the need to integrate conservation, ethical sourcing, and benefit-sharing into the current hallucinogenic renaissance.</w:t>
      </w:r>
    </w:p>
    <w:p>
      <w:pPr>
        <w:spacing w:before="120" w:after="120"/>
      </w:pPr>
      <w:r>
        <w:rPr>
          <w:sz w:val="18"/>
        </w:rPr>
        <w:t>——————————————————————————————————————————————————————————————————————</w:t>
      </w:r>
    </w:p>
    <w:p>
      <w:pPr>
        <w:spacing w:before="160" w:after="40" w:line="240" w:lineRule="auto"/>
      </w:pPr>
      <w:r>
        <w:rPr>
          <w:b/>
        </w:rPr>
        <w:t xml:space="preserve">[352] </w:t>
      </w:r>
      <w:hyperlink r:id="rId908">
        <w:r>
          <w:rPr>
            <w:color w:val="1155CC"/>
            <w:u w:val="single"/>
          </w:rPr>
          <w:t>创建共同的虚拟基础：开放 VR 研究民主化的协议</w:t>
        </w:r>
      </w:hyperlink>
    </w:p>
    <w:p>
      <w:pPr>
        <w:spacing w:before="0" w:after="80"/>
      </w:pPr>
      <w:r>
        <w:rPr>
          <w:i/>
          <w:sz w:val="20"/>
        </w:rPr>
        <w:t>EN: Creating common virtual ground: Protocols to democratize open VR research</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909">
        <w:r>
          <w:rPr>
            <w:color w:val="1155CC"/>
            <w:u w:val="single"/>
          </w:rPr>
          <w:t>10.1073/pnas.2524991123</w:t>
        </w:r>
      </w:hyperlink>
    </w:p>
    <w:p>
      <w:pPr>
        <w:spacing w:before="0" w:after="120"/>
      </w:pPr>
      <w:r>
        <w:rPr>
          <w:b/>
        </w:rPr>
        <w:t xml:space="preserve">Notes: </w:t>
      </w:r>
      <w:r>
        <w:t>abstract_source=crossref</w:t>
      </w:r>
    </w:p>
    <w:p>
      <w:pPr>
        <w:spacing w:before="0" w:after="80" w:lineRule="auto" w:line="276"/>
      </w:pPr>
      <w:r>
        <w:rPr>
          <w:b/>
        </w:rPr>
        <w:t xml:space="preserve">摘要（ZH）: </w:t>
      </w:r>
      <w:r>
        <w:t>通过让参与者沉浸在一致的虚拟环境中，VR 增强了研究的真实性，减少了混杂变量，并改善了程序控制，为有兴趣研究“野外”行为的科学家提供了一个有前景的解决方案。 VR 实现的数据可用性和记录也有助于解决可复制性挑战。尽管潜力巨大，但 VR 研究仍受到碎片化、专有工具和缺乏标准化实践的阻碍，从而限制了其整体影响。这项合作研究提出了一个交互式清单，以支持跨学科的虚拟现实研究，以满足三个基本协议——互操作性、程序标准化和数据共享——通过促进开放科学并为研究人员提供一种通用的、易于评估的格式来向伦理委员会、评审员等提交项目来应对这些挑战。这些协议可以共同帮助 VR 研究克服复制障碍，实现先进工具的民主化，并将 VR 建立为严格、可复制的科学探究的强大方法。</w:t>
      </w:r>
    </w:p>
    <w:p>
      <w:pPr>
        <w:spacing w:before="0" w:after="200" w:lineRule="auto" w:line="276"/>
      </w:pPr>
      <w:r>
        <w:rPr>
          <w:b/>
        </w:rPr>
        <w:t xml:space="preserve">Abstract (EN): </w:t>
      </w:r>
      <w:r>
        <w:t>By immersing participants in consistent virtual environments, VR enhances study realism, reduces confounding variables, and improves procedural control, offering a promising solution for scientists interested in studying behavior “in the wild.” The availability and documentation of data enabled by VR also help address replicability challenges. Despite vast potential, VR research is hindered by fragmentation, proprietary tools, and a lack of standardized practices, which limit its overall impact. This collaborative study presents an interactive checklist to support VR research from across disciplines to meet three essential protocols—interoperability, procedural standardization, and data sharing—that address these challenges by promoting open science and providing a common, easy-to-evaluate format for researchers to present projects to ethics boards, reviewers, and beyond. Together, these protocols can help VR research overcome replication barriers, democratize access to advanced tools, and establish VR as a robust method for rigorous, replicable scientific inquiry.</w:t>
      </w:r>
    </w:p>
    <w:p>
      <w:pPr>
        <w:spacing w:before="120" w:after="120"/>
      </w:pPr>
      <w:r>
        <w:rPr>
          <w:sz w:val="18"/>
        </w:rPr>
        <w:t>——————————————————————————————————————————————————————————————————————</w:t>
      </w:r>
    </w:p>
    <w:p>
      <w:pPr>
        <w:spacing w:before="160" w:after="40" w:line="240" w:lineRule="auto"/>
      </w:pPr>
      <w:r>
        <w:rPr>
          <w:b/>
        </w:rPr>
        <w:t xml:space="preserve">[353] </w:t>
      </w:r>
      <w:hyperlink r:id="rId910">
        <w:r>
          <w:rPr>
            <w:color w:val="1155CC"/>
            <w:u w:val="single"/>
          </w:rPr>
          <w:t>温度和发育阶段控制肠道对人类冠状病毒 229E 的易感性</w:t>
        </w:r>
      </w:hyperlink>
    </w:p>
    <w:p>
      <w:pPr>
        <w:spacing w:before="0" w:after="80"/>
      </w:pPr>
      <w:r>
        <w:rPr>
          <w:i/>
          <w:sz w:val="20"/>
        </w:rPr>
        <w:t>EN: Temperature and developmental stage govern intestinal susceptibility to human coronavirus 229E</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911">
        <w:r>
          <w:rPr>
            <w:color w:val="1155CC"/>
            <w:u w:val="single"/>
          </w:rPr>
          <w:t>10.1073/pnas.2600632123</w:t>
        </w:r>
      </w:hyperlink>
    </w:p>
    <w:p>
      <w:pPr>
        <w:spacing w:before="0" w:after="120"/>
      </w:pPr>
      <w:r>
        <w:rPr>
          <w:b/>
        </w:rPr>
        <w:t xml:space="preserve">Notes: </w:t>
      </w:r>
      <w:r>
        <w:t>abstract_source=crossref</w:t>
      </w:r>
    </w:p>
    <w:p>
      <w:pPr>
        <w:spacing w:before="0" w:after="80" w:lineRule="auto" w:line="276"/>
      </w:pPr>
      <w:r>
        <w:rPr>
          <w:b/>
        </w:rPr>
        <w:t xml:space="preserve">摘要（ZH）: </w:t>
      </w:r>
      <w:r>
        <w:t>人类冠状病毒主要与上呼吸道感染有关，但 COVID-19 患者出现胃肠道症状的病例凸显了它们引起全身性疾病的可能性。在这里，我们使用来自不同年龄的捐赠者的患者来源的人肠肠样蛋白（HIE）详细介绍了地方性低致病性人类冠状病毒（人α冠状病毒229E）对肠上皮的感染。使用胎儿、儿童和成人 HIE，我们研究了生理相关温度（分别反映胃肠道和上呼吸道状况的 37°C 和 32°C）如何调节上皮反应和病毒感染动态。我们发现存在温度依赖性转录重编程，表明病毒复制和上皮反应具有强烈的温度依赖性调节。在测试的季节性冠状病毒中，只有 HCoV-229E 能够有效感染 HIE。在 32 °C 下，HCoV-229E 在所有供体年龄的肠类中有效复制，并释放高滴度的感染性后代。相比之下，在 37°C 时，有效复制主要局限于胎儿和部分儿科组织，这揭示了对感染的发育和温度敏感限制。共聚焦和流式细胞术分析确定肠上皮细胞是 HCoV-229E 的主要靶细胞。此外，我们发现卡莫司他（一种丝氨酸蛋白酶抑制剂）可显着减少 HIE 中的 HCoV-229E 复制，证实了宿主丝氨酸蛋白酶活性的关键作用。总的来说，这些发现将 HIE 确立为 HCoV-22 的相关模型</w:t>
      </w:r>
    </w:p>
    <w:p>
      <w:pPr>
        <w:spacing w:before="0" w:after="200" w:lineRule="auto" w:line="276"/>
      </w:pPr>
      <w:r>
        <w:rPr>
          <w:b/>
        </w:rPr>
        <w:t xml:space="preserve">Abstract (EN): </w:t>
      </w:r>
      <w:r>
        <w:t>Human coronaviruses have been primarily associated with upper respiratory tract infections, yet cases of gastrointestinal symptoms in COVID-19 patients have highlighted their potential to cause systemic disease. Here, we detail the infection of intestinal epithelia by an endemic, low-pathogenic human coronavirus, human alphacoronavirus 229E, using patient-derived human intestinal enteroids (HIEs) from donors of various ages. Using fetal, pediatric, and adult HIEs, we investigated how physiologically relevant temperatures: 37 °C and 32 °C, reflecting gastrointestinal and upper-airway conditions, respectively, modulate epithelial responses and viral infection dynamics. We show that there is temperature-dependent transcriptional reprogramming, indicating strong temperature-dependent regulation of virus replication and epithelial responses. Among the seasonal coronaviruses tested, only HCoV-229E productively infects HIEs. At 32 °C, HCoV-229E replicates efficiently in enteroids from all donor ages and releases high titers of infectious progeny. In contrast, at 37 °C, productive replication is largely confined to fetal and a subset of pediatric tissues, revealing a developmental and temperature-sensitive restriction on infection. Confocal and flow cytometry analyses identify enterocytes as the primary target cells for HCoV-229E. Furthermore, we show that camostat, a serine protease inhibitor, significantly reduces HCoV-229E replication in HIEs, confirming a critical role for host serine protease activity. Collectively, these findings establish HIEs as a relevant model for HCoV-229E–host interactions and reveal temperature- and age-dependent determinants governing intestinal permissiveness to this seasonal coronavirus.</w:t>
      </w:r>
    </w:p>
    <w:p>
      <w:pPr>
        <w:spacing w:before="120" w:after="120"/>
      </w:pPr>
      <w:r>
        <w:rPr>
          <w:sz w:val="18"/>
        </w:rPr>
        <w:t>——————————————————————————————————————————————————————————————————————</w:t>
      </w:r>
    </w:p>
    <w:p>
      <w:pPr>
        <w:spacing w:before="160" w:after="40" w:line="240" w:lineRule="auto"/>
      </w:pPr>
      <w:r>
        <w:rPr>
          <w:b/>
        </w:rPr>
        <w:t xml:space="preserve">[354] </w:t>
      </w:r>
      <w:hyperlink r:id="rId912">
        <w:r>
          <w:rPr>
            <w:color w:val="1155CC"/>
            <w:u w:val="single"/>
          </w:rPr>
          <w:t>受限细胞迁移过程中细胞核的适应性机械化学机制</w:t>
        </w:r>
      </w:hyperlink>
    </w:p>
    <w:p>
      <w:pPr>
        <w:spacing w:before="0" w:after="80"/>
      </w:pPr>
      <w:r>
        <w:rPr>
          <w:i/>
          <w:sz w:val="20"/>
        </w:rPr>
        <w:t>EN: Adaptive mechanochemical mechanisms of the nucleus during confined cell migration</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913">
        <w:r>
          <w:rPr>
            <w:color w:val="1155CC"/>
            <w:u w:val="single"/>
          </w:rPr>
          <w:t>10.1073/pnas.2604716123</w:t>
        </w:r>
      </w:hyperlink>
    </w:p>
    <w:p>
      <w:pPr>
        <w:spacing w:before="0" w:after="120"/>
      </w:pPr>
      <w:r>
        <w:rPr>
          <w:b/>
        </w:rPr>
        <w:t xml:space="preserve">Notes: </w:t>
      </w:r>
      <w:r>
        <w:t>abstract_source=crossref</w:t>
      </w:r>
    </w:p>
    <w:p>
      <w:pPr>
        <w:spacing w:before="0" w:after="80" w:lineRule="auto" w:line="276"/>
      </w:pPr>
      <w:r>
        <w:rPr>
          <w:b/>
        </w:rPr>
        <w:t xml:space="preserve">摘要（ZH）: </w:t>
      </w:r>
      <w:r>
        <w:t>细胞通过空间受限的微环境迁移发生在许多生物过程中，例如胚胎发育、免疫监视和癌症转移。这种迁移过程中的一个主要瓶颈是细胞核，它不仅充当刚性机械障碍，而且充当调节下游信号通路的关键机械传感器。然而，人们对核变形和机械感觉如何共同调节细胞在有限空间中的迁移仍然知之甚少。在这里，我们提出了一种受限核易位的三维（3D）机械化学模型，该模型将核变形与变形诱导的钙信号传导以及随后的细胞骨架收缩性调节相结合。我们证明细胞会经历适应性核变形，包括核膜伸长和 3D 屈曲，以有效地导航不同尺寸的限制。核速度和约束尺寸之间存在双相关系，这是由核变形性和力敏感反馈之间的相互作用引起的。我们证明，在大变形下可能会发生局部核膜破裂，从而使核易位通过极端限制，如先前实验中观察到的那样。此外，我们阐明了染色质组织在核易位中的关键作用。这项工作揭示了驱动受限细胞迁移的关键机械化学机制，并为研究跨生理和病理背景的核动力学提供了理论框架。</w:t>
      </w:r>
    </w:p>
    <w:p>
      <w:pPr>
        <w:spacing w:before="0" w:after="200" w:lineRule="auto" w:line="276"/>
      </w:pPr>
      <w:r>
        <w:rPr>
          <w:b/>
        </w:rPr>
        <w:t xml:space="preserve">Abstract (EN): </w:t>
      </w:r>
      <w:r>
        <w:t>Cell migration through spatially confined microenvironments occurs in many biological processes such as embryonic development, immune surveillance, and cancer metastasis. A major bottleneck during such migration is the nucleus, which acts not only as a rigid mechanical obstacle but also as a crucial mechanosensor that modulates downstream signaling pathways. However, it remains poorly understood how nuclear deformation and mechanosensation together regulate cell migration through confined spaces. Here, we propose a three-dimensional (3D) mechanochemical model of confined nuclear translocation that integrates nuclear deformation with deformation-induced calcium signaling and subsequent regulation of cytoskeletal contractility. We show that cells undergo adaptive nuclear deformation, including nuclear envelope elongation and 3D buckling, to efficiently navigate confinements of varying sizes. There exists a biphasic relation between nuclear velocity and confinement size, arising from the interplay between nuclear deformability and mechanosensitive feedback. We demonstrate that local nuclear envelope rupture can occur under large deformation, enabling nuclear translocation through extreme confinements, as observed in prior experiments. Furthermore, we elucidate the critical roles of chromatin organization in nuclear translocation. This work reveals key mechanochemical mechanisms driving confined cell migration and provides a theoretical framework for studying nuclear dynamics across physiological and pathological contexts.</w:t>
      </w:r>
    </w:p>
    <w:p>
      <w:pPr>
        <w:spacing w:before="120" w:after="120"/>
      </w:pPr>
      <w:r>
        <w:rPr>
          <w:sz w:val="18"/>
        </w:rPr>
        <w:t>——————————————————————————————————————————————————————————————————————</w:t>
      </w:r>
    </w:p>
    <w:p>
      <w:pPr>
        <w:spacing w:before="160" w:after="40" w:line="240" w:lineRule="auto"/>
      </w:pPr>
      <w:r>
        <w:rPr>
          <w:b/>
        </w:rPr>
        <w:t xml:space="preserve">[355] </w:t>
      </w:r>
      <w:hyperlink r:id="rId914">
        <w:r>
          <w:rPr>
            <w:color w:val="1155CC"/>
            <w:u w:val="single"/>
          </w:rPr>
          <w:t>利用皮肤驻留 γδ T 细胞进行皮肤鳞状细胞癌的免疫治疗</w:t>
        </w:r>
      </w:hyperlink>
    </w:p>
    <w:p>
      <w:pPr>
        <w:spacing w:before="0" w:after="80"/>
      </w:pPr>
      <w:r>
        <w:rPr>
          <w:i/>
          <w:sz w:val="20"/>
        </w:rPr>
        <w:t>EN: Harnessing skin-resident γδ T cells for immunotherapy in cutaneous squamous cell carcinoma</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915">
        <w:r>
          <w:rPr>
            <w:color w:val="1155CC"/>
            <w:u w:val="single"/>
          </w:rPr>
          <w:t>10.1126/sciadv.aec7215</w:t>
        </w:r>
      </w:hyperlink>
    </w:p>
    <w:p>
      <w:pPr>
        <w:spacing w:before="0" w:after="120"/>
      </w:pPr>
      <w:r>
        <w:rPr>
          <w:b/>
        </w:rPr>
        <w:t xml:space="preserve">Notes: </w:t>
      </w:r>
      <w:r>
        <w:t>abstract_source=crossref</w:t>
      </w:r>
    </w:p>
    <w:p>
      <w:pPr>
        <w:spacing w:before="0" w:after="80" w:lineRule="auto" w:line="276"/>
      </w:pPr>
      <w:r>
        <w:rPr>
          <w:b/>
        </w:rPr>
        <w:t xml:space="preserve">摘要（ZH）: </w:t>
      </w:r>
      <w:r>
        <w:t>γδ (γδ) T 细胞对于组织免疫监视至关重要，它们在肿瘤中的存在与良好的预后相关，凸显了它们的治疗潜力。尽管 γδ T 细胞在皮肤中含量丰富，但由于从人体组织中分离足够数量的 γδ T 细胞存在挑战，并且缺乏合适的皮肤癌临床前模型，因此其在皮肤癌中的治疗价值尚未得到充分探索。在这里，我们使用创新方法离体扩增人皮肤 γδ T 细胞，使我们能够研究它们在人皮肤鳞状细胞癌 (cSCC) 小鼠模型中的治疗潜力。在此模型中，γδ T 细胞被专门招募并维持在 cSCC 异种移植物中。这些肿瘤浸润细胞表现出活化的细胞毒性表型，并在体内表现出有效的抗肿瘤活性。总的来说，我们的研究结果提供了临床前证据，支持人类皮肤驻留 γδ T 细胞作为治疗皮肤癌（例如鳞状细胞癌）的一种有前途的免疫治疗方法。</w:t>
      </w:r>
    </w:p>
    <w:p>
      <w:pPr>
        <w:spacing w:before="0" w:after="200" w:lineRule="auto" w:line="276"/>
      </w:pPr>
      <w:r>
        <w:rPr>
          <w:b/>
        </w:rPr>
        <w:t xml:space="preserve">Abstract (EN): </w:t>
      </w:r>
      <w:r>
        <w:t>Gamma delta (γδ) T cells are critical for tissue immune surveillance and their presence in tumors correlates with a favorable prognosis, highlighting their therapeutic potential. Although γδ T cells are abundant in the skin, their therapeutic value in skin cancer has remained largely unexplored due to challenges in isolating sufficient numbers of γδ T cells from human tissues and a lack of suitable preclinical models for skin cancer. Here, we are using innovative methods to expand human cutaneous γδ T cells ex vivo, enabling us to investigate their therapeutic potential in a human cutaneous squamous cell carcinoma (cSCC) mouse model. In this model, γδ T cells were specifically recruited to and maintained in the cSCC xenograft. These tumor-infiltrating cells exhibited an activated, cytotoxic phenotype and demonstrated effective antitumor activity in vivo. Collectively, our findings provide preclinical evidence supporting human skin–resident γδ T cells as a promising immunotherapeutic approach for treating skin cancers such as cSCC.</w:t>
      </w:r>
    </w:p>
    <w:p>
      <w:pPr>
        <w:spacing w:before="120" w:after="120"/>
      </w:pPr>
      <w:r>
        <w:rPr>
          <w:sz w:val="18"/>
        </w:rPr>
        <w:t>——————————————————————————————————————————————————————————————————————</w:t>
      </w:r>
    </w:p>
    <w:p>
      <w:pPr>
        <w:spacing w:before="160" w:after="40" w:line="240" w:lineRule="auto"/>
      </w:pPr>
      <w:r>
        <w:rPr>
          <w:b/>
        </w:rPr>
        <w:t xml:space="preserve">[356] </w:t>
      </w:r>
      <w:hyperlink r:id="rId916">
        <w:r>
          <w:rPr>
            <w:color w:val="1155CC"/>
            <w:u w:val="single"/>
          </w:rPr>
          <w:t>深度学习框架的图像特征嵌入改善了狗内表型的全基因组关联研究</w:t>
        </w:r>
      </w:hyperlink>
    </w:p>
    <w:p>
      <w:pPr>
        <w:spacing w:before="0" w:after="80"/>
      </w:pPr>
      <w:r>
        <w:rPr>
          <w:i/>
          <w:sz w:val="20"/>
        </w:rPr>
        <w:t>EN: Image feature embedding with a deep learning framework improves genome-wide association studies on dog endophenotypes</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917">
        <w:r>
          <w:rPr>
            <w:color w:val="1155CC"/>
            <w:u w:val="single"/>
          </w:rPr>
          <w:t>10.1126/sciadv.aee1088</w:t>
        </w:r>
      </w:hyperlink>
    </w:p>
    <w:p>
      <w:pPr>
        <w:spacing w:before="0" w:after="120"/>
      </w:pPr>
      <w:r>
        <w:rPr>
          <w:b/>
        </w:rPr>
        <w:t xml:space="preserve">Notes: </w:t>
      </w:r>
      <w:r>
        <w:t>abstract_source=crossref</w:t>
      </w:r>
    </w:p>
    <w:p>
      <w:pPr>
        <w:spacing w:before="0" w:after="80" w:lineRule="auto" w:line="276"/>
      </w:pPr>
      <w:r>
        <w:rPr>
          <w:b/>
        </w:rPr>
        <w:t xml:space="preserve">摘要（ZH）: </w:t>
      </w:r>
      <w:r>
        <w:t>家养狗表现出巨大的形态多样性，使得对其表型的定量表征具有挑战性。传统的表型分析方法通常依赖于手动测量，这在捕获复杂视觉特征的能力方面受到限制。深度学习提供了从图像中自动提取信息丰富且具有生物学意义的特征的机会。在这项研究中，我们构建了包含多个品种的 13,254 张狗图像的数据集，并使用 ResNet 和 ViT 模型自动提取 256 维图像嵌入。使用 UMAP（均匀流形近似和投影）进行降维后，我们对提取的特征和品种级基因型数据进行了 GWAS（全基因组关联研究）。我们鉴定了 15 个先前报道与狗的特征（如毛发长度和体型）相关的基因，以及先前未知的与身体发育和毛发生长相关的候选基因，包括</w:t>
      </w:r>
      <w:r>
        <w:t xml:space="preserve"> </w:t>
      </w:r>
      <w:r>
        <w:t>EIF2S2</w:t>
      </w:r>
      <w:r>
        <w:t xml:space="preserve"> </w:t>
      </w:r>
      <w:r>
        <w:t>,</w:t>
      </w:r>
      <w:r>
        <w:t xml:space="preserve"> </w:t>
      </w:r>
      <w:r>
        <w:t>TRHR</w:t>
      </w:r>
      <w:r>
        <w:t xml:space="preserve"> </w:t>
      </w:r>
      <w:r>
        <w:t>, 和</w:t>
      </w:r>
      <w:r>
        <w:t xml:space="preserve"> </w:t>
      </w:r>
      <w:r>
        <w:t>TCF25</w:t>
      </w:r>
      <w:r>
        <w:t xml:space="preserve"> </w:t>
      </w:r>
      <w:r>
        <w:t>，其中包含具有潜在功能相关性的变体。这种方法经过已知的遗传关联的验证，可以揭示以前未识别的基因型-表型联系。基于这些功能，该方法提供了一个可扩展的表型提取框架，可以对家养狗进行群体遗传学研究，并可以促进其他经济上重要物种的育种。</w:t>
      </w:r>
    </w:p>
    <w:p>
      <w:pPr>
        <w:spacing w:before="0" w:after="200" w:lineRule="auto" w:line="276"/>
      </w:pPr>
      <w:r>
        <w:rPr>
          <w:b/>
        </w:rPr>
        <w:t xml:space="preserve">Abstract (EN): </w:t>
      </w:r>
      <w:r>
        <w:t>Domestic dogs exhibit substantial morphological diversity, making quantitative characterization of their phenotypes challenging. Traditional phenotyping methods often rely on manual measurements, which are limited in their ability to capture complex visual traits. Deep learning provides an opportunity to automatically extract informative and biologically meaningful features from images. In this study, we constructed a dataset of 13,254 dog images across multiple breeds and used ResNet and ViT models to automatically extract 256-dimensional image embeddings. After dimensionality reduction using UMAP (uniform manifold approximation and projection), we performed a GWAS (genome-wide association study) on the extracted features and breed-level genotype data. We identified 15 genes previously reported to be associated with dog traits such as hair length and body size, as well as previously unknown candidate genes related to body development and hair growth, including</w:t>
      </w:r>
      <w:r>
        <w:t xml:space="preserve"> </w:t>
      </w:r>
      <w:r>
        <w:t>EIF2S2</w:t>
      </w:r>
      <w:r>
        <w:t xml:space="preserve"> </w:t>
      </w:r>
      <w:r>
        <w:t>,</w:t>
      </w:r>
      <w:r>
        <w:t xml:space="preserve"> </w:t>
      </w:r>
      <w:r>
        <w:t>TRHR</w:t>
      </w:r>
      <w:r>
        <w:t xml:space="preserve"> </w:t>
      </w:r>
      <w:r>
        <w:t>, and</w:t>
      </w:r>
      <w:r>
        <w:t xml:space="preserve"> </w:t>
      </w:r>
      <w:r>
        <w:t>TCF25</w:t>
      </w:r>
      <w:r>
        <w:t xml:space="preserve"> </w:t>
      </w:r>
      <w:r>
        <w:t>, which harbor variants with potential functional relevance. This approach is validated by known genetic associations and can reveal previously unidentified genotype-phenotype links. Building on these capabilities, this approach provides a scalable framework for phenotype extraction that enables population genetic studies in domestic dogs and can facilitate breeding in other economically important species.</w:t>
      </w:r>
    </w:p>
    <w:p>
      <w:pPr>
        <w:spacing w:before="120" w:after="120"/>
      </w:pPr>
      <w:r>
        <w:rPr>
          <w:sz w:val="18"/>
        </w:rPr>
        <w:t>——————————————————————————————————————————————————————————————————————</w:t>
      </w:r>
    </w:p>
    <w:p>
      <w:pPr>
        <w:spacing w:before="160" w:after="40" w:line="240" w:lineRule="auto"/>
      </w:pPr>
      <w:r>
        <w:rPr>
          <w:b/>
        </w:rPr>
        <w:t xml:space="preserve">[357] </w:t>
      </w:r>
      <w:hyperlink r:id="rId918">
        <w:r>
          <w:rPr>
            <w:color w:val="1155CC"/>
            <w:u w:val="single"/>
          </w:rPr>
          <w:t>鉴定控制全球担子菌病原体减数分裂进入的主调控因子 Msd1</w:t>
        </w:r>
      </w:hyperlink>
    </w:p>
    <w:p>
      <w:pPr>
        <w:spacing w:before="0" w:after="80"/>
      </w:pPr>
      <w:r>
        <w:rPr>
          <w:i/>
          <w:sz w:val="20"/>
        </w:rPr>
        <w:t>EN: Identification of a master regulator Msd1 that governs meiotic entry in a global basidiomycete pathogen</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919">
        <w:r>
          <w:rPr>
            <w:color w:val="1155CC"/>
            <w:u w:val="single"/>
          </w:rPr>
          <w:t>10.1073/pnas.2536339123</w:t>
        </w:r>
      </w:hyperlink>
    </w:p>
    <w:p>
      <w:pPr>
        <w:spacing w:before="0" w:after="120"/>
      </w:pPr>
      <w:r>
        <w:rPr>
          <w:b/>
        </w:rPr>
        <w:t xml:space="preserve">Notes: </w:t>
      </w:r>
      <w:r>
        <w:t>abstract_source=crossref</w:t>
      </w:r>
    </w:p>
    <w:p>
      <w:pPr>
        <w:spacing w:before="0" w:after="80" w:lineRule="auto" w:line="276"/>
      </w:pPr>
      <w:r>
        <w:rPr>
          <w:b/>
        </w:rPr>
        <w:t xml:space="preserve">摘要（ZH）: </w:t>
      </w:r>
      <w:r>
        <w:t>减数分裂是有性生殖的标志。尽管从单细胞酵母到后生动物，核心减数分裂机制在进化上是保守的，但负责启动减数分裂的关键调节因子因物种而异，并且在主要真核谱系中仍然很大程度上未被识别，包括真菌界的主要担子菌门。担子菌纲真菌</w:t>
      </w:r>
      <w:r>
        <w:t xml:space="preserve"> </w:t>
      </w:r>
      <w:r>
        <w:t>新型隐球菌</w:t>
      </w:r>
      <w:r>
        <w:t xml:space="preserve"> </w:t>
      </w:r>
      <w:r>
        <w:t>是世界卫生组织列出的一种重要病原体，可在全世界范围内引起危及生命的脑膜脑炎。减数分裂不仅通过产生遗传多样性的孢子间接促进隐球菌的致病性，而且还直接促进宿主适应和疾病进展。在这里，我们发现了一种新的转录因子 Msd1，它负责激活减数分裂</w:t>
      </w:r>
      <w:r>
        <w:t xml:space="preserve"> </w:t>
      </w:r>
      <w:r>
        <w:t>新型隐球菌</w:t>
      </w:r>
      <w:r>
        <w:t xml:space="preserve"> </w:t>
      </w:r>
      <w:r>
        <w:t>。删除</w:t>
      </w:r>
      <w:r>
        <w:t xml:space="preserve"> </w:t>
      </w:r>
      <w:r>
        <w:t>默沙东1</w:t>
      </w:r>
      <w:r>
        <w:t xml:space="preserve"> </w:t>
      </w:r>
      <w:r>
        <w:t>多种性发育事件受损，减数分裂和随后的孢子发生（配子发生）显着消失。相反，过度表达</w:t>
      </w:r>
      <w:r>
        <w:t xml:space="preserve"> </w:t>
      </w:r>
      <w:r>
        <w:t>默沙东1</w:t>
      </w:r>
      <w:r>
        <w:t xml:space="preserve"> </w:t>
      </w:r>
      <w:r>
        <w:t>即使在没有外部交配诱导线索或交配途径基因失活的情况下，单独的减数分裂就足以驱动减数分裂和减数分裂孢子的形成。从机制上讲，我们证明了 Msd1 通过靶向两个相互关联的途径来启动减数分裂进入。首先，Msd1激活多重进化的转录</w:t>
      </w:r>
    </w:p>
    <w:p>
      <w:pPr>
        <w:spacing w:before="0" w:after="200" w:lineRule="auto" w:line="276"/>
      </w:pPr>
      <w:r>
        <w:rPr>
          <w:b/>
        </w:rPr>
        <w:t xml:space="preserve">Abstract (EN): </w:t>
      </w:r>
      <w:r>
        <w:t>Meiosis is a hallmark of sexual reproduction. Although the core meiotic machinery is evolutionarily conserved from unicellular yeasts to Metazoan, the key regulators responsible for initiating meiosis vary across species and remain largely unidentified in major eukaryotic lineages, including the major phylum Basidiomycota in the Kingdom Fungi. The basidiomycete fungus</w:t>
      </w:r>
      <w:r>
        <w:t xml:space="preserve"> </w:t>
      </w:r>
      <w:r>
        <w:t>Cryptococcus neoformans</w:t>
      </w:r>
      <w:r>
        <w:t xml:space="preserve"> </w:t>
      </w:r>
      <w:r>
        <w:t>is a critical pathogen listed by the World Health Organization that causes life-threatening meningoencephalitis worldwide. Meiosis not only indirectly facilitates cryptococcal pathogenicity through generating genetically diverse spores but also directly contributes to host adaptation and disease progression. Here, we identified a novel transcription factor Msd1 that is responsible for activating meiosis in</w:t>
      </w:r>
      <w:r>
        <w:t xml:space="preserve"> </w:t>
      </w:r>
      <w:r>
        <w:t>C. neoformans</w:t>
      </w:r>
      <w:r>
        <w:t xml:space="preserve"> </w:t>
      </w:r>
      <w:r>
        <w:t>. Deletion of</w:t>
      </w:r>
      <w:r>
        <w:t xml:space="preserve"> </w:t>
      </w:r>
      <w:r>
        <w:t>MSD1</w:t>
      </w:r>
      <w:r>
        <w:t xml:space="preserve"> </w:t>
      </w:r>
      <w:r>
        <w:t>impaired multiple sexual development events and strikingly abolished meiosis and subsequent sporogenesis (gametogenesis). Conversely, overexpression of</w:t>
      </w:r>
      <w:r>
        <w:t xml:space="preserve"> </w:t>
      </w:r>
      <w:r>
        <w:t>MSD1</w:t>
      </w:r>
      <w:r>
        <w:t xml:space="preserve"> </w:t>
      </w:r>
      <w:r>
        <w:t>alone is sufficient to drive meiosis and the formation of meiotic spores, even in the absence of the external mating-inducing cues or when the mating pathway is genetically inactivated. Mechanistically, we demonstrated that Msd1 initiates meiotic entry by targeting two interconnected pathways. First, Msd1 activates the transcription of multiple evolutionarily conserved core meiosis-specific genes such as meiotic recombinase Dmc1. Second, Msd1 activates two RNA-binding proteins, Csa1 and Csa2, which ensure spatiotemporal expression of the aforementioned meiosis-specific genes to drive meiosis and sporogenesis. Collectively, our findings demonstrate that meiosis and the sequential sexual development events are spatiotemporally orchestrated by the master regulator Msd1, and is the first reported regulator initiating meiotic entry in a basidiomycete fungus.</w:t>
      </w:r>
    </w:p>
    <w:p>
      <w:pPr>
        <w:spacing w:before="120" w:after="120"/>
      </w:pPr>
      <w:r>
        <w:rPr>
          <w:sz w:val="18"/>
        </w:rPr>
        <w:t>——————————————————————————————————————————————————————————————————————</w:t>
      </w:r>
    </w:p>
    <w:p>
      <w:pPr>
        <w:spacing w:before="160" w:after="40" w:line="240" w:lineRule="auto"/>
      </w:pPr>
      <w:r>
        <w:rPr>
          <w:b/>
        </w:rPr>
        <w:t xml:space="preserve">[358] </w:t>
      </w:r>
      <w:hyperlink r:id="rId920">
        <w:r>
          <w:rPr>
            <w:color w:val="1155CC"/>
            <w:u w:val="single"/>
          </w:rPr>
          <w:t>炎症单核细胞抑制 YAP 诱导的细胞增殖</w:t>
        </w:r>
      </w:hyperlink>
    </w:p>
    <w:p>
      <w:pPr>
        <w:spacing w:before="0" w:after="80"/>
      </w:pPr>
      <w:r>
        <w:rPr>
          <w:i/>
          <w:sz w:val="20"/>
        </w:rPr>
        <w:t>EN: Inflammatory monocytes constrain YAP-induced cell proliferation</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921">
        <w:r>
          <w:rPr>
            <w:color w:val="1155CC"/>
            <w:u w:val="single"/>
          </w:rPr>
          <w:t>10.1126/sciadv.aee8580</w:t>
        </w:r>
      </w:hyperlink>
    </w:p>
    <w:p>
      <w:pPr>
        <w:spacing w:before="0" w:after="120"/>
      </w:pPr>
      <w:r>
        <w:rPr>
          <w:b/>
        </w:rPr>
        <w:t xml:space="preserve">Notes: </w:t>
      </w:r>
      <w:r>
        <w:t>abstract_source=crossref</w:t>
      </w:r>
    </w:p>
    <w:p>
      <w:pPr>
        <w:spacing w:before="0" w:after="80" w:lineRule="auto" w:line="276"/>
      </w:pPr>
      <w:r>
        <w:rPr>
          <w:b/>
        </w:rPr>
        <w:t xml:space="preserve">摘要（ZH）: </w:t>
      </w:r>
      <w:r>
        <w:t>亚普</w:t>
      </w:r>
      <w:r>
        <w:t xml:space="preserve"> </w:t>
      </w:r>
      <w:r>
        <w:t>及其旁系同源物，</w:t>
      </w:r>
      <w:r>
        <w:t xml:space="preserve"> </w:t>
      </w:r>
      <w:r>
        <w:t>塔兹</w:t>
      </w:r>
      <w:r>
        <w:t xml:space="preserve"> </w:t>
      </w:r>
      <w:r>
        <w:t>，是调节细胞生长的 Hippo 途径的转录共激活因子。它们的结构独特性表明重要的独立功能差异。为了进一步研究这一点，我们在肝脏中生成了以 YAP 和 TAZ 为主的克隆，并跟踪了它们的长期行为。 YAP 克隆可快速将细胞去分化为干细胞样状态，并招募炎症免疫细胞，然后将其清除。相比之下，TAZ 克隆促进抗炎免疫环境，导致其长期维持、大量器官生长和死亡率增加。 YAP 克隆招募炎症性血液来源的单核细胞，如果受到抑制，YAP 克隆就会生长。与这些结果一致，患者</w:t>
      </w:r>
      <w:r>
        <w:t xml:space="preserve"> </w:t>
      </w:r>
      <w:r>
        <w:t>亚普</w:t>
      </w:r>
      <w:r>
        <w:t xml:space="preserve"> </w:t>
      </w:r>
      <w:r>
        <w:t>高</w:t>
      </w:r>
      <w:r>
        <w:t xml:space="preserve"> </w:t>
      </w:r>
      <w:r>
        <w:t>结直肠癌 (CRC) 的 5 年生存率为 67%，而结直肠癌 (CRC) 患者的 5 年生存率为 67%</w:t>
      </w:r>
      <w:r>
        <w:t xml:space="preserve"> </w:t>
      </w:r>
      <w:r>
        <w:t>塔兹</w:t>
      </w:r>
      <w:r>
        <w:t xml:space="preserve"> </w:t>
      </w:r>
      <w:r>
        <w:t>高</w:t>
      </w:r>
      <w:r>
        <w:t xml:space="preserve"> </w:t>
      </w:r>
      <w:r>
        <w:t>CRC 没有存活到 5 年。肝细胞癌患者也出现了类似的趋势。这些发现强调了了解 YAP 和 TAZ 生物学的内在差异作为疾病的独立驱动因素的重要性。</w:t>
      </w:r>
    </w:p>
    <w:p>
      <w:pPr>
        <w:spacing w:before="0" w:after="200" w:lineRule="auto" w:line="276"/>
      </w:pPr>
      <w:r>
        <w:rPr>
          <w:b/>
        </w:rPr>
        <w:t xml:space="preserve">Abstract (EN): </w:t>
      </w:r>
      <w:r>
        <w:t>YAP</w:t>
      </w:r>
      <w:r>
        <w:t xml:space="preserve"> </w:t>
      </w:r>
      <w:r>
        <w:t>and its paralog,</w:t>
      </w:r>
      <w:r>
        <w:t xml:space="preserve"> </w:t>
      </w:r>
      <w:r>
        <w:t>TAZ</w:t>
      </w:r>
      <w:r>
        <w:t xml:space="preserve"> </w:t>
      </w:r>
      <w:r>
        <w:t>, are transcriptional coactivators of the Hippo pathway that regulate cell growth. Their structural distinctiveness suggests important independent functional differences. To investigate this further, we generated YAP- and TAZ-predominant clones in the liver and followed their long-term behavior. YAP clones rapidly dedifferentiate cells into a stem cell–like state with inflammatory immune cell recruitment followed by their clearance. In contrast, TAZ clones promote an anti-inflammatory immune environment, resulting in their long-term maintenance, massive organ growth, and increased mortality. YAP clones recruit inflammatory blood-derived monocytes, which, if inhibited, permits YAP clonal growth. Consistent with these results, patients with</w:t>
      </w:r>
      <w:r>
        <w:t xml:space="preserve"> </w:t>
      </w:r>
      <w:r>
        <w:t>YAP</w:t>
      </w:r>
      <w:r>
        <w:t xml:space="preserve"> </w:t>
      </w:r>
      <w:r>
        <w:t>High</w:t>
      </w:r>
      <w:r>
        <w:t xml:space="preserve"> </w:t>
      </w:r>
      <w:r>
        <w:t>colorectal cancer (CRC) had a 67% 5-year survival rate, whereas patients with</w:t>
      </w:r>
      <w:r>
        <w:t xml:space="preserve"> </w:t>
      </w:r>
      <w:r>
        <w:t>TAZ</w:t>
      </w:r>
      <w:r>
        <w:t xml:space="preserve"> </w:t>
      </w:r>
      <w:r>
        <w:t>High</w:t>
      </w:r>
      <w:r>
        <w:t xml:space="preserve"> </w:t>
      </w:r>
      <w:r>
        <w:t>CRC did not survive to 5 years. Similar trends were seen in patients with hepatocellular carcinoma. These findings underscore the importance of understanding the intrinsic differences in YAP and TAZ biology as independent drivers of disease.</w:t>
      </w:r>
    </w:p>
    <w:p>
      <w:pPr>
        <w:spacing w:before="120" w:after="120"/>
      </w:pPr>
      <w:r>
        <w:rPr>
          <w:sz w:val="18"/>
        </w:rPr>
        <w:t>——————————————————————————————————————————————————————————————————————</w:t>
      </w:r>
    </w:p>
    <w:p>
      <w:pPr>
        <w:spacing w:before="160" w:after="40" w:line="240" w:lineRule="auto"/>
      </w:pPr>
      <w:r>
        <w:rPr>
          <w:b/>
        </w:rPr>
        <w:t xml:space="preserve">[359] </w:t>
      </w:r>
      <w:hyperlink r:id="rId922">
        <w:r>
          <w:rPr>
            <w:color w:val="1155CC"/>
            <w:u w:val="single"/>
          </w:rPr>
          <w:t>神经嵴进化中的共同选择和创新</w:t>
        </w:r>
      </w:hyperlink>
    </w:p>
    <w:p>
      <w:pPr>
        <w:spacing w:before="0" w:after="80"/>
      </w:pPr>
      <w:r>
        <w:rPr>
          <w:i/>
          <w:sz w:val="20"/>
        </w:rPr>
        <w:t>EN: Co-option and innovation in neural crest evolution</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923">
        <w:r>
          <w:rPr>
            <w:color w:val="1155CC"/>
            <w:u w:val="single"/>
          </w:rPr>
          <w:t>10.1126/sciadv.aed9037</w:t>
        </w:r>
      </w:hyperlink>
    </w:p>
    <w:p>
      <w:pPr>
        <w:spacing w:before="0" w:after="120"/>
      </w:pPr>
      <w:r>
        <w:rPr>
          <w:b/>
        </w:rPr>
        <w:t xml:space="preserve">Notes: </w:t>
      </w:r>
      <w:r>
        <w:t>abstract_source=crossref</w:t>
      </w:r>
    </w:p>
    <w:p>
      <w:pPr>
        <w:spacing w:before="0" w:after="80" w:lineRule="auto" w:line="276"/>
      </w:pPr>
      <w:r>
        <w:rPr>
          <w:b/>
        </w:rPr>
        <w:t xml:space="preserve">摘要（ZH）: </w:t>
      </w:r>
      <w:r>
        <w:t>神经嵴是脊椎动物中最具进化变革性的细胞谱系之一。由其迁移能力和多能性定义，它不是一种固定的细胞类型，而是一种短暂的、变形的干细胞群，在胚层形成后重新分配和重新利用不同的细胞程序。在这篇评论文章中，我们追求三个目标。首先，我们探讨神经嵴如何充当进化机会主义者和小偷，从中胚层、基板和中枢神经系统谱系中选择身份来产生新的结构。其次，我们区分这种增选特征和在允许的神经嵴环境中出现的真正创新。第三，我们讨论了一种进化场景，其中神经嵴起源于参与伪装和光传感的光感觉和色素细胞谱系。在向捕食的过渡过程中，这种祖先的非必需的、因此具有可塑性的谱系获得了多能性和迁移行为，使得新细胞类型的出现成为可能，并促进了脊椎动物的重大创新，例如“新头”。</w:t>
      </w:r>
    </w:p>
    <w:p>
      <w:pPr>
        <w:spacing w:before="0" w:after="200" w:lineRule="auto" w:line="276"/>
      </w:pPr>
      <w:r>
        <w:rPr>
          <w:b/>
        </w:rPr>
        <w:t xml:space="preserve">Abstract (EN): </w:t>
      </w:r>
      <w:r>
        <w:t>The neural crest is one of the most evolutionarily transformative cell lineages in vertebrates. Defined by its migratory capacity and multipotency, it is not a fixed cell type but a transient, shape-shifting stem-like population that redistributes and repurposes diverse cellular programs after germ layer formation. In this opinion piece, we pursue three goals. First, we explore how the neural crest acts as an evolutionary opportunist and a thief, co-opting identities from mesodermal, placodal, and central nervous system lineages to generate novel structures. Second, we distinguish between such co-opted features and true innovations that arise within the permissive neural crest context. Third, we discuss an evolutionary scenario in which the neural crest originated from a photosensory and pigmented cell lineage involved in camouflage and light sensing. During the transition to predation, this ancestral nonessential and, therefore, plastic lineage acquired multipotency and migratory behavior, enabling the emergence of new cell types and contributing to major vertebrate innovations such as the “New Head.”</w:t>
      </w:r>
    </w:p>
    <w:p>
      <w:pPr>
        <w:spacing w:before="120" w:after="120"/>
      </w:pPr>
      <w:r>
        <w:rPr>
          <w:sz w:val="18"/>
        </w:rPr>
        <w:t>——————————————————————————————————————————————————————————————————————</w:t>
      </w:r>
    </w:p>
    <w:p>
      <w:pPr>
        <w:spacing w:before="160" w:after="40" w:line="240" w:lineRule="auto"/>
      </w:pPr>
      <w:r>
        <w:rPr>
          <w:b/>
        </w:rPr>
        <w:t xml:space="preserve">[360] </w:t>
      </w:r>
      <w:hyperlink r:id="rId924">
        <w:r>
          <w:rPr>
            <w:color w:val="1155CC"/>
            <w:u w:val="single"/>
          </w:rPr>
          <w:t>消除噪音以预测北大西洋气候的节奏</w:t>
        </w:r>
      </w:hyperlink>
    </w:p>
    <w:p>
      <w:pPr>
        <w:spacing w:before="0" w:after="80"/>
      </w:pPr>
      <w:r>
        <w:rPr>
          <w:i/>
          <w:sz w:val="20"/>
        </w:rPr>
        <w:t>EN: Clearing the noise to predict the rhythm of the North Atlantic climate</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925">
        <w:r>
          <w:rPr>
            <w:color w:val="1155CC"/>
            <w:u w:val="single"/>
          </w:rPr>
          <w:t>10.1126/sciadv.aed8616</w:t>
        </w:r>
      </w:hyperlink>
    </w:p>
    <w:p>
      <w:pPr>
        <w:spacing w:before="0" w:after="120"/>
      </w:pPr>
      <w:r>
        <w:rPr>
          <w:b/>
        </w:rPr>
        <w:t xml:space="preserve">Notes: </w:t>
      </w:r>
      <w:r>
        <w:t>abstract_source=crossref</w:t>
      </w:r>
    </w:p>
    <w:p>
      <w:pPr>
        <w:spacing w:before="0" w:after="80" w:lineRule="auto" w:line="276"/>
      </w:pPr>
      <w:r>
        <w:rPr>
          <w:b/>
        </w:rPr>
        <w:t xml:space="preserve">摘要（ZH）: </w:t>
      </w:r>
      <w:r>
        <w:t>北大西洋涛动（NAO）的十年间预测对于开发十年间气候服务和改善整个北大西洋地区的气候预测至关重要。然而，由于内部变异性和集合限制，在这些时间尺度上提取强大的预测技能仍然具有挑战性。在这里，我们引入了一种称为时间对齐平均（TAA）的创新后处理框架，该框架大大增强了冬季 NAO 的预测技能，将 1961 年至 2023 年的解释方差从 34% 增加到 69%，甚至为短期（4 至 5 年）平均值提供可靠的预测。结合充分利用单一模型的大型集合来规避多模型混合引起的不一致和偏差的二次采样策略，TAA 方法显着增强了年代际降水预报，将斯堪的纳维亚半岛的解释方差从 16% 提高到 54%，地中海盆地的解释方差从 1% 提高到 58%。十年间预测的这一重大进步可能通过改进气候风险评估和适应战略对各个部门产生广泛影响。</w:t>
      </w:r>
    </w:p>
    <w:p>
      <w:pPr>
        <w:spacing w:before="0" w:after="200" w:lineRule="auto" w:line="276"/>
      </w:pPr>
      <w:r>
        <w:rPr>
          <w:b/>
        </w:rPr>
        <w:t xml:space="preserve">Abstract (EN): </w:t>
      </w:r>
      <w:r>
        <w:t>Decadal prediction of the North Atlantic Oscillation (NAO) is essential for developing decadal climate services and improving climate forecasts across the North Atlantic region. However, extracting robust predictive skill at these timescales remains challenging due to internal variability and ensemble limitations. Here, we introduce an innovative postprocessing framework called temporally aligned averaging (TAA) that substantially enhances the prediction skill of the winter NAO, increasing the explained variance from 34 to 69% over 1961–2023, and providing reliable forecasts even for short-term (4 to 5 years) averages. Combined with a subsampling strategy that fully exploits large ensembles from a single model to circumvent inconsistencies and biases arising from multimodel mixtures, the TAA method notably strengthens decadal precipitation forecasts, enhancing its explained variance from 16 to 54% over Scandinavia and from 1 to 58% over the Mediterranean basin. This substantial advancement in decadal forecasting could have broad implications for various sectors by improving climate risk assessments and adaptation strategies.</w:t>
      </w:r>
    </w:p>
    <w:p>
      <w:pPr>
        <w:spacing w:before="120" w:after="120"/>
      </w:pPr>
      <w:r>
        <w:rPr>
          <w:sz w:val="18"/>
        </w:rPr>
        <w:t>——————————————————————————————————————————————————————————————————————</w:t>
      </w:r>
    </w:p>
    <w:p>
      <w:pPr>
        <w:spacing w:before="160" w:after="40" w:line="240" w:lineRule="auto"/>
      </w:pPr>
      <w:r>
        <w:rPr>
          <w:b/>
        </w:rPr>
        <w:t xml:space="preserve">[361] </w:t>
      </w:r>
      <w:hyperlink r:id="rId926">
        <w:r>
          <w:rPr>
            <w:color w:val="1155CC"/>
            <w:u w:val="single"/>
          </w:rPr>
          <w:t>解码骨骼多样性和复杂性：仿生和光化学重塑策略</w:t>
        </w:r>
      </w:hyperlink>
    </w:p>
    <w:p>
      <w:pPr>
        <w:spacing w:before="0" w:after="80"/>
      </w:pPr>
      <w:r>
        <w:rPr>
          <w:i/>
          <w:sz w:val="20"/>
        </w:rPr>
        <w:t>EN: Decoding skeletal diversity and complexity: A biomimetic and photochemical remodeling strategy</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927">
        <w:r>
          <w:rPr>
            <w:color w:val="1155CC"/>
            <w:u w:val="single"/>
          </w:rPr>
          <w:t>10.1126/sciadv.aeh0883</w:t>
        </w:r>
      </w:hyperlink>
    </w:p>
    <w:p>
      <w:pPr>
        <w:spacing w:before="0" w:after="120"/>
      </w:pPr>
      <w:r>
        <w:rPr>
          <w:b/>
        </w:rPr>
        <w:t xml:space="preserve">Notes: </w:t>
      </w:r>
      <w:r>
        <w:t>abstract_source=crossref</w:t>
      </w:r>
    </w:p>
    <w:p>
      <w:pPr>
        <w:spacing w:before="0" w:after="80" w:lineRule="auto" w:line="276"/>
      </w:pPr>
      <w:r>
        <w:rPr>
          <w:b/>
        </w:rPr>
        <w:t xml:space="preserve">摘要（ZH）: </w:t>
      </w:r>
      <w:r>
        <w:t>从单一前体构建三维多环支架是有机合成中长期存在的挑战。受到我们提出的海洋天然产物 oellatusone C 生物合成途径的启发（</w:t>
      </w:r>
      <w:r>
        <w:rPr>
          <w:vertAlign w:val="subscript"/>
        </w:rPr>
        <w:t>1</w:t>
      </w:r>
      <w:r>
        <w:t>），我们从tridachiaHydrpyrone实现了其简洁的仿生合成（</w:t>
      </w:r>
      <w:r>
        <w:rPr>
          <w:vertAlign w:val="subscript"/>
        </w:rPr>
        <w:t>2</w:t>
      </w:r>
      <w:r>
        <w:t>）通过酸触发级联以迪克曼型环化为特征。这种转化进一步建立了骨骼多样化的平台，产生了一系列具有广泛功能耐受性的[3.3.1]双环类似物。在密度泛函理论（DFT）计算的指导下，我们发现了一种光诱导的骨骼重组，可以有效地生成难以捉摸的多环结构。结合 DFT 计算和准经典动力学模拟的机理研究表明，临界乙烯基环丙烷-环戊烯重排的选择性源于自旋交叉后的动态效应。交叉偶联进一步将这些支架扩展为复杂分子的集中库。生物测定表明，这些结构多样的系统具有显着的抗疟生物活性，突出了它们作为先导药物的潜力。</w:t>
      </w:r>
    </w:p>
    <w:p>
      <w:pPr>
        <w:spacing w:before="0" w:after="200" w:lineRule="auto" w:line="276"/>
      </w:pPr>
      <w:r>
        <w:rPr>
          <w:b/>
        </w:rPr>
        <w:t xml:space="preserve">Abstract (EN): </w:t>
      </w:r>
      <w:r>
        <w:t>Constructing three-dimensional polycyclic scaffolds from a single precursor is a long-standing challenge in organic synthesis. Inspired by our proposed biosynthetic pathway of marine natural product ocellatusone C (</w:t>
      </w:r>
      <w:r>
        <w:rPr>
          <w:vertAlign w:val="subscript"/>
        </w:rPr>
        <w:t>1</w:t>
      </w:r>
      <w:r>
        <w:t>), we achieved its concise biomimetic synthesis from tridachiahydropyrone (</w:t>
      </w:r>
      <w:r>
        <w:rPr>
          <w:vertAlign w:val="subscript"/>
        </w:rPr>
        <w:t>2</w:t>
      </w:r>
      <w:r>
        <w:t>) through an acid-triggered cascade featuring a Dieckmann-type cyclization. This transformation further established a platform for skeletal diversification, yielding a series of [3.3.1] bicyclic analogs with broad functional tolerance. Guided by density functional theory (DFT) calculations, we uncovered a light-induced skeletal reorganization that efficiently generates elusive polycyclic architectures. Mechanistic investigations integrating DFT calculations and quasi-classical dynamics simulations revealed that selectivity in a critical vinylcyclopropane-cyclopentene rearrangement arises from post-spin crossing dynamic effects. Cross-coupling further expanded these scaffolds into a focused library of complex molecules. The bioassays indicated that these architecturally diverse systems have substantial antimalarial bioactivity, highlighting their potential as drug leads.</w:t>
      </w:r>
    </w:p>
    <w:p>
      <w:pPr>
        <w:spacing w:before="120" w:after="120"/>
      </w:pPr>
      <w:r>
        <w:rPr>
          <w:sz w:val="18"/>
        </w:rPr>
        <w:t>——————————————————————————————————————————————————————————————————————</w:t>
      </w:r>
    </w:p>
    <w:p>
      <w:pPr>
        <w:spacing w:before="160" w:after="40" w:line="240" w:lineRule="auto"/>
      </w:pPr>
      <w:r>
        <w:rPr>
          <w:b/>
        </w:rPr>
        <w:t xml:space="preserve">[362] </w:t>
      </w:r>
      <w:hyperlink r:id="rId928">
        <w:r>
          <w:rPr>
            <w:color w:val="1155CC"/>
            <w:u w:val="single"/>
          </w:rPr>
          <w:t>GAS6 通过细胞内在和生态位依赖性机制调节粘膜朗格汉斯细胞稳态</w:t>
        </w:r>
      </w:hyperlink>
    </w:p>
    <w:p>
      <w:pPr>
        <w:spacing w:before="0" w:after="80"/>
      </w:pPr>
      <w:r>
        <w:rPr>
          <w:i/>
          <w:sz w:val="20"/>
        </w:rPr>
        <w:t>EN: GAS6 regulates mucosal langerhans cell homeostasis through cell-intrinsic and niche-dependent mechanisms</w:t>
      </w:r>
    </w:p>
    <w:p>
      <w:pPr>
        <w:spacing w:before="0" w:after="120"/>
      </w:pPr>
      <w:r>
        <w:rPr>
          <w:b/>
        </w:rPr>
        <w:t xml:space="preserve">Source: </w:t>
      </w:r>
      <w:r>
        <w:t>Proceedings of the National Academy of Sciences: Keyword search for query</w:t>
      </w:r>
      <w:r>
        <w:t xml:space="preserve">    </w:t>
      </w:r>
      <w:r>
        <w:rPr>
          <w:b/>
        </w:rPr>
        <w:t xml:space="preserve">Pub date: </w:t>
      </w:r>
      <w:r>
        <w:t>2026-06-24 07:00:00+00:00</w:t>
      </w:r>
      <w:r>
        <w:t xml:space="preserve">    </w:t>
      </w:r>
      <w:r>
        <w:rPr>
          <w:b/>
        </w:rPr>
        <w:t xml:space="preserve">DOI: </w:t>
      </w:r>
      <w:hyperlink r:id="rId929">
        <w:r>
          <w:rPr>
            <w:color w:val="1155CC"/>
            <w:u w:val="single"/>
          </w:rPr>
          <w:t>10.1073/pnas.2601365123</w:t>
        </w:r>
      </w:hyperlink>
    </w:p>
    <w:p>
      <w:pPr>
        <w:spacing w:before="0" w:after="120"/>
      </w:pPr>
      <w:r>
        <w:rPr>
          <w:b/>
        </w:rPr>
        <w:t xml:space="preserve">Notes: </w:t>
      </w:r>
      <w:r>
        <w:t>abstract_source=crossref</w:t>
      </w:r>
    </w:p>
    <w:p>
      <w:pPr>
        <w:spacing w:before="0" w:after="80" w:lineRule="auto" w:line="276"/>
      </w:pPr>
      <w:r>
        <w:rPr>
          <w:b/>
        </w:rPr>
        <w:t xml:space="preserve">摘要（ZH）: </w:t>
      </w:r>
      <w:r>
        <w:t>具有复层上皮的屏障组织依靠朗格汉斯细胞（LC）来维持免疫监视。虽然 TAM 信号调节皮肤 LC 稳态，但其在粘膜 LC 发育中的作用仍不清楚。在这里，我们将 TAM 配体 GAS6 确定为口腔粘膜 LC 生物学的中心调节剂。 GAS6 保持上皮完整性并抑制局部炎症，同时通过控制 LC 在组织内的保留来微调 LC 丰度。在前体水平，GAS6 促进前树突细胞（前 DC），特别是前 DC1 的增殖和分化。而且GAS6优先支持AXL</w:t>
      </w:r>
      <w:r>
        <w:t xml:space="preserve"> </w:t>
      </w:r>
      <w:r>
        <w:t>+</w:t>
      </w:r>
      <w:r>
        <w:t xml:space="preserve"> </w:t>
      </w:r>
      <w:r>
        <w:t>前 DC 衍生的 LC，不影响 AXL</w:t>
      </w:r>
      <w:r>
        <w:t xml:space="preserve"> </w:t>
      </w:r>
      <w:r>
        <w:t>+</w:t>
      </w:r>
      <w:r>
        <w:t xml:space="preserve"> </w:t>
      </w:r>
      <w:r>
        <w:t>梅特克</w:t>
      </w:r>
      <w:r>
        <w:t xml:space="preserve"> </w:t>
      </w:r>
      <w:r>
        <w:t>+</w:t>
      </w:r>
      <w:r>
        <w:t xml:space="preserve"> </w:t>
      </w:r>
      <w:r>
        <w:t>单核细胞衍生的 LC，导致单核细胞对粘膜 LC 库的贡献更大。总之，这些发现表明 GAS6 是粘膜 LC 发育和稳态的双重协调者。</w:t>
      </w:r>
    </w:p>
    <w:p>
      <w:pPr>
        <w:spacing w:before="0" w:after="200" w:lineRule="auto" w:line="276"/>
      </w:pPr>
      <w:r>
        <w:rPr>
          <w:b/>
        </w:rPr>
        <w:t xml:space="preserve">Abstract (EN): </w:t>
      </w:r>
      <w:r>
        <w:t>Barrier tissues with stratified epithelia rely on Langerhans cells (LCs) to maintain immune surveillance. While TAM signaling regulates skin LC homeostasis, its role in mucosal LC development remains unclear. Here, we identify the TAM ligand GAS6 as a central regulator of oral mucosal LC biology. GAS6 preserves epithelial integrity and restrains local inflammation, while fine-tuning LC abundance by controlling their retention within the tissue. At the precursor level, GAS6 facilitates the proliferation and differentiation of predendritic cells (pre-DCs), particularly pre-DC1. Moreover, GAS6 preferentially supports AXL</w:t>
      </w:r>
      <w:r>
        <w:t xml:space="preserve"> </w:t>
      </w:r>
      <w:r>
        <w:t>+</w:t>
      </w:r>
      <w:r>
        <w:t xml:space="preserve"> </w:t>
      </w:r>
      <w:r>
        <w:t>pre-DC-derived LCs, without affecting AXL</w:t>
      </w:r>
      <w:r>
        <w:t xml:space="preserve"> </w:t>
      </w:r>
      <w:r>
        <w:t>+</w:t>
      </w:r>
      <w:r>
        <w:t xml:space="preserve"> </w:t>
      </w:r>
      <w:r>
        <w:t>MERTK</w:t>
      </w:r>
      <w:r>
        <w:t xml:space="preserve"> </w:t>
      </w:r>
      <w:r>
        <w:t>+</w:t>
      </w:r>
      <w:r>
        <w:t xml:space="preserve"> </w:t>
      </w:r>
      <w:r>
        <w:t>monocyte-derived LCs, leading to a greater contribution of monocytes to the mucosal LC pool. Together, these findings identify GAS6 as a dual-level orchestrator of mucosal LC development and homeostasis.</w:t>
      </w:r>
    </w:p>
    <w:p>
      <w:pPr>
        <w:spacing w:before="120" w:after="120"/>
      </w:pPr>
      <w:r>
        <w:rPr>
          <w:sz w:val="18"/>
        </w:rPr>
        <w:t>——————————————————————————————————————————————————————————————————————</w:t>
      </w:r>
    </w:p>
    <w:p>
      <w:pPr>
        <w:spacing w:before="160" w:after="40" w:line="240" w:lineRule="auto"/>
      </w:pPr>
      <w:r>
        <w:rPr>
          <w:b/>
        </w:rPr>
        <w:t xml:space="preserve">[363] </w:t>
      </w:r>
      <w:hyperlink r:id="rId930">
        <w:r>
          <w:rPr>
            <w:color w:val="1155CC"/>
            <w:u w:val="single"/>
          </w:rPr>
          <w:t>二维金属铁磁体室温磁性和多步磁化切换的实现</w:t>
        </w:r>
      </w:hyperlink>
    </w:p>
    <w:p>
      <w:pPr>
        <w:spacing w:before="0" w:after="80"/>
      </w:pPr>
      <w:r>
        <w:rPr>
          <w:i/>
          <w:sz w:val="20"/>
        </w:rPr>
        <w:t>EN: Realization of room-temperature magnetism and multistep magnetization switching in 2D metallic ferrimagnets</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931">
        <w:r>
          <w:rPr>
            <w:color w:val="1155CC"/>
            <w:u w:val="single"/>
          </w:rPr>
          <w:t>10.1126/sciadv.aee0391</w:t>
        </w:r>
      </w:hyperlink>
    </w:p>
    <w:p>
      <w:pPr>
        <w:spacing w:before="0" w:after="120"/>
      </w:pPr>
      <w:r>
        <w:rPr>
          <w:b/>
        </w:rPr>
        <w:t xml:space="preserve">Notes: </w:t>
      </w:r>
      <w:r>
        <w:t>abstract_source=crossref</w:t>
      </w:r>
    </w:p>
    <w:p>
      <w:pPr>
        <w:spacing w:before="0" w:after="80" w:lineRule="auto" w:line="276"/>
      </w:pPr>
      <w:r>
        <w:rPr>
          <w:b/>
        </w:rPr>
        <w:t xml:space="preserve">摘要（ZH）: </w:t>
      </w:r>
      <w:r>
        <w:t>在二维 (2D) 亚铁磁体中实现多步磁化切换，为推进高密度非布尔逻辑和存储设备展现了巨大的前景。然而，现有的二维亚铁磁体仍然受到低居里温度和缺乏可调谐的多个磁态的阻碍。在这里，我们报告了一系列二维铁的成功合成</w:t>
      </w:r>
      <w:r>
        <w:t xml:space="preserve"> </w:t>
      </w:r>
      <w:r>
        <w:t>0.875</w:t>
      </w:r>
      <w:r>
        <w:t xml:space="preserve"> </w:t>
      </w:r>
      <w:r>
        <w:t>S</w:t>
      </w:r>
      <w:r>
        <w:t xml:space="preserve"> </w:t>
      </w:r>
      <w:r>
        <w:t>(1−</w:t>
      </w:r>
      <w:r>
        <w:t>x</w:t>
      </w:r>
      <w:r>
        <w:t xml:space="preserve"> </w:t>
      </w:r>
      <w:r>
        <w:t>）</w:t>
      </w:r>
      <w:r>
        <w:t xml:space="preserve"> </w:t>
      </w:r>
      <w:r>
        <w:t>硒</w:t>
      </w:r>
      <w:r>
        <w:t xml:space="preserve"> </w:t>
      </w:r>
      <w:r>
        <w:t>x</w:t>
      </w:r>
      <w:r>
        <w:t xml:space="preserve"> </w:t>
      </w:r>
      <w:r>
        <w:t>具有强大的室温亚铁磁性的合金。通过调整 Fe 中的硫族元素比例可以有效调节关键的磁和电性能</w:t>
      </w:r>
      <w:r>
        <w:t xml:space="preserve"> </w:t>
      </w:r>
      <w:r>
        <w:t>0.875</w:t>
      </w:r>
      <w:r>
        <w:t xml:space="preserve"> </w:t>
      </w:r>
      <w:r>
        <w:t>S</w:t>
      </w:r>
      <w:r>
        <w:t xml:space="preserve"> </w:t>
      </w:r>
      <w:r>
        <w:t>(1−</w:t>
      </w:r>
      <w:r>
        <w:t>x</w:t>
      </w:r>
      <w:r>
        <w:t xml:space="preserve"> </w:t>
      </w:r>
      <w:r>
        <w:t>）</w:t>
      </w:r>
      <w:r>
        <w:t xml:space="preserve"> </w:t>
      </w:r>
      <w:r>
        <w:t>硒</w:t>
      </w:r>
      <w:r>
        <w:t xml:space="preserve"> </w:t>
      </w:r>
      <w:r>
        <w:t>x</w:t>
      </w:r>
      <w:r>
        <w:t xml:space="preserve"> </w:t>
      </w:r>
      <w:r>
        <w:t>合金。值得注意的是，由于自旋倾斜行为，观察到了多种磁态和电阻平台，从而可以通过调整磁场和温度来实现几种不同的自旋态，从而展示了多态应用的巨大潜力。密度泛函理论计算进一步揭示，磁各向异性的演化源于费米能级附近电子态轨道占据的变化。我们的工作可以扩展二维金属库</w:t>
      </w:r>
    </w:p>
    <w:p>
      <w:pPr>
        <w:spacing w:before="0" w:after="200" w:lineRule="auto" w:line="276"/>
      </w:pPr>
      <w:r>
        <w:rPr>
          <w:b/>
        </w:rPr>
        <w:t xml:space="preserve">Abstract (EN): </w:t>
      </w:r>
      <w:r>
        <w:t>Achieving multistep magnetization switching in two-dimensional (2D) ferrimagnets demonstrates substantial promise for advancing high-density non-Boolean logic and memory devices. However, existing 2D ferrimagnets are still hampered by low Curie temperatures and a lack of tunable multiple magnetic states. Here, we report the successful synthesis of a family of 2D Fe</w:t>
      </w:r>
      <w:r>
        <w:t xml:space="preserve"> </w:t>
      </w:r>
      <w:r>
        <w:t>0.875</w:t>
      </w:r>
      <w:r>
        <w:t xml:space="preserve"> </w:t>
      </w:r>
      <w:r>
        <w:t>S</w:t>
      </w:r>
      <w:r>
        <w:t xml:space="preserve"> </w:t>
      </w:r>
      <w:r>
        <w:t>(1−</w:t>
      </w:r>
      <w:r>
        <w:t>x</w:t>
      </w:r>
      <w:r>
        <w:t xml:space="preserve"> </w:t>
      </w:r>
      <w:r>
        <w:t>)</w:t>
      </w:r>
      <w:r>
        <w:t xml:space="preserve"> </w:t>
      </w:r>
      <w:r>
        <w:t>Se</w:t>
      </w:r>
      <w:r>
        <w:t xml:space="preserve"> </w:t>
      </w:r>
      <w:r>
        <w:t>x</w:t>
      </w:r>
      <w:r>
        <w:t xml:space="preserve"> </w:t>
      </w:r>
      <w:r>
        <w:t>alloy with robust room-temperature ferrimagnetism. The key magnetic and electrical properties can be effectively regulated by tailoring the chalcogen ratio in Fe</w:t>
      </w:r>
      <w:r>
        <w:t xml:space="preserve"> </w:t>
      </w:r>
      <w:r>
        <w:t>0.875</w:t>
      </w:r>
      <w:r>
        <w:t xml:space="preserve"> </w:t>
      </w:r>
      <w:r>
        <w:t>S</w:t>
      </w:r>
      <w:r>
        <w:t xml:space="preserve"> </w:t>
      </w:r>
      <w:r>
        <w:t>(1−</w:t>
      </w:r>
      <w:r>
        <w:t>x</w:t>
      </w:r>
      <w:r>
        <w:t xml:space="preserve"> </w:t>
      </w:r>
      <w:r>
        <w:t>)</w:t>
      </w:r>
      <w:r>
        <w:t xml:space="preserve"> </w:t>
      </w:r>
      <w:r>
        <w:t>Se</w:t>
      </w:r>
      <w:r>
        <w:t xml:space="preserve"> </w:t>
      </w:r>
      <w:r>
        <w:t>x</w:t>
      </w:r>
      <w:r>
        <w:t xml:space="preserve"> </w:t>
      </w:r>
      <w:r>
        <w:t>alloy. Notably, multiple magnetic states and resistance plateaus are observed because of the spin canting behavior, enabling the realization of several distinct spin states by adjusting magnetic fields and temperatures, thereby demonstrating great potential for multistate applications. Density functional theory calculations further reveal that the evolution of magnetic anisotropy originates from variations in the orbital occupation of electronic states near the Fermi level. Our work can expand the library of 2D metallic ferrimagnets and pave the way for designing high-density spintronic devices.</w:t>
      </w:r>
    </w:p>
    <w:p>
      <w:pPr>
        <w:spacing w:before="120" w:after="120"/>
      </w:pPr>
      <w:r>
        <w:rPr>
          <w:sz w:val="18"/>
        </w:rPr>
        <w:t>——————————————————————————————————————————————————————————————————————</w:t>
      </w:r>
    </w:p>
    <w:p>
      <w:pPr>
        <w:spacing w:before="160" w:after="40" w:line="240" w:lineRule="auto"/>
      </w:pPr>
      <w:r>
        <w:rPr>
          <w:b/>
        </w:rPr>
        <w:t xml:space="preserve">[364] </w:t>
      </w:r>
      <w:hyperlink r:id="rId932">
        <w:r>
          <w:rPr>
            <w:color w:val="1155CC"/>
            <w:u w:val="single"/>
          </w:rPr>
          <w:t>模块化水凝胶系统，可独立控制生物粘附、纤维化和硬度</w:t>
        </w:r>
      </w:hyperlink>
    </w:p>
    <w:p>
      <w:pPr>
        <w:spacing w:before="0" w:after="80"/>
      </w:pPr>
      <w:r>
        <w:rPr>
          <w:i/>
          <w:sz w:val="20"/>
        </w:rPr>
        <w:t>EN: A modular hydrogel system with independent control of bioadhesion, fibrosis, and stiffness</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933">
        <w:r>
          <w:rPr>
            <w:color w:val="1155CC"/>
            <w:u w:val="single"/>
          </w:rPr>
          <w:t>10.1126/sciadv.aee3894</w:t>
        </w:r>
      </w:hyperlink>
    </w:p>
    <w:p>
      <w:pPr>
        <w:spacing w:before="0" w:after="120"/>
      </w:pPr>
      <w:r>
        <w:rPr>
          <w:b/>
        </w:rPr>
        <w:t xml:space="preserve">Notes: </w:t>
      </w:r>
      <w:r>
        <w:t>abstract_source=crossref</w:t>
      </w:r>
    </w:p>
    <w:p>
      <w:pPr>
        <w:spacing w:before="0" w:after="80" w:lineRule="auto" w:line="276"/>
      </w:pPr>
      <w:r>
        <w:rPr>
          <w:b/>
        </w:rPr>
        <w:t xml:space="preserve">摘要（ZH）: </w:t>
      </w:r>
      <w:r>
        <w:t>粘附生物组织并抵抗纤维化的水凝胶需要在不同的软组织上提供最佳的功能和适当的硬度，以实现治疗功效和生物相容性。然而，它们的性能通常受到功能性和刚度之间的内在权衡的限制。通过结合聚合物刷涂层，我们开发了模块化水凝胶系统，以实现功能和刚度的独立控制。通过定制涂层化学成分、涂层厚度和水凝胶网络拓扑，我们在软组织的整个硬度范围（1 千帕至 1 兆帕）内获得一致的生物粘附性（约 100 焦耳/平方米）和纤维化抑制。利用这种方法，我们设计了一种水凝胶，可以在活体跳动的小鼠心脏上保持稳定的粘附，并且设计了一种在免疫功能正常的小鼠体内没有纤维化胶囊的水凝胶超过40天。该模块化系统提供了一种可定制的方法，用于设计具有定制机械性能的功能植入物。</w:t>
      </w:r>
    </w:p>
    <w:p>
      <w:pPr>
        <w:spacing w:before="0" w:after="200" w:lineRule="auto" w:line="276"/>
      </w:pPr>
      <w:r>
        <w:rPr>
          <w:b/>
        </w:rPr>
        <w:t xml:space="preserve">Abstract (EN): </w:t>
      </w:r>
      <w:r>
        <w:t>Hydrogels that adhere to biological tissues and resist fibrosis are required to provide both optimal functionality and appropriate stiffness on diverse soft tissues to achieve therapeutic efficacy and biocompatibility. However, their performance is often limited by an intrinsic trade-off between functionality and stiffness. Through the incorporation of polymer brush coatings, we develop a modular hydrogel system to enable independent control of functionality and stiffness. By tailoring coating chemistry, coating thickness, and hydrogel network topology, we obtain consistent bioadhesion (~100 joules per square meter) and fibrosis suppression across the full stiffness range of soft tissues (1 kilopascal to 1 megapascal). Using this approach, we design a hydrogel that can maintain stable adhesion in vivo on a beating mouse heart and a hydrogel with no fibrotic capsule in immunocompetent mice over 40 days. This modular system offers a customizable approach for designing functional implants with tailored mechanical properties.</w:t>
      </w:r>
    </w:p>
    <w:p>
      <w:pPr>
        <w:spacing w:before="120" w:after="120"/>
      </w:pPr>
      <w:r>
        <w:rPr>
          <w:sz w:val="18"/>
        </w:rPr>
        <w:t>——————————————————————————————————————————————————————————————————————</w:t>
      </w:r>
    </w:p>
    <w:p>
      <w:pPr>
        <w:spacing w:before="160" w:after="40" w:line="240" w:lineRule="auto"/>
      </w:pPr>
      <w:r>
        <w:rPr>
          <w:b/>
        </w:rPr>
        <w:t xml:space="preserve">[365] </w:t>
      </w:r>
      <w:hyperlink r:id="rId934">
        <w:r>
          <w:rPr>
            <w:color w:val="1155CC"/>
            <w:u w:val="single"/>
          </w:rPr>
          <w:t>长距离海洋迁徙者的罗盘航向记录显示海洋中部重新定向</w:t>
        </w:r>
      </w:hyperlink>
    </w:p>
    <w:p>
      <w:pPr>
        <w:spacing w:before="0" w:after="80"/>
      </w:pPr>
      <w:r>
        <w:rPr>
          <w:i/>
          <w:sz w:val="20"/>
        </w:rPr>
        <w:t>EN: Records of compass heading for long-distance ocean migrators show mid-ocean reorientation</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935">
        <w:r>
          <w:rPr>
            <w:color w:val="1155CC"/>
            <w:u w:val="single"/>
          </w:rPr>
          <w:t>10.1126/sciadv.aed8113</w:t>
        </w:r>
      </w:hyperlink>
    </w:p>
    <w:p>
      <w:pPr>
        <w:spacing w:before="0" w:after="120"/>
      </w:pPr>
      <w:r>
        <w:rPr>
          <w:b/>
        </w:rPr>
        <w:t xml:space="preserve">Notes: </w:t>
      </w:r>
      <w:r>
        <w:t>abstract_source=crossref</w:t>
      </w:r>
    </w:p>
    <w:p>
      <w:pPr>
        <w:spacing w:before="0" w:after="80" w:lineRule="auto" w:line="276"/>
      </w:pPr>
      <w:r>
        <w:rPr>
          <w:b/>
        </w:rPr>
        <w:t xml:space="preserve">摘要（ZH）: </w:t>
      </w:r>
      <w:r>
        <w:t>尽管经过一个多世纪的研究，动物在长途海洋迁徙中到达特定目标的导航机制仍然模棱两可。为了解决这个问题，我们开发并部署了一个新标签，允许通过卫星远程转发迁徙者的罗盘航向。在筑巢和觅食地点之间的跨洋迁徙（&gt;1000 公里，平均持续时间 27.5 天）中，绿海龟（</w:t>
      </w:r>
      <w:r>
        <w:t xml:space="preserve"> </w:t>
      </w:r>
      <w:r>
        <w:t>海龟</w:t>
      </w:r>
      <w:r>
        <w:t xml:space="preserve"> </w:t>
      </w:r>
      <w:r>
        <w:t>）倾向于使用一致的罗盘航向来执行旅行部分，即使这会导致他们在重新定向之前偏离航线。迁徙的海龟并没有不断地调整它们的航向，而是偶尔重新定向，这与它们使用地磁路标或其他粗略地图来促进偶尔的航向修正的建议是一致的。</w:t>
      </w:r>
    </w:p>
    <w:p>
      <w:pPr>
        <w:spacing w:before="0" w:after="200" w:lineRule="auto" w:line="276"/>
      </w:pPr>
      <w:r>
        <w:rPr>
          <w:b/>
        </w:rPr>
        <w:t xml:space="preserve">Abstract (EN): </w:t>
      </w:r>
      <w:r>
        <w:t>The mechanisms by which animals navigate during long ocean migrations to specific targets remain equivocal despite over a century of investigation. To address this question, we developed and deployed a new tag that allowed the compass heading of migrators to be remotely relayed via satellite. On transocean migrations (&amp;gt;1000 kilometers and mean duration 27.5 days) between nesting and foraging sites, green turtles (</w:t>
      </w:r>
      <w:r>
        <w:t xml:space="preserve"> </w:t>
      </w:r>
      <w:r>
        <w:t>Chelonia mydas</w:t>
      </w:r>
      <w:r>
        <w:t xml:space="preserve"> </w:t>
      </w:r>
      <w:r>
        <w:t>) tended to perform sections of travel with a consistent compass heading, even if that led them off course, before reorienting. That migrating turtles did not continuously fine-tune their heading but rather made occasional reorientations is consistent with the suggestion that they use geomagnetic signposts, or other crude maps, to facilitate occasional course corrections.</w:t>
      </w:r>
    </w:p>
    <w:p>
      <w:pPr>
        <w:spacing w:before="120" w:after="120"/>
      </w:pPr>
      <w:r>
        <w:rPr>
          <w:sz w:val="18"/>
        </w:rPr>
        <w:t>——————————————————————————————————————————————————————————————————————</w:t>
      </w:r>
    </w:p>
    <w:p>
      <w:pPr>
        <w:spacing w:before="160" w:after="40" w:line="240" w:lineRule="auto"/>
      </w:pPr>
      <w:r>
        <w:rPr>
          <w:b/>
        </w:rPr>
        <w:t xml:space="preserve">[366] </w:t>
      </w:r>
      <w:hyperlink r:id="rId936">
        <w:r>
          <w:rPr>
            <w:color w:val="1155CC"/>
            <w:u w:val="single"/>
          </w:rPr>
          <w:t>氧化物异质界面的重入超导性</w:t>
        </w:r>
      </w:hyperlink>
    </w:p>
    <w:p>
      <w:pPr>
        <w:spacing w:before="0" w:after="80"/>
      </w:pPr>
      <w:r>
        <w:rPr>
          <w:i/>
          <w:sz w:val="20"/>
        </w:rPr>
        <w:t>EN: Reentrant superconductivity at an oxide heterointerface</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937">
        <w:r>
          <w:rPr>
            <w:color w:val="1155CC"/>
            <w:u w:val="single"/>
          </w:rPr>
          <w:t>10.1126/sciadv.aeg0460</w:t>
        </w:r>
      </w:hyperlink>
    </w:p>
    <w:p>
      <w:pPr>
        <w:spacing w:before="0" w:after="120"/>
      </w:pPr>
      <w:r>
        <w:rPr>
          <w:b/>
        </w:rPr>
        <w:t xml:space="preserve">Notes: </w:t>
      </w:r>
      <w:r>
        <w:t>abstract_source=crossref</w:t>
      </w:r>
    </w:p>
    <w:p>
      <w:pPr>
        <w:spacing w:before="0" w:after="80" w:lineRule="auto" w:line="276"/>
      </w:pPr>
      <w:r>
        <w:rPr>
          <w:b/>
        </w:rPr>
        <w:t xml:space="preserve">摘要（ZH）: </w:t>
      </w:r>
      <w:r>
        <w:t>磁场通常通过塞曼效应破坏库珀对或诱导涡流形成来抑制超导性。然而，在某些情况下，磁场可以代替稳定超导性。这种看似违反直觉的现象与磁相互作用有关，并已在三维材料中得到广泛研究。相比之下，这种暗示非常规超导性的现象在二维系统中很大程度上仍未被探索，莫尔图案石墨烯是唯一已知的例子。在这里，我们报告了在外延（110）取向的 LaTiO 上观察到的重入超导性</w:t>
      </w:r>
      <w:r>
        <w:rPr>
          <w:vertAlign w:val="subscript"/>
        </w:rPr>
        <w:t>3</w:t>
      </w:r>
      <w:r>
        <w:t>-KTaO</w:t>
      </w:r>
      <w:r>
        <w:rPr>
          <w:vertAlign w:val="subscript"/>
        </w:rPr>
        <w:t>3</w:t>
      </w:r>
      <w:r>
        <w:t>界面。这种现象发生在很宽的载流子密度范围内，与三维材料不同，载流子密度可以通过静电门控进行原位调节。我们提出，观察到的重入超导性可能是由强自旋轨道耦合和磁场驱动的费米表面修饰之间的相互作用产生的。我们的研究结果提供了对重入超导性的深入了解，并为探索二维系统中的非常规超导现象建立了一个强大的平台。</w:t>
      </w:r>
    </w:p>
    <w:p>
      <w:pPr>
        <w:spacing w:before="0" w:after="200" w:lineRule="auto" w:line="276"/>
      </w:pPr>
      <w:r>
        <w:rPr>
          <w:b/>
        </w:rPr>
        <w:t xml:space="preserve">Abstract (EN): </w:t>
      </w:r>
      <w:r>
        <w:t>A magnetic field typically suppresses superconductivity by either breaking Cooper pairs via the Zeeman effect or inducing vortex formation. However, under certain circumstances, a magnetic field can stabilize superconductivity instead. This seemingly counterintuitive phenomenon is associated with magnetic interactions and has been extensively studied in three-dimensional materials. By contrast, this phenomenon, hinting at unconventional superconductivity, remains largely unexplored in two-dimensional systems, with moiré-patterned graphene being the only known example. Here, we report the observation of reentrant superconductivity at the epitaxial (110)-oriented LaTiO</w:t>
      </w:r>
      <w:r>
        <w:rPr>
          <w:vertAlign w:val="subscript"/>
        </w:rPr>
        <w:t>3</w:t>
      </w:r>
      <w:r>
        <w:t>-KTaO</w:t>
      </w:r>
      <w:r>
        <w:rPr>
          <w:vertAlign w:val="subscript"/>
        </w:rPr>
        <w:t>3</w:t>
      </w:r>
      <w:r>
        <w:t>interface. This phenomenon occurs across a wide range of charge carrier densities, which, unlike in three-dimensional materials, can be tuned in situ via electrostatic gating. We propose that the observed reentrant superconductivity can arise from an interplay between strong spin-orbit coupling and a magnetic field–driven modification of the Fermi surface. Our findings provide insight into reentrant superconductivity and establish a robust platform for exploring unconventional superconducting phenomena in two-dimensional systems.</w:t>
      </w:r>
    </w:p>
    <w:p>
      <w:pPr>
        <w:spacing w:before="120" w:after="120"/>
      </w:pPr>
      <w:r>
        <w:rPr>
          <w:sz w:val="18"/>
        </w:rPr>
        <w:t>——————————————————————————————————————————————————————————————————————</w:t>
      </w:r>
    </w:p>
    <w:p>
      <w:pPr>
        <w:spacing w:before="160" w:after="40" w:line="240" w:lineRule="auto"/>
      </w:pPr>
      <w:r>
        <w:rPr>
          <w:b/>
        </w:rPr>
        <w:t xml:space="preserve">[367] </w:t>
      </w:r>
      <w:hyperlink r:id="rId938">
        <w:r>
          <w:rPr>
            <w:color w:val="1155CC"/>
            <w:u w:val="single"/>
          </w:rPr>
          <w:t>水在纳米尺度上的反应性如何以及如何控制它？</w:t>
        </w:r>
      </w:hyperlink>
    </w:p>
    <w:p>
      <w:pPr>
        <w:spacing w:before="0" w:after="80"/>
      </w:pPr>
      <w:r>
        <w:rPr>
          <w:i/>
          <w:sz w:val="20"/>
        </w:rPr>
        <w:t>EN: How reactive is water at the nanoscale and how to control it?</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939">
        <w:r>
          <w:rPr>
            <w:color w:val="1155CC"/>
            <w:u w:val="single"/>
          </w:rPr>
          <w:t>10.1126/sciadv.aeb5772</w:t>
        </w:r>
      </w:hyperlink>
    </w:p>
    <w:p>
      <w:pPr>
        <w:spacing w:before="0" w:after="120"/>
      </w:pPr>
      <w:r>
        <w:rPr>
          <w:b/>
        </w:rPr>
        <w:t xml:space="preserve">Notes: </w:t>
      </w:r>
      <w:r>
        <w:t>abstract_source=crossref</w:t>
      </w:r>
    </w:p>
    <w:p>
      <w:pPr>
        <w:spacing w:before="0" w:after="80" w:lineRule="auto" w:line="276"/>
      </w:pPr>
      <w:r>
        <w:rPr>
          <w:b/>
        </w:rPr>
        <w:t xml:space="preserve">摘要（ZH）: </w:t>
      </w:r>
      <w:r>
        <w:t>纳米约束水在纳米流体、电化学和催化中发挥着关键作用，但其反应性仍然存在争议。先前的研究报告了相对于本体的水自解离的增强和抑制，但没有一致的解释。在这里，我们使用增强采样分子动力学和以第一原理精度训练的机器学习势，研究了二维狭缝孔和纳米液滴内限制的水的解离行为，使用石墨烯和六方氮化硼作为模型材料。我们发现反应性对水密度、几何形状和表面化学等因素极其敏感。尽管存在这种复杂性，我们表明化学势与界面相互作用一起控制解离趋势并解释了先前研究中观察到的变异性。在此框架内，当承压水与等效化学势下的本体进行比较时，对应于本体水库的热力学平衡，其反应性基本保持不变；相反，当系统在不同的化学势或不同的界面条件下进行比较时，就会出现差异。这种热力学观点调和了之前的矛盾，并揭示了纳米级环境如何极大地改变水的反应性。我们的研究结果提供了分子水平的见解，并提供了在纳米尺度上调节水化学的设计杠杆。</w:t>
      </w:r>
    </w:p>
    <w:p>
      <w:pPr>
        <w:spacing w:before="0" w:after="200" w:lineRule="auto" w:line="276"/>
      </w:pPr>
      <w:r>
        <w:rPr>
          <w:b/>
        </w:rPr>
        <w:t xml:space="preserve">Abstract (EN): </w:t>
      </w:r>
      <w:r>
        <w:t>Nanoconfined water plays a key role in nanofluidics, electrochemistry, and catalysis, yet its reactivity remains a matter of debate. Prior studies have reported both enhanced and suppressed water self-dissociation relative to the bulk, but without a consistent explanation. Here, using enhanced sampling molecular dynamics with machine-learned potentials trained at first-principles accuracy, we investigate dissociation behavior in water confined within two-dimensional slit pores and nanodroplets, using graphene and hexagonal boron nitride as model materials. We find that reactivity is extremely sensitive to water density, geometry, and surface chemistry, among other factors. Despite this complexity, we show that chemical potential, together with interfacial interactions, governs dissociation trends and explains the variability observed in prior studies. Within this framework, when confined water is compared to the bulk at equivalent chemical potential, corresponding to thermodynamic equilibrium with a bulk reservoir, its reactivity remains essentially unchanged; rather, differences arise when the systems are compared at different chemical potentials or under distinct interfacial conditions. This thermodynamic perspective reconciles previous contradictions and reveals how nanoscale environments can drastically shift water reactivity. Our findings provide molecular-level insight and offer a design lever for modulating water chemistry at the nanoscale.</w:t>
      </w:r>
    </w:p>
    <w:p>
      <w:pPr>
        <w:spacing w:before="120" w:after="120"/>
      </w:pPr>
      <w:r>
        <w:rPr>
          <w:sz w:val="18"/>
        </w:rPr>
        <w:t>——————————————————————————————————————————————————————————————————————</w:t>
      </w:r>
    </w:p>
    <w:p>
      <w:pPr>
        <w:spacing w:before="160" w:after="40" w:line="240" w:lineRule="auto"/>
      </w:pPr>
      <w:r>
        <w:rPr>
          <w:b/>
        </w:rPr>
        <w:t xml:space="preserve">[368] </w:t>
      </w:r>
      <w:hyperlink r:id="rId940">
        <w:r>
          <w:rPr>
            <w:color w:val="1155CC"/>
            <w:u w:val="single"/>
          </w:rPr>
          <w:t>环境条件下稳定的超原子氮环晶体</w:t>
        </w:r>
      </w:hyperlink>
    </w:p>
    <w:p>
      <w:pPr>
        <w:spacing w:before="0" w:after="80"/>
      </w:pPr>
      <w:r>
        <w:rPr>
          <w:i/>
          <w:sz w:val="20"/>
        </w:rPr>
        <w:t>EN: A stable superatomic nitrogen ring crystal under ambient conditions</w:t>
      </w:r>
    </w:p>
    <w:p>
      <w:pPr>
        <w:spacing w:before="0" w:after="120"/>
      </w:pPr>
      <w:r>
        <w:rPr>
          <w:b/>
        </w:rPr>
        <w:t xml:space="preserve">Source: </w:t>
      </w:r>
      <w:r>
        <w:t>AAAS: Science Advances: Table of Contents</w:t>
      </w:r>
      <w:r>
        <w:t xml:space="preserve">    </w:t>
      </w:r>
      <w:r>
        <w:rPr>
          <w:b/>
        </w:rPr>
        <w:t xml:space="preserve">Pub date: </w:t>
      </w:r>
      <w:r>
        <w:t>2026-06-24 07:00:00+00:00</w:t>
      </w:r>
      <w:r>
        <w:t xml:space="preserve">    </w:t>
      </w:r>
      <w:r>
        <w:rPr>
          <w:b/>
        </w:rPr>
        <w:t xml:space="preserve">DOI: </w:t>
      </w:r>
      <w:hyperlink r:id="rId941">
        <w:r>
          <w:rPr>
            <w:color w:val="1155CC"/>
            <w:u w:val="single"/>
          </w:rPr>
          <w:t>10.1126/sciadv.aee5798</w:t>
        </w:r>
      </w:hyperlink>
    </w:p>
    <w:p>
      <w:pPr>
        <w:spacing w:before="0" w:after="120"/>
      </w:pPr>
      <w:r>
        <w:rPr>
          <w:b/>
        </w:rPr>
        <w:t xml:space="preserve">Notes: </w:t>
      </w:r>
      <w:r>
        <w:t>abstract_source=crossref</w:t>
      </w:r>
    </w:p>
    <w:p>
      <w:pPr>
        <w:spacing w:before="0" w:after="80" w:lineRule="auto" w:line="276"/>
      </w:pPr>
      <w:r>
        <w:rPr>
          <w:b/>
        </w:rPr>
        <w:t xml:space="preserve">摘要（ZH）: </w:t>
      </w:r>
      <w:r>
        <w:t>由五唑酸根阴离子（N</w:t>
      </w:r>
      <w:r>
        <w:rPr>
          <w:vertAlign w:val="subscript"/>
        </w:rPr>
        <w:t>5</w:t>
      </w:r>
      <w:r>
        <w:t>-</w:t>
      </w:r>
      <w:r>
        <w:t>）由于其形成高能量密度材料的潜力而受到广泛关注。然而，氮环固有的高能特性使得在环境条件下获得稳定的晶体成为公认的关键挑战。在这里，我们报道了一种稳定的多氮晶体Li</w:t>
      </w:r>
      <w:r>
        <w:rPr>
          <w:vertAlign w:val="subscript"/>
        </w:rPr>
        <w:t>4</w:t>
      </w:r>
      <w:r>
        <w:t>（N</w:t>
      </w:r>
      <w:r>
        <w:rPr>
          <w:vertAlign w:val="subscript"/>
        </w:rPr>
        <w:t>5</w:t>
      </w:r>
      <w:r>
        <w:t>）</w:t>
      </w:r>
      <w:r>
        <w:rPr>
          <w:vertAlign w:val="subscript"/>
        </w:rPr>
        <w:t>2</w:t>
      </w:r>
      <w:r>
        <w:t>在环境条件下通过第一原理结构和动力学研究。在其原始电池中，电子从锂 (Li) 原子转移到 N</w:t>
      </w:r>
      <w:r>
        <w:rPr>
          <w:vertAlign w:val="subscript"/>
        </w:rPr>
        <w:t>5</w:t>
      </w:r>
      <w:r>
        <w:t>环占据其离域轨道，形成阴离子N</w:t>
      </w:r>
      <w:r>
        <w:rPr>
          <w:vertAlign w:val="subscript"/>
        </w:rPr>
        <w:t>5</w:t>
      </w:r>
      <w:r>
        <w:t>-</w:t>
      </w:r>
      <w:r>
        <w:t>在超原子状态下，Li-N</w:t>
      </w:r>
      <w:r>
        <w:rPr>
          <w:vertAlign w:val="subscript"/>
        </w:rPr>
        <w:t>5</w:t>
      </w:r>
      <w:r>
        <w:t>离子相互作用和N</w:t>
      </w:r>
      <w:r>
        <w:rPr>
          <w:vertAlign w:val="subscript"/>
        </w:rPr>
        <w:t>5</w:t>
      </w:r>
      <w:r>
        <w:t>-N</w:t>
      </w:r>
      <w:r>
        <w:rPr>
          <w:vertAlign w:val="subscript"/>
        </w:rPr>
        <w:t>5</w:t>
      </w:r>
      <w:r>
        <w:t>范德华相互作用共同维持结构稳定性。这些相互作用导致结构各向异性，其中</w:t>
      </w:r>
      <w:r>
        <w:t xml:space="preserve"> </w:t>
      </w:r>
      <w:r>
        <w:t>ab</w:t>
      </w:r>
      <w:r>
        <w:t xml:space="preserve"> </w:t>
      </w:r>
      <w:r>
        <w:t>-平面方向由离子和共价相互作用控制，而</w:t>
      </w:r>
      <w:r>
        <w:t xml:space="preserve"> </w:t>
      </w:r>
      <w:r>
        <w:t>c</w:t>
      </w:r>
      <w:r>
        <w:t xml:space="preserve"> </w:t>
      </w:r>
      <w:r>
        <w:t>-轴方向由离子相互作用主导。我们的研究结果为开发基于氮环的高能量密度材料和相关的人工单元结晶途径提供了重要基础。</w:t>
      </w:r>
    </w:p>
    <w:p>
      <w:pPr>
        <w:spacing w:before="0" w:after="200" w:lineRule="auto" w:line="276"/>
      </w:pPr>
      <w:r>
        <w:rPr>
          <w:b/>
        </w:rPr>
        <w:t xml:space="preserve">Abstract (EN): </w:t>
      </w:r>
      <w:r>
        <w:t>The nitrogen ring structure represented by the pentazolate anion (N</w:t>
      </w:r>
      <w:r>
        <w:rPr>
          <w:vertAlign w:val="subscript"/>
        </w:rPr>
        <w:t>5</w:t>
      </w:r>
      <w:r>
        <w:t>−</w:t>
      </w:r>
      <w:r>
        <w:t>) has received widespread attention due to its potential to form high–energy-density materials. However, the inherent high-energy properties of nitrogen rings make obtaining their stable crystals under ambient conditions a recognized key challenge. Here, we report a stable polynitrogen crystal Li</w:t>
      </w:r>
      <w:r>
        <w:rPr>
          <w:vertAlign w:val="subscript"/>
        </w:rPr>
        <w:t>4</w:t>
      </w:r>
      <w:r>
        <w:t>(N</w:t>
      </w:r>
      <w:r>
        <w:rPr>
          <w:vertAlign w:val="subscript"/>
        </w:rPr>
        <w:t>5</w:t>
      </w:r>
      <w:r>
        <w:t>)</w:t>
      </w:r>
      <w:r>
        <w:rPr>
          <w:vertAlign w:val="subscript"/>
        </w:rPr>
        <w:t>2</w:t>
      </w:r>
      <w:r>
        <w:t>under ambient conditions by first-principles structural and dynamic studies. In its primitive cell, electron transfer from lithium (Li) atoms to N</w:t>
      </w:r>
      <w:r>
        <w:rPr>
          <w:vertAlign w:val="subscript"/>
        </w:rPr>
        <w:t>5</w:t>
      </w:r>
      <w:r>
        <w:t>rings occupies their delocalized orbitals, forming anionic N</w:t>
      </w:r>
      <w:r>
        <w:rPr>
          <w:vertAlign w:val="subscript"/>
        </w:rPr>
        <w:t>5</w:t>
      </w:r>
      <w:r>
        <w:t>−</w:t>
      </w:r>
      <w:r>
        <w:t>in a superatomic state, where Li-N</w:t>
      </w:r>
      <w:r>
        <w:rPr>
          <w:vertAlign w:val="subscript"/>
        </w:rPr>
        <w:t>5</w:t>
      </w:r>
      <w:r>
        <w:t>ionic interactions and N</w:t>
      </w:r>
      <w:r>
        <w:rPr>
          <w:vertAlign w:val="subscript"/>
        </w:rPr>
        <w:t>5</w:t>
      </w:r>
      <w:r>
        <w:t>-N</w:t>
      </w:r>
      <w:r>
        <w:rPr>
          <w:vertAlign w:val="subscript"/>
        </w:rPr>
        <w:t>5</w:t>
      </w:r>
      <w:r>
        <w:t>van der Waals interactions jointly maintain the structural stability. These interactions result in structure anisotropy, where the</w:t>
      </w:r>
      <w:r>
        <w:t xml:space="preserve"> </w:t>
      </w:r>
      <w:r>
        <w:t>ab</w:t>
      </w:r>
      <w:r>
        <w:t xml:space="preserve"> </w:t>
      </w:r>
      <w:r>
        <w:t>-plane direction is governed by both ionic and covalent interactions, while the</w:t>
      </w:r>
      <w:r>
        <w:t xml:space="preserve"> </w:t>
      </w:r>
      <w:r>
        <w:t>c</w:t>
      </w:r>
      <w:r>
        <w:t xml:space="preserve"> </w:t>
      </w:r>
      <w:r>
        <w:t>-axis direction is dominated by ionic interactions. Our findings provide an important foundation for the development of high–energy-density materials based on nitrogen rings and for related artificial unit crystallization pathways.</w:t>
      </w:r>
    </w:p>
    <w:p>
      <w:pPr>
        <w:spacing w:before="120" w:after="120"/>
      </w:pPr>
      <w:r>
        <w:rPr>
          <w:sz w:val="18"/>
        </w:rPr>
        <w:t>——————————————————————————————————————————————————————————————————————</w:t>
      </w:r>
    </w:p>
    <w:p>
      <w:pPr>
        <w:spacing w:before="160" w:after="40" w:line="240" w:lineRule="auto"/>
      </w:pPr>
      <w:r>
        <w:rPr>
          <w:b/>
        </w:rPr>
        <w:t xml:space="preserve">[369] </w:t>
      </w:r>
      <w:hyperlink r:id="rId942">
        <w:r>
          <w:rPr>
            <w:color w:val="1155CC"/>
            <w:u w:val="single"/>
          </w:rPr>
          <w:t>大肠杆菌细胞外基质：具有分层结构的可调复合材料</w:t>
        </w:r>
      </w:hyperlink>
    </w:p>
    <w:p>
      <w:pPr>
        <w:spacing w:before="0" w:after="80"/>
      </w:pPr>
      <w:r>
        <w:rPr>
          <w:i/>
          <w:sz w:val="20"/>
        </w:rPr>
        <w:t>EN: E. coli Extracellular Matrix: A Tunable Composite With Hierarchical Structure</w:t>
      </w:r>
    </w:p>
    <w:p>
      <w:pPr>
        <w:spacing w:before="0" w:after="120"/>
      </w:pPr>
      <w:r>
        <w:rPr>
          <w:b/>
        </w:rPr>
        <w:t xml:space="preserve">Source: </w:t>
      </w:r>
      <w:r>
        <w:t>Wiley: Advanced Materials: Table of Contents</w:t>
      </w:r>
      <w:r>
        <w:t xml:space="preserve">    </w:t>
      </w:r>
      <w:r>
        <w:rPr>
          <w:b/>
        </w:rPr>
        <w:t xml:space="preserve">Pub date: </w:t>
      </w:r>
      <w:r>
        <w:t>2026-06-24 08:13:38+00:00</w:t>
      </w:r>
      <w:r>
        <w:t xml:space="preserve">    </w:t>
      </w:r>
      <w:r>
        <w:rPr>
          <w:b/>
        </w:rPr>
        <w:t xml:space="preserve">DOI: </w:t>
      </w:r>
      <w:hyperlink r:id="rId943">
        <w:r>
          <w:rPr>
            <w:color w:val="1155CC"/>
            <w:u w:val="single"/>
          </w:rPr>
          <w:t>10.1002/adma.73724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大肠杆菌</w:t>
      </w:r>
      <w:r>
        <w:t xml:space="preserve"> </w:t>
      </w:r>
      <w:r>
        <w:t>（</w:t>
      </w:r>
      <w:r>
        <w:t xml:space="preserve"> </w:t>
      </w:r>
      <w:r>
        <w:t>大肠杆菌</w:t>
      </w:r>
      <w:r>
        <w:t xml:space="preserve"> </w:t>
      </w:r>
      <w:r>
        <w:t>）生物膜由细菌、主要由 Curli 淀粉样纤维组成的细胞外基质 (ECM)、磷酸乙醇胺改性纤维素 (pEtN-纤维素) 和水组成。 Curli 淀粉样蛋白纤维有助于生物膜的刚性，而 pEtN-纤维素则有助于其内聚力。这项工作探讨了这些纤维之间的相互作用，以及它们的相互作用如何影响生物膜结构和机械性能。我们进行了多尺度分析</w:t>
      </w:r>
      <w:r>
        <w:t xml:space="preserve"> </w:t>
      </w:r>
      <w:r>
        <w:t>大肠杆菌</w:t>
      </w:r>
      <w:r>
        <w:t xml:space="preserve"> </w:t>
      </w:r>
      <w:r>
        <w:t>使用产生 Curli 和 pEtN-纤维素的菌株生长的生物膜，并且仅以 Curli 和仅 pEtN-纤维素以共同播种的比例生长。微压痕实验、共焦显微镜和冷冻 FIBSEM 3D 成像揭示了生物膜的类复合材料行为，其机械性能取决于 ECM 成分和组织。提取的纤维的光谱分析表明，它们的生物物理特性受到 pEtN-纤维素与卷曲比率和组装的影响。我们认为 pEtN-纤维素溶胀受到其与刚性卷曲纤维相互作用的限制。参考资料</w:t>
      </w:r>
      <w:r>
        <w:t xml:space="preserve"> </w:t>
      </w:r>
      <w:r>
        <w:t>大肠杆菌</w:t>
      </w:r>
      <w:r>
        <w:t xml:space="preserve"> </w:t>
      </w:r>
      <w:r>
        <w:t>菌株通过在亚微米尺度组装curli/pEtN-纤维素杂化材料来最大化这种效应，其中其组成、相互作用和结构可以解释生物膜的涌现特性。有关微生物 ECM 组装的知识为工程活性材料开辟了新途径，特别是对于使用</w:t>
      </w:r>
    </w:p>
    <w:p>
      <w:pPr>
        <w:spacing w:before="0" w:after="200" w:lineRule="auto" w:line="276"/>
      </w:pPr>
      <w:r>
        <w:rPr>
          <w:b/>
        </w:rPr>
        <w:t xml:space="preserve">Abstract (EN): </w:t>
      </w:r>
      <w:r>
        <w:t>Escherichia coli</w:t>
      </w:r>
      <w:r>
        <w:t xml:space="preserve"> </w:t>
      </w:r>
      <w:r>
        <w:t>(</w:t>
      </w:r>
      <w:r>
        <w:t xml:space="preserve"> </w:t>
      </w:r>
      <w:r>
        <w:t>E. coli</w:t>
      </w:r>
      <w:r>
        <w:t xml:space="preserve"> </w:t>
      </w:r>
      <w:r>
        <w:t>) biofilms consist of bacteria, an extracellular matrix (ECM) mainly made of curli amyloid fibers, phosphoethanolamine‐modified cellulose (pEtN‐cellulose), and water. While curli amyloid fibers contribute to biofilm rigidity, pEtN‐cellulose contributes to their cohesion. This work explores the interplay between these fibers, and how their interactions influence biofilm structure and mechanical properties. We performed a multiscale analysis on</w:t>
      </w:r>
      <w:r>
        <w:t xml:space="preserve"> </w:t>
      </w:r>
      <w:r>
        <w:t>E. coli</w:t>
      </w:r>
      <w:r>
        <w:t xml:space="preserve"> </w:t>
      </w:r>
      <w:r>
        <w:t>biofilms grown using strains producing curli and pEtN‐cellulose, and only curli and only pEtN‐cellulose in co‐seeded ratios. Micro‐indentation experiments, confocal microscopy, and cryo‐FIBSEM 3D imaging revealed a composite‐like behavior of the biofilm, where its mechanical properties depend on ECM composition and organization. Spectroscopic analysis of the extracted fibers showed that their biophysical properties are influenced by their pEtN‐cellulose to curli ratio and assembly. We propose that pEtN‐cellulose swelling is constrained by its interactions with rigid curli fibers. The reference</w:t>
      </w:r>
      <w:r>
        <w:t xml:space="preserve"> </w:t>
      </w:r>
      <w:r>
        <w:t>E. coli</w:t>
      </w:r>
      <w:r>
        <w:t xml:space="preserve"> </w:t>
      </w:r>
      <w:r>
        <w:t>strain maximizes this effect by assembling a curli/pEtN‐cellulose hybrid material at the sub‐micron scale, where its composition, interactions, and architecture can explain biofilm emergent properties. This knowledge on microbial ECM assembly opens new avenues for engineering living materials, especially for the use of bacterial biofilms as a source of bio‐sourced materials.</w:t>
      </w:r>
    </w:p>
    <w:p>
      <w:pPr>
        <w:spacing w:before="120" w:after="120"/>
      </w:pPr>
      <w:r>
        <w:rPr>
          <w:sz w:val="18"/>
        </w:rPr>
        <w:t>——————————————————————————————————————————————————————————————————————</w:t>
      </w:r>
    </w:p>
    <w:p>
      <w:pPr>
        <w:spacing w:before="160" w:after="40" w:line="240" w:lineRule="auto"/>
      </w:pPr>
      <w:r>
        <w:rPr>
          <w:b/>
        </w:rPr>
        <w:t xml:space="preserve">[370] </w:t>
      </w:r>
      <w:hyperlink r:id="rId944">
        <w:r>
          <w:rPr>
            <w:color w:val="1155CC"/>
            <w:u w:val="single"/>
          </w:rPr>
          <w:t>聆听光：量子自旋冰中涌现光子的杂散场噪声</w:t>
        </w:r>
      </w:hyperlink>
    </w:p>
    <w:p>
      <w:pPr>
        <w:spacing w:before="0" w:after="80"/>
      </w:pPr>
      <w:r>
        <w:rPr>
          <w:i/>
          <w:sz w:val="20"/>
        </w:rPr>
        <w:t>EN: Hearing the Light: Stray-Field Noise from the Emergent Photon in Quantum Spin Ice</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45">
        <w:r>
          <w:rPr>
            <w:color w:val="1155CC"/>
            <w:u w:val="single"/>
          </w:rPr>
          <w:t>10.1103/s9bc-jcs9</w:t>
        </w:r>
      </w:hyperlink>
    </w:p>
    <w:p>
      <w:pPr>
        <w:spacing w:before="0" w:after="120"/>
      </w:pPr>
      <w:r>
        <w:rPr>
          <w:b/>
        </w:rPr>
        <w:t xml:space="preserve">Notes: </w:t>
      </w:r>
      <w:r>
        <w:t>abstract_source=rss_description</w:t>
      </w:r>
    </w:p>
    <w:p>
      <w:pPr>
        <w:spacing w:before="0" w:after="80" w:lineRule="auto" w:line="276"/>
      </w:pPr>
      <w:r>
        <w:rPr>
          <w:b/>
        </w:rPr>
        <w:t xml:space="preserve">摘要（ZH）: </w:t>
      </w:r>
      <w:r>
        <w:t>作者：Gautam K. Naik、Jonathan N. Hallén、Nishan C. Jayarama、Roderich Moessner 和 Chris R. Laumann 量子自旋冰中 U(1) 量子自旋液相的决定性实验确认仍然是一个突出的挑战。在这封信中，我们提出杂散场磁力测量作为涌现光子的直接探测——量子自旋冰中涌现电动力学的无间隙激发。 ...[物理。莱特牧师。 136, 256705] 2026 年 6 月 24 日星期三发布</w:t>
      </w:r>
    </w:p>
    <w:p>
      <w:pPr>
        <w:spacing w:before="0" w:after="200" w:lineRule="auto" w:line="276"/>
      </w:pPr>
      <w:r>
        <w:rPr>
          <w:b/>
        </w:rPr>
        <w:t xml:space="preserve">Abstract (EN): </w:t>
      </w:r>
      <w:r>
        <w:t>Author(s): Gautam K. Naik, Jonathan N. Hallén, Nishan C. Jayarama, Roderich Moessner, and Chris R. LaumannDecisive experimental confirmation of the U(1) quantum spin liquid phase in quantum spin ice remains an outstanding challenge. In this Letter, we propose stray-field magnetometry as a direct probe of the emergent photons—the gapless excitation of the emergent electrodynamics in quantum spin ice. The…[Phys. Rev. Lett. 136, 256705] Published Wed Jun 24, 2026</w:t>
      </w:r>
    </w:p>
    <w:p>
      <w:pPr>
        <w:spacing w:before="120" w:after="120"/>
      </w:pPr>
      <w:r>
        <w:rPr>
          <w:sz w:val="18"/>
        </w:rPr>
        <w:t>——————————————————————————————————————————————————————————————————————</w:t>
      </w:r>
    </w:p>
    <w:p>
      <w:pPr>
        <w:spacing w:before="160" w:after="40" w:line="240" w:lineRule="auto"/>
      </w:pPr>
      <w:r>
        <w:rPr>
          <w:b/>
        </w:rPr>
        <w:t xml:space="preserve">[371] </w:t>
      </w:r>
      <w:hyperlink r:id="rId946">
        <w:r>
          <w:rPr>
            <w:color w:val="1155CC"/>
            <w:u w:val="single"/>
          </w:rPr>
          <w:t>几何瞬态密度泛函理论</w:t>
        </w:r>
      </w:hyperlink>
    </w:p>
    <w:p>
      <w:pPr>
        <w:spacing w:before="0" w:after="80"/>
      </w:pPr>
      <w:r>
        <w:rPr>
          <w:i/>
          <w:sz w:val="20"/>
        </w:rPr>
        <w:t>EN: Geometric Time-Dependent Density Functional Theory</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47">
        <w:r>
          <w:rPr>
            <w:color w:val="1155CC"/>
            <w:u w:val="single"/>
          </w:rPr>
          <w:t>10.1103/xtjx-r2lm</w:t>
        </w:r>
      </w:hyperlink>
    </w:p>
    <w:p>
      <w:pPr>
        <w:spacing w:before="0" w:after="120"/>
      </w:pPr>
      <w:r>
        <w:rPr>
          <w:b/>
        </w:rPr>
        <w:t xml:space="preserve">Notes: </w:t>
      </w:r>
      <w:r>
        <w:t>abstract_source=rss_description</w:t>
      </w:r>
    </w:p>
    <w:p>
      <w:pPr>
        <w:spacing w:before="0" w:after="80" w:lineRule="auto" w:line="276"/>
      </w:pPr>
      <w:r>
        <w:rPr>
          <w:b/>
        </w:rPr>
        <w:t xml:space="preserve">摘要（ZH）: </w:t>
      </w:r>
      <w:r>
        <w:t>作者：Éric Cancès、Théo Duez、Jari van Gog、Asbjørn Bækgaard Lauritsen、Mathieu Lewin 和 Julien Toulouse 依赖时间的密度泛函理论的几何重新表述可以更好地描述非平衡系统。莱特牧师。 136, 256401] 2026 年 6 月 24 日星期三发布</w:t>
      </w:r>
    </w:p>
    <w:p>
      <w:pPr>
        <w:spacing w:before="0" w:after="200" w:lineRule="auto" w:line="276"/>
      </w:pPr>
      <w:r>
        <w:rPr>
          <w:b/>
        </w:rPr>
        <w:t xml:space="preserve">Abstract (EN): </w:t>
      </w:r>
      <w:r>
        <w:t>Author(s): Éric Cancès, Théo Duez, Jari van Gog, Asbjørn Bækgaard Lauritsen, Mathieu Lewin, and Julien ToulouseA geometric reformulation of time-dependent density-functional theory better describes nonequilibrium systems.[Phys. Rev. Lett. 136, 256401] Published Wed Jun 24, 2026</w:t>
      </w:r>
    </w:p>
    <w:p>
      <w:pPr>
        <w:spacing w:before="120" w:after="120"/>
      </w:pPr>
      <w:r>
        <w:rPr>
          <w:sz w:val="18"/>
        </w:rPr>
        <w:t>——————————————————————————————————————————————————————————————————————</w:t>
      </w:r>
    </w:p>
    <w:p>
      <w:pPr>
        <w:spacing w:before="160" w:after="40" w:line="240" w:lineRule="auto"/>
      </w:pPr>
      <w:r>
        <w:rPr>
          <w:b/>
        </w:rPr>
        <w:t xml:space="preserve">[372] </w:t>
      </w:r>
      <w:hyperlink r:id="rId948">
        <w:r>
          <w:rPr>
            <w:color w:val="1155CC"/>
            <w:u w:val="single"/>
          </w:rPr>
          <w:t>新型手性光学光谱技术</w:t>
        </w:r>
      </w:hyperlink>
    </w:p>
    <w:p>
      <w:pPr>
        <w:spacing w:before="0" w:after="80"/>
      </w:pPr>
      <w:r>
        <w:rPr>
          <w:i/>
          <w:sz w:val="20"/>
        </w:rPr>
        <w:t>EN: Novel Chiroptical Spectroscopy Technique</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49">
        <w:r>
          <w:rPr>
            <w:color w:val="1155CC"/>
            <w:u w:val="single"/>
          </w:rPr>
          <w:t>10.1103/crdw-pxcs</w:t>
        </w:r>
      </w:hyperlink>
    </w:p>
    <w:p>
      <w:pPr>
        <w:spacing w:before="0" w:after="120"/>
      </w:pPr>
      <w:r>
        <w:rPr>
          <w:b/>
        </w:rPr>
        <w:t xml:space="preserve">Notes: </w:t>
      </w:r>
      <w:r>
        <w:t>abstract_source=rss_description</w:t>
      </w:r>
    </w:p>
    <w:p>
      <w:pPr>
        <w:spacing w:before="0" w:after="80" w:lineRule="auto" w:line="276"/>
      </w:pPr>
      <w:r>
        <w:rPr>
          <w:b/>
        </w:rPr>
        <w:t xml:space="preserve">摘要（ZH）: </w:t>
      </w:r>
      <w:r>
        <w:t>作者：Jorge Olmos-Trigo、Cristina Sanz-Fernández 和 Ivan Fernandez-Corbaton 手性物体通常对光的两种圆偏振表现出不同的消光。研究人员经常通过使用圆二色光谱测量这种消光差异来检测物体的手性。在这封信中，我们提出了一种新的光谱技术来检测……[物理。莱特牧师。 136, 253802] 2026 年 6 月 24 日星期三发布</w:t>
      </w:r>
    </w:p>
    <w:p>
      <w:pPr>
        <w:spacing w:before="0" w:after="200" w:lineRule="auto" w:line="276"/>
      </w:pPr>
      <w:r>
        <w:rPr>
          <w:b/>
        </w:rPr>
        <w:t xml:space="preserve">Abstract (EN): </w:t>
      </w:r>
      <w:r>
        <w:t>Author(s): Jorge Olmos-Trigo, Cristina Sanz-Fernández, and Ivan Fernandez-CorbatonChiral objects typically exhibit a different extinction for the two circular polarizations of light. Researchers often detect the chirality of objects by measuring this extinction difference employing circular dichroism spectroscopy. In this Letter, we present a new spectroscopy technique for detect…[Phys. Rev. Lett. 136, 253802] Published Wed Jun 24, 2026</w:t>
      </w:r>
    </w:p>
    <w:p>
      <w:pPr>
        <w:spacing w:before="120" w:after="120"/>
      </w:pPr>
      <w:r>
        <w:rPr>
          <w:sz w:val="18"/>
        </w:rPr>
        <w:t>——————————————————————————————————————————————————————————————————————</w:t>
      </w:r>
    </w:p>
    <w:p>
      <w:pPr>
        <w:spacing w:before="160" w:after="40" w:line="240" w:lineRule="auto"/>
      </w:pPr>
      <w:r>
        <w:rPr>
          <w:b/>
        </w:rPr>
        <w:t xml:space="preserve">[373] </w:t>
      </w:r>
      <w:hyperlink r:id="rId950">
        <w:r>
          <w:rPr>
            <w:color w:val="1155CC"/>
            <w:u w:val="single"/>
          </w:rPr>
          <w:t>光学双稳态中的热力学不可逆性</w:t>
        </w:r>
      </w:hyperlink>
    </w:p>
    <w:p>
      <w:pPr>
        <w:spacing w:before="0" w:after="80"/>
      </w:pPr>
      <w:r>
        <w:rPr>
          <w:i/>
          <w:sz w:val="20"/>
        </w:rPr>
        <w:t>EN: Thermodynamic Irreversibility in Optical Bistability</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51">
        <w:r>
          <w:rPr>
            <w:color w:val="1155CC"/>
            <w:u w:val="single"/>
          </w:rPr>
          <w:t>10.1103/mx51-8hbw</w:t>
        </w:r>
      </w:hyperlink>
    </w:p>
    <w:p>
      <w:pPr>
        <w:spacing w:before="0" w:after="120"/>
      </w:pPr>
      <w:r>
        <w:rPr>
          <w:b/>
        </w:rPr>
        <w:t xml:space="preserve">Notes: </w:t>
      </w:r>
      <w:r>
        <w:t>abstract_source=rss_description</w:t>
      </w:r>
    </w:p>
    <w:p>
      <w:pPr>
        <w:spacing w:before="0" w:after="80" w:lineRule="auto" w:line="276"/>
      </w:pPr>
      <w:r>
        <w:rPr>
          <w:b/>
        </w:rPr>
        <w:t xml:space="preserve">摘要（ZH）: </w:t>
      </w:r>
      <w:r>
        <w:t>作者：G. Keijsers、R. M. de Boer、B. Verdonschot、K. J. H. Peters 和 S. R. K. Rodriguez 我们证明了相干驱动双稳态光学腔的随机切换中的热力学不可逆性。我们提出了相空间概率电流的测量，证明了与热力学不可逆性相关的详细平衡的打破。我们还估计了震级……[物理。莱特牧师。 136, 253803] 2026 年 6 月 24 日星期三发布</w:t>
      </w:r>
    </w:p>
    <w:p>
      <w:pPr>
        <w:spacing w:before="0" w:after="200" w:lineRule="auto" w:line="276"/>
      </w:pPr>
      <w:r>
        <w:rPr>
          <w:b/>
        </w:rPr>
        <w:t xml:space="preserve">Abstract (EN): </w:t>
      </w:r>
      <w:r>
        <w:t>Author(s): G. Keijsers, R. M. de Boer, B. Verdonschot, K. J. H. Peters, and S. R. K. RodriguezWe demonstrate thermodynamic irreversibility in the stochastic switching of a coherently driven bistable optical cavity. We present measurements of phase space probability currents evidencing the breaking of detailed balance associated with thermodynamic irreversibility. We also estimate the magnitu…[Phys. Rev. Lett. 136, 253803] Published Wed Jun 24, 2026</w:t>
      </w:r>
    </w:p>
    <w:p>
      <w:pPr>
        <w:spacing w:before="120" w:after="120"/>
      </w:pPr>
      <w:r>
        <w:rPr>
          <w:sz w:val="18"/>
        </w:rPr>
        <w:t>——————————————————————————————————————————————————————————————————————</w:t>
      </w:r>
    </w:p>
    <w:p>
      <w:pPr>
        <w:spacing w:before="160" w:after="40" w:line="240" w:lineRule="auto"/>
      </w:pPr>
      <w:r>
        <w:rPr>
          <w:b/>
        </w:rPr>
        <w:t xml:space="preserve">[374] </w:t>
      </w:r>
      <w:hyperlink r:id="rId952">
        <w:r>
          <w:rPr>
            <w:color w:val="1155CC"/>
            <w:u w:val="single"/>
          </w:rPr>
          <w:t>化学活性乳液中的流体流动和时空混沌</w:t>
        </w:r>
      </w:hyperlink>
    </w:p>
    <w:p>
      <w:pPr>
        <w:spacing w:before="0" w:after="80"/>
      </w:pPr>
      <w:r>
        <w:rPr>
          <w:i/>
          <w:sz w:val="20"/>
        </w:rPr>
        <w:t>EN: Fluid Flow and Spatiotemporal Chaos in Chemically Active Emulsions</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53">
        <w:r>
          <w:rPr>
            <w:color w:val="1155CC"/>
            <w:u w:val="single"/>
          </w:rPr>
          <w:t>10.1103/z1hs-ydjc</w:t>
        </w:r>
      </w:hyperlink>
    </w:p>
    <w:p>
      <w:pPr>
        <w:spacing w:before="0" w:after="120"/>
      </w:pPr>
      <w:r>
        <w:rPr>
          <w:b/>
        </w:rPr>
        <w:t xml:space="preserve">Notes: </w:t>
      </w:r>
      <w:r>
        <w:t>abstract_source=rss_description</w:t>
      </w:r>
    </w:p>
    <w:p>
      <w:pPr>
        <w:spacing w:before="0" w:after="80" w:lineRule="auto" w:line="276"/>
      </w:pPr>
      <w:r>
        <w:rPr>
          <w:b/>
        </w:rPr>
        <w:t xml:space="preserve">摘要（ZH）: </w:t>
      </w:r>
      <w:r>
        <w:t>作者：Charu Datt、Jonathan Bauermann、Nazmi Burak Budanur 和 Frank Jülicher 我们研究相分离流体混合物，因为它们在化学反应存在下分层，使它们远离热力学平衡。我们表明，在这种化学活性乳液中，化学反应、相分离和流体动力学的相互作用会影响复杂的自组织......[Phys。莱特牧师。 136, 254001] 2026 年 6 月 24 日星期三发布</w:t>
      </w:r>
    </w:p>
    <w:p>
      <w:pPr>
        <w:spacing w:before="0" w:after="200" w:lineRule="auto" w:line="276"/>
      </w:pPr>
      <w:r>
        <w:rPr>
          <w:b/>
        </w:rPr>
        <w:t xml:space="preserve">Abstract (EN): </w:t>
      </w:r>
      <w:r>
        <w:t>Author(s): Charu Datt, Jonathan Bauermann, Nazmi Burak Budanur, and Frank JülicherWe study phase-separating fluid mixtures as they demix in the presence of chemical reactions that maintain them away from thermodynamic equilibrium. We show that in such chemically active emulsions the interplay of chemical reactions, phase separation, and hydrodynamics effects complex self-organiza…[Phys. Rev. Lett. 136, 254001] Published Wed Jun 24, 2026</w:t>
      </w:r>
    </w:p>
    <w:p>
      <w:pPr>
        <w:spacing w:before="120" w:after="120"/>
      </w:pPr>
      <w:r>
        <w:rPr>
          <w:sz w:val="18"/>
        </w:rPr>
        <w:t>——————————————————————————————————————————————————————————————————————</w:t>
      </w:r>
    </w:p>
    <w:p>
      <w:pPr>
        <w:spacing w:before="160" w:after="40" w:line="240" w:lineRule="auto"/>
      </w:pPr>
      <w:r>
        <w:rPr>
          <w:b/>
        </w:rPr>
        <w:t xml:space="preserve">[375] </w:t>
      </w:r>
      <w:hyperlink r:id="rId954">
        <w:r>
          <w:rPr>
            <w:color w:val="1155CC"/>
            <w:u w:val="single"/>
          </w:rPr>
          <w:t>将全球变化、进化适应和灭绝的速率联系起来</w:t>
        </w:r>
      </w:hyperlink>
    </w:p>
    <w:p>
      <w:pPr>
        <w:spacing w:before="0" w:after="80"/>
      </w:pPr>
      <w:r>
        <w:rPr>
          <w:i/>
          <w:sz w:val="20"/>
        </w:rPr>
        <w:t>EN: Relating Rates of Global Change, Evolutionary Adaptation, and Extinction</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55">
        <w:r>
          <w:rPr>
            <w:color w:val="1155CC"/>
            <w:u w:val="single"/>
          </w:rPr>
          <w:t>10.1103/62jn-xgqy</w:t>
        </w:r>
      </w:hyperlink>
    </w:p>
    <w:p>
      <w:pPr>
        <w:spacing w:before="0" w:after="120"/>
      </w:pPr>
      <w:r>
        <w:rPr>
          <w:b/>
        </w:rPr>
        <w:t xml:space="preserve">Notes: </w:t>
      </w:r>
      <w:r>
        <w:t>abstract_source=rss_description</w:t>
      </w:r>
    </w:p>
    <w:p>
      <w:pPr>
        <w:spacing w:before="0" w:after="80" w:lineRule="auto" w:line="276"/>
      </w:pPr>
      <w:r>
        <w:rPr>
          <w:b/>
        </w:rPr>
        <w:t xml:space="preserve">摘要（ZH）: </w:t>
      </w:r>
      <w:r>
        <w:t>作者：丹尼尔·罗斯曼（Daniel H. Rothman）和谢尔盖·彼得罗夫斯基（Sergei Petrovskii）人们普遍认为，当环境变化超过物种的适应能力时，就会发生灭绝。然而，这一假设缺乏全球变化规模的支持，部分原因是适应率的分布未知。在这里，我们通过制定一个通用模型来测试这个想法......[Phys。莱特牧师。 136, 254201] 2026 年 6 月 24 日星期三发布</w:t>
      </w:r>
    </w:p>
    <w:p>
      <w:pPr>
        <w:spacing w:before="0" w:after="200" w:lineRule="auto" w:line="276"/>
      </w:pPr>
      <w:r>
        <w:rPr>
          <w:b/>
        </w:rPr>
        <w:t xml:space="preserve">Abstract (EN): </w:t>
      </w:r>
      <w:r>
        <w:t>Author(s): Daniel H. Rothman and Sergei PetrovskiiIt is widely assumed that extinction occurs when environmental change outpaces a species’ capacity to adapt. However, this hypothesis lacks support at the scale of global change, in part because the distribution of adaptation rates is unknown. Here, we test this idea by formulating a general model t…[Phys. Rev. Lett. 136, 254201] Published Wed Jun 24, 2026</w:t>
      </w:r>
    </w:p>
    <w:p>
      <w:pPr>
        <w:spacing w:before="120" w:after="120"/>
      </w:pPr>
      <w:r>
        <w:rPr>
          <w:sz w:val="18"/>
        </w:rPr>
        <w:t>——————————————————————————————————————————————————————————————————————</w:t>
      </w:r>
    </w:p>
    <w:p>
      <w:pPr>
        <w:spacing w:before="160" w:after="40" w:line="240" w:lineRule="auto"/>
      </w:pPr>
      <w:r>
        <w:rPr>
          <w:b/>
        </w:rPr>
        <w:t xml:space="preserve">[376] </w:t>
      </w:r>
      <w:hyperlink r:id="rId956">
        <w:r>
          <w:rPr>
            <w:color w:val="1155CC"/>
            <w:u w:val="single"/>
          </w:rPr>
          <w:t>倾斜漂移不稳定性如何改变太阳风加热并限制太阳风观测的分布</w:t>
        </w:r>
      </w:hyperlink>
    </w:p>
    <w:p>
      <w:pPr>
        <w:spacing w:before="0" w:after="80"/>
      </w:pPr>
      <w:r>
        <w:rPr>
          <w:i/>
          <w:sz w:val="20"/>
        </w:rPr>
        <w:t>EN: How the Oblique Drift Instability Alters Solar Wind Heating and Constrains the Distribution of Solar Wind Observations</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57">
        <w:r>
          <w:rPr>
            <w:color w:val="1155CC"/>
            <w:u w:val="single"/>
          </w:rPr>
          <w:t>10.1103/nlq9-2g37</w:t>
        </w:r>
      </w:hyperlink>
    </w:p>
    <w:p>
      <w:pPr>
        <w:spacing w:before="0" w:after="120"/>
      </w:pPr>
      <w:r>
        <w:rPr>
          <w:b/>
        </w:rPr>
        <w:t xml:space="preserve">Notes: </w:t>
      </w:r>
      <w:r>
        <w:t>abstract_source=rss_description</w:t>
      </w:r>
    </w:p>
    <w:p>
      <w:pPr>
        <w:spacing w:before="0" w:after="80" w:lineRule="auto" w:line="276"/>
      </w:pPr>
      <w:r>
        <w:rPr>
          <w:b/>
        </w:rPr>
        <w:t xml:space="preserve">摘要（ZH）: </w:t>
      </w:r>
      <w:r>
        <w:t>作者：Mihailo M. Martinović、Kristopher G. Klein、Leon Ofman、Yogesh、Gregory G. Howes、Jaye L. Verniero、Peter H. Yoon、Daniel Verscharen 和 Benjamin L. Alterman 源自线性理论的离子驱动等离子体不稳定性阈值限制了参数空间中太阳观测值的分布，定义了稳定等离子体参数的边界。超出这些阈值的偏移会导致能量发射，从粒子转移到相干电子......[物理学。莱特牧师。 136, 255201] 2026 年 6 月 24 日星期三发布</w:t>
      </w:r>
    </w:p>
    <w:p>
      <w:pPr>
        <w:spacing w:before="0" w:after="200" w:lineRule="auto" w:line="276"/>
      </w:pPr>
      <w:r>
        <w:rPr>
          <w:b/>
        </w:rPr>
        <w:t xml:space="preserve">Abstract (EN): </w:t>
      </w:r>
      <w:r>
        <w:t>Author(s): Mihailo M. Martinović, Kristopher G. Klein, Leon Ofman, Yogesh, Gregory G. Howes, Jaye L. Verniero, Peter H. Yoon, Daniel Verscharen, and Benjamin L. AltermanIon-driven plasma instability thresholds, derived from linear theory, constrain the distribution of solar observations in parameter space, defining boundaries of stable plasma parameters. Excursions beyond these thresholds result in the emission of energy, transferred from particles to coherent elec…[Phys. Rev. Lett. 136, 255201] Published Wed Jun 24, 2026</w:t>
      </w:r>
    </w:p>
    <w:p>
      <w:pPr>
        <w:spacing w:before="120" w:after="120"/>
      </w:pPr>
      <w:r>
        <w:rPr>
          <w:sz w:val="18"/>
        </w:rPr>
        <w:t>——————————————————————————————————————————————————————————————————————</w:t>
      </w:r>
    </w:p>
    <w:p>
      <w:pPr>
        <w:spacing w:before="160" w:after="40" w:line="240" w:lineRule="auto"/>
      </w:pPr>
      <w:r>
        <w:rPr>
          <w:b/>
        </w:rPr>
        <w:t xml:space="preserve">[377] </w:t>
      </w:r>
      <w:hyperlink r:id="rId958">
        <w:r>
          <w:rPr>
            <w:color w:val="1155CC"/>
            <w:u w:val="single"/>
          </w:rPr>
          <w:t>$\mathrm{a}\text{−}{\mathrm{LaAlO}}_{3}/{\mathrm{KTaO}}_{3}$ 界面处超导性与晶体取向的线性缩放观察</w:t>
        </w:r>
      </w:hyperlink>
    </w:p>
    <w:p>
      <w:pPr>
        <w:spacing w:before="0" w:after="80"/>
      </w:pPr>
      <w:r>
        <w:rPr>
          <w:i/>
          <w:sz w:val="20"/>
        </w:rPr>
        <w:t>EN: Observation of Linear Scaling of Superconductivity with Crystal Orientation at $\mathrm{a}\text{−}{\mathrm{LaAlO}}_{3}/{\mathrm{KTaO}}_{3}$ Interfaces</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59">
        <w:r>
          <w:rPr>
            <w:color w:val="1155CC"/>
            <w:u w:val="single"/>
          </w:rPr>
          <w:t>10.1103/bbn3-bzs3</w:t>
        </w:r>
      </w:hyperlink>
    </w:p>
    <w:p>
      <w:pPr>
        <w:spacing w:before="0" w:after="120"/>
      </w:pPr>
      <w:r>
        <w:rPr>
          <w:b/>
        </w:rPr>
        <w:t xml:space="preserve">Notes: </w:t>
      </w:r>
      <w:r>
        <w:t>abstract_source=rss_description</w:t>
      </w:r>
    </w:p>
    <w:p>
      <w:pPr>
        <w:spacing w:before="0" w:after="80" w:lineRule="auto" w:line="276"/>
      </w:pPr>
      <w:r>
        <w:rPr>
          <w:b/>
        </w:rPr>
        <w:t xml:space="preserve">摘要（ZH）: </w:t>
      </w:r>
      <w:r>
        <w:t>作者：Xueshan Cao、Meng Zhang、Yishai Wang、Ming Qing、Yi Zhou 和 Yanwu Xie${\text{KTaO}}_{3}$ 氧化物界面处的超导转变温度 ${T}_{c}$ 表现出对晶体取向的极大依赖性，但统一的机制仍然难以捉摸。在这里，我们报告 ${T}_{c}$ 和单个几何参数（角度 $...[Phys.莱特牧师。 136, 256002] 2026 年 6 月 24 日星期三发布</w:t>
      </w:r>
    </w:p>
    <w:p>
      <w:pPr>
        <w:spacing w:before="0" w:after="200" w:lineRule="auto" w:line="276"/>
      </w:pPr>
      <w:r>
        <w:rPr>
          <w:b/>
        </w:rPr>
        <w:t xml:space="preserve">Abstract (EN): </w:t>
      </w:r>
      <w:r>
        <w:t>Author(s): Xueshan Cao, Meng Zhang, Yishuai Wang, Ming Qin, Yi Zhou, and Yanwu XieThe superconducting transition temperature ${T}_{c}$ at ${\text{KTaO}}_{3}$-based oxide interfaces exhibits a dramatic dependence on crystallographic orientation, yet a unifying mechanism remains elusive. Here, we report a linear scaling between ${T}_{c}$ and a single geometric parameter—the angle $…[Phys. Rev. Lett. 136, 256002] Published Wed Jun 24, 2026</w:t>
      </w:r>
    </w:p>
    <w:p>
      <w:pPr>
        <w:spacing w:before="120" w:after="120"/>
      </w:pPr>
      <w:r>
        <w:rPr>
          <w:sz w:val="18"/>
        </w:rPr>
        <w:t>——————————————————————————————————————————————————————————————————————</w:t>
      </w:r>
    </w:p>
    <w:p>
      <w:pPr>
        <w:spacing w:before="160" w:after="40" w:line="240" w:lineRule="auto"/>
      </w:pPr>
      <w:r>
        <w:rPr>
          <w:b/>
        </w:rPr>
        <w:t xml:space="preserve">[378] </w:t>
      </w:r>
      <w:hyperlink r:id="rId960">
        <w:r>
          <w:rPr>
            <w:color w:val="1155CC"/>
            <w:u w:val="single"/>
          </w:rPr>
          <w:t>量子自旋霍尔绝缘体中的边缘重建</w:t>
        </w:r>
      </w:hyperlink>
    </w:p>
    <w:p>
      <w:pPr>
        <w:spacing w:before="0" w:after="80"/>
      </w:pPr>
      <w:r>
        <w:rPr>
          <w:i/>
          <w:sz w:val="20"/>
        </w:rPr>
        <w:t>EN: Edge Reconstruction in a Quantum Spin Hall Insulator</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61">
        <w:r>
          <w:rPr>
            <w:color w:val="1155CC"/>
            <w:u w:val="single"/>
          </w:rPr>
          <w:t>10.1103/98j3-424f</w:t>
        </w:r>
      </w:hyperlink>
    </w:p>
    <w:p>
      <w:pPr>
        <w:spacing w:before="0" w:after="120"/>
      </w:pPr>
      <w:r>
        <w:rPr>
          <w:b/>
        </w:rPr>
        <w:t xml:space="preserve">Notes: </w:t>
      </w:r>
      <w:r>
        <w:t>abstract_source=rss_description</w:t>
      </w:r>
    </w:p>
    <w:p>
      <w:pPr>
        <w:spacing w:before="0" w:after="80" w:lineRule="auto" w:line="276"/>
      </w:pPr>
      <w:r>
        <w:rPr>
          <w:b/>
        </w:rPr>
        <w:t xml:space="preserve">摘要（ZH）: </w:t>
      </w:r>
      <w:r>
        <w:t>作者：Rahul Soni、Matthias Thamm、Gonzalo Alvarez、Bernd Rosenow 和 Adrian Del Maestro 我们研究了由具有 Kanamori-Hubbard 相互作用的 Bernevig-Hughes-Zhang 模型描述的量子自旋霍尔绝缘体中相互作用驱动的边缘重建，在大正则系综和正则系综中使用实空间密度矩阵重整化群方法。对于二维......[物理。莱特牧师。 136, 256504] 2026 年 6 月 24 日星期三发布</w:t>
      </w:r>
    </w:p>
    <w:p>
      <w:pPr>
        <w:spacing w:before="0" w:after="200" w:lineRule="auto" w:line="276"/>
      </w:pPr>
      <w:r>
        <w:rPr>
          <w:b/>
        </w:rPr>
        <w:t xml:space="preserve">Abstract (EN): </w:t>
      </w:r>
      <w:r>
        <w:t>Author(s): Rahul Soni, Matthias Thamm, Gonzalo Alvarez, Bernd Rosenow, and Adrian Del MaestroWe study interaction-driven edge reconstruction in a quantum spin Hall insulator described by the Bernevig-Hughes-Zhang model with Kanamori-Hubbard interactions using the real-space density matrix renormalization group method in both the grand-canonical and canonical ensembles. For a two-dimensional…[Phys. Rev. Lett. 136, 256504] Published Wed Jun 24, 2026</w:t>
      </w:r>
    </w:p>
    <w:p>
      <w:pPr>
        <w:spacing w:before="120" w:after="120"/>
      </w:pPr>
      <w:r>
        <w:rPr>
          <w:sz w:val="18"/>
        </w:rPr>
        <w:t>——————————————————————————————————————————————————————————————————————</w:t>
      </w:r>
    </w:p>
    <w:p>
      <w:pPr>
        <w:spacing w:before="160" w:after="40" w:line="240" w:lineRule="auto"/>
      </w:pPr>
      <w:r>
        <w:rPr>
          <w:b/>
        </w:rPr>
        <w:t xml:space="preserve">[379] </w:t>
      </w:r>
      <w:hyperlink r:id="rId962">
        <w:r>
          <w:rPr>
            <w:color w:val="1155CC"/>
            <w:u w:val="single"/>
          </w:rPr>
          <w:t>非微扰$S$-矩阵重正化</w:t>
        </w:r>
      </w:hyperlink>
    </w:p>
    <w:p>
      <w:pPr>
        <w:spacing w:before="0" w:after="80"/>
      </w:pPr>
      <w:r>
        <w:rPr>
          <w:i/>
          <w:sz w:val="20"/>
        </w:rPr>
        <w:t>EN: Nonperturbative $S$-Matrix Renormalization</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63">
        <w:r>
          <w:rPr>
            <w:color w:val="1155CC"/>
            <w:u w:val="single"/>
          </w:rPr>
          <w:t>10.1103/jxcl-q2vt</w:t>
        </w:r>
      </w:hyperlink>
    </w:p>
    <w:p>
      <w:pPr>
        <w:spacing w:before="0" w:after="120"/>
      </w:pPr>
      <w:r>
        <w:rPr>
          <w:b/>
        </w:rPr>
        <w:t xml:space="preserve">Notes: </w:t>
      </w:r>
      <w:r>
        <w:t>abstract_source=rss_description</w:t>
      </w:r>
    </w:p>
    <w:p>
      <w:pPr>
        <w:spacing w:before="0" w:after="80" w:lineRule="auto" w:line="276"/>
      </w:pPr>
      <w:r>
        <w:rPr>
          <w:b/>
        </w:rPr>
        <w:t xml:space="preserve">摘要（ZH）: </w:t>
      </w:r>
      <w:r>
        <w:t>作者：Laurent Freidel、José Padua-Argüelles、Susanne Schander 和 Marc Schiffer 我们提出了一个函数的重正化群流方程，该方程生成 $S$ 矩阵元素，并捕获了与著名的 Wetterich 和 Polchinski 方程的相似之处。而后者分别涉及有效作用和施温格函数，它们是真正的……[物理。莱特牧师。 136, 251602] 2026 年 6 月 24 日星期三发布</w:t>
      </w:r>
    </w:p>
    <w:p>
      <w:pPr>
        <w:spacing w:before="0" w:after="200" w:lineRule="auto" w:line="276"/>
      </w:pPr>
      <w:r>
        <w:rPr>
          <w:b/>
        </w:rPr>
        <w:t xml:space="preserve">Abstract (EN): </w:t>
      </w:r>
      <w:r>
        <w:t>Author(s): Laurent Freidel, José Padua-Argüelles, Susanne Schander, and Marc SchifferWe propose a renormalization group flow equation for a functional that generates $S$-matrix elements and which captures similarities to the well-known Wetterich and Polchinski equations. While the latter ones, respectively, involve the effective action and Schwinger functional, which are genuine off…[Phys. Rev. Lett. 136, 251602] Published Wed Jun 24, 2026</w:t>
      </w:r>
    </w:p>
    <w:p>
      <w:pPr>
        <w:spacing w:before="120" w:after="120"/>
      </w:pPr>
      <w:r>
        <w:rPr>
          <w:sz w:val="18"/>
        </w:rPr>
        <w:t>——————————————————————————————————————————————————————————————————————</w:t>
      </w:r>
    </w:p>
    <w:p>
      <w:pPr>
        <w:spacing w:before="160" w:after="40" w:line="240" w:lineRule="auto"/>
      </w:pPr>
      <w:r>
        <w:rPr>
          <w:b/>
        </w:rPr>
        <w:t xml:space="preserve">[380] </w:t>
      </w:r>
      <w:hyperlink r:id="rId964">
        <w:r>
          <w:rPr>
            <w:color w:val="1155CC"/>
            <w:u w:val="single"/>
          </w:rPr>
          <w:t>二维哈伯德模型中超导对的动力学</w:t>
        </w:r>
      </w:hyperlink>
    </w:p>
    <w:p>
      <w:pPr>
        <w:spacing w:before="0" w:after="80"/>
      </w:pPr>
      <w:r>
        <w:rPr>
          <w:i/>
          <w:sz w:val="20"/>
        </w:rPr>
        <w:t>EN: Dynamics of Superconducting Pairs in the Two-Dimensional Hubbard Model</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65">
        <w:r>
          <w:rPr>
            <w:color w:val="1155CC"/>
            <w:u w:val="single"/>
          </w:rPr>
          <w:t>10.1103/22h2-jxh4</w:t>
        </w:r>
      </w:hyperlink>
    </w:p>
    <w:p>
      <w:pPr>
        <w:spacing w:before="0" w:after="120"/>
      </w:pPr>
      <w:r>
        <w:rPr>
          <w:b/>
        </w:rPr>
        <w:t xml:space="preserve">Notes: </w:t>
      </w:r>
      <w:r>
        <w:t>abstract_source=rss_description</w:t>
      </w:r>
    </w:p>
    <w:p>
      <w:pPr>
        <w:spacing w:before="0" w:after="80" w:lineRule="auto" w:line="276"/>
      </w:pPr>
      <w:r>
        <w:rPr>
          <w:b/>
        </w:rPr>
        <w:t xml:space="preserve">摘要（ZH）: </w:t>
      </w:r>
      <w:r>
        <w:t>作者：G. Sordi、E. M. O’Callaghan、C. Walsh、M. Charlebois、P. Sémon 和 A.-M. S. Tremblay 铜氧化物中超导关联的频率结构提供了对配对机制的见解。在这里，我们用细胞动力学平均场理论对二维哈伯德模型中的这个问题进行了详尽的研究。为此，我们系统地量化了依赖性……[Phys。莱特牧师。 136, 256503] 2026 年 6 月 24 日星期三发布</w:t>
      </w:r>
    </w:p>
    <w:p>
      <w:pPr>
        <w:spacing w:before="0" w:after="200" w:lineRule="auto" w:line="276"/>
      </w:pPr>
      <w:r>
        <w:rPr>
          <w:b/>
        </w:rPr>
        <w:t xml:space="preserve">Abstract (EN): </w:t>
      </w:r>
      <w:r>
        <w:t>Author(s): G. Sordi, E. M. O’Callaghan, C. Walsh, M. Charlebois, P. Sémon, and A.-M. S. TremblayThe frequency structure of the superconducting correlations in cuprates gives insights on the pairing mechanism. Here we present an exhaustive study of this problem in the two-dimensional Hubbard model with cellular dynamical mean-field theory. To this end, we systematically quantify the dependence …[Phys. Rev. Lett. 136, 256503] Published Wed Jun 24, 2026</w:t>
      </w:r>
    </w:p>
    <w:p>
      <w:pPr>
        <w:spacing w:before="120" w:after="120"/>
      </w:pPr>
      <w:r>
        <w:rPr>
          <w:sz w:val="18"/>
        </w:rPr>
        <w:t>——————————————————————————————————————————————————————————————————————</w:t>
      </w:r>
    </w:p>
    <w:p>
      <w:pPr>
        <w:spacing w:before="160" w:after="40" w:line="240" w:lineRule="auto"/>
      </w:pPr>
      <w:r>
        <w:rPr>
          <w:b/>
        </w:rPr>
        <w:t xml:space="preserve">[381] </w:t>
      </w:r>
      <w:hyperlink r:id="rId966">
        <w:r>
          <w:rPr>
            <w:color w:val="1155CC"/>
            <w:u w:val="single"/>
          </w:rPr>
          <w:t>二维分数化量子临界点的新兴时空超对称性</w:t>
        </w:r>
      </w:hyperlink>
    </w:p>
    <w:p>
      <w:pPr>
        <w:spacing w:before="0" w:after="80"/>
      </w:pPr>
      <w:r>
        <w:rPr>
          <w:i/>
          <w:sz w:val="20"/>
        </w:rPr>
        <w:t>EN: Emergent Spacetime Supersymmetry at 2D Fractionalized Quantum Criticality</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67">
        <w:r>
          <w:rPr>
            <w:color w:val="1155CC"/>
            <w:u w:val="single"/>
          </w:rPr>
          <w:t>10.1103/zqnh-tb1d</w:t>
        </w:r>
      </w:hyperlink>
    </w:p>
    <w:p>
      <w:pPr>
        <w:spacing w:before="0" w:after="120"/>
      </w:pPr>
      <w:r>
        <w:rPr>
          <w:b/>
        </w:rPr>
        <w:t xml:space="preserve">Notes: </w:t>
      </w:r>
      <w:r>
        <w:t>abstract_source=rss_description</w:t>
      </w:r>
    </w:p>
    <w:p>
      <w:pPr>
        <w:spacing w:before="0" w:after="80" w:lineRule="auto" w:line="276"/>
      </w:pPr>
      <w:r>
        <w:rPr>
          <w:b/>
        </w:rPr>
        <w:t xml:space="preserve">摘要（ZH）: </w:t>
      </w:r>
      <w:r>
        <w:t>作者：吴正志、万周全、简少凯和姚洪虽然粒子物理学中时空超对称性（SUSY）的实验证据仍然难以捉摸，但凝聚态物质系统为其在量子临界点（QCP）的出现提供了一个充满希望的舞台。尽管在对称性破缺 QCP 上出现了各种关于紧急 SUSY 的建议，但 e…[Phys.莱特牧师。 136, 256502] 2026 年 6 月 24 日星期三发布</w:t>
      </w:r>
    </w:p>
    <w:p>
      <w:pPr>
        <w:spacing w:before="0" w:after="200" w:lineRule="auto" w:line="276"/>
      </w:pPr>
      <w:r>
        <w:rPr>
          <w:b/>
        </w:rPr>
        <w:t xml:space="preserve">Abstract (EN): </w:t>
      </w:r>
      <w:r>
        <w:t>Author(s): Zhengzhi Wu, Zhou-Quan Wan, Shao-Kai Jian, and Hong YaoWhile experimental evidence for spacetime supersymmetry (SUSY) in particle physics remains elusive, condensed matter systems offer a promising arena for its emergence at quantum critical points (QCPs). Although there have been a variety of proposals for emergent SUSY at symmetry-breaking QCPs, the e…[Phys. Rev. Lett. 136, 256502] Published Wed Jun 24, 2026</w:t>
      </w:r>
    </w:p>
    <w:p>
      <w:pPr>
        <w:spacing w:before="120" w:after="120"/>
      </w:pPr>
      <w:r>
        <w:rPr>
          <w:sz w:val="18"/>
        </w:rPr>
        <w:t>——————————————————————————————————————————————————————————————————————</w:t>
      </w:r>
    </w:p>
    <w:p>
      <w:pPr>
        <w:spacing w:before="160" w:after="40" w:line="240" w:lineRule="auto"/>
      </w:pPr>
      <w:r>
        <w:rPr>
          <w:b/>
        </w:rPr>
        <w:t xml:space="preserve">[382] </w:t>
      </w:r>
      <w:hyperlink r:id="rId968">
        <w:r>
          <w:rPr>
            <w:color w:val="1155CC"/>
            <w:u w:val="single"/>
          </w:rPr>
          <w:t>通过探测抗噪能力对保护状态进行机器学习调整</w:t>
        </w:r>
      </w:hyperlink>
    </w:p>
    <w:p>
      <w:pPr>
        <w:spacing w:before="0" w:after="80"/>
      </w:pPr>
      <w:r>
        <w:rPr>
          <w:i/>
          <w:sz w:val="20"/>
        </w:rPr>
        <w:t>EN: Machine-Learned Tuning to Protected States by Probing Noise Resilience</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69">
        <w:r>
          <w:rPr>
            <w:color w:val="1155CC"/>
            <w:u w:val="single"/>
          </w:rPr>
          <w:t>10.1103/xl8y-dg4k</w:t>
        </w:r>
      </w:hyperlink>
    </w:p>
    <w:p>
      <w:pPr>
        <w:spacing w:before="0" w:after="120"/>
      </w:pPr>
      <w:r>
        <w:rPr>
          <w:b/>
        </w:rPr>
        <w:t xml:space="preserve">Notes: </w:t>
      </w:r>
      <w:r>
        <w:t>abstract_source=rss_description</w:t>
      </w:r>
    </w:p>
    <w:p>
      <w:pPr>
        <w:spacing w:before="0" w:after="80" w:lineRule="auto" w:line="276"/>
      </w:pPr>
      <w:r>
        <w:rPr>
          <w:b/>
        </w:rPr>
        <w:t xml:space="preserve">摘要（ZH）: </w:t>
      </w:r>
      <w:r>
        <w:t>作者：Rodrigo A. Dourado、Nicolás Martínez-Valero、Jacob Benestad、Martin Leijnse、Jeroen Danon 和 Rubén Seoane Souto 受保护态由于其固有的抗噪声能力，在量子技术方面很有前景。然而，这种状态通常出现在参数空间中的离散点或小区域，因此很难在实验中找到。在这封信中，我们提出了一种机器学习方法......[物理。莱特牧师。 136, 256604] 2026 年 6 月 24 日星期三发布</w:t>
      </w:r>
    </w:p>
    <w:p>
      <w:pPr>
        <w:spacing w:before="0" w:after="200" w:lineRule="auto" w:line="276"/>
      </w:pPr>
      <w:r>
        <w:rPr>
          <w:b/>
        </w:rPr>
        <w:t xml:space="preserve">Abstract (EN): </w:t>
      </w:r>
      <w:r>
        <w:t>Author(s): Rodrigo A. Dourado, Nicolás Martínez-Valero, Jacob Benestad, Martin Leijnse, Jeroen Danon, and Rubén Seoane SoutoProtected states are promising for quantum technologies due to their intrinsic resilience against noise. However, such states often emerge at discrete points or small regions in parameter space and are, thus, difficult to find in experiments. In this Letter, we present a machine-learning method for …[Phys. Rev. Lett. 136, 256604] Published Wed Jun 24, 2026</w:t>
      </w:r>
    </w:p>
    <w:p>
      <w:pPr>
        <w:spacing w:before="120" w:after="120"/>
      </w:pPr>
      <w:r>
        <w:rPr>
          <w:sz w:val="18"/>
        </w:rPr>
        <w:t>——————————————————————————————————————————————————————————————————————</w:t>
      </w:r>
    </w:p>
    <w:p>
      <w:pPr>
        <w:spacing w:before="160" w:after="40" w:line="240" w:lineRule="auto"/>
      </w:pPr>
      <w:r>
        <w:rPr>
          <w:b/>
        </w:rPr>
        <w:t xml:space="preserve">[383] </w:t>
      </w:r>
      <w:hyperlink r:id="rId970">
        <w:r>
          <w:rPr>
            <w:color w:val="1155CC"/>
            <w:u w:val="single"/>
          </w:rPr>
          <w:t>MnTe 交变磁性的超快磁光指纹</w:t>
        </w:r>
      </w:hyperlink>
    </w:p>
    <w:p>
      <w:pPr>
        <w:spacing w:before="0" w:after="80"/>
      </w:pPr>
      <w:r>
        <w:rPr>
          <w:i/>
          <w:sz w:val="20"/>
        </w:rPr>
        <w:t>EN: Ultrafast Magneto-Optical Fingerprints of Altermagnetism in MnTe</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71">
        <w:r>
          <w:rPr>
            <w:color w:val="1155CC"/>
            <w:u w:val="single"/>
          </w:rPr>
          <w:t>10.1103/nyy3-h8wr</w:t>
        </w:r>
      </w:hyperlink>
    </w:p>
    <w:p>
      <w:pPr>
        <w:spacing w:before="0" w:after="120"/>
      </w:pPr>
      <w:r>
        <w:rPr>
          <w:b/>
        </w:rPr>
        <w:t xml:space="preserve">Notes: </w:t>
      </w:r>
      <w:r>
        <w:t>abstract_source=rss_description</w:t>
      </w:r>
    </w:p>
    <w:p>
      <w:pPr>
        <w:spacing w:before="0" w:after="80" w:lineRule="auto" w:line="276"/>
      </w:pPr>
      <w:r>
        <w:rPr>
          <w:b/>
        </w:rPr>
        <w:t xml:space="preserve">摘要（ZH）: </w:t>
      </w:r>
      <w:r>
        <w:t>作者：Xu Yang、Xingkai Cheng、Zhuo Deng、Yu-Han Gau、Qing-Lin Yang、Zheng Chang、Peng-Tao Yang、hong-Mei Feng、Xiang-Qun Zhang、Wei He、Junwei Liu和Zhao-Hua Cheng最近发现的交替磁体表现出独特的双空间性质：它们在动量空间中拥有类似于铁磁体的自旋分裂电子带，同时在实际中保持反铁磁体的完全补偿磁化强度空间。这种固有的二元性，源自同一晶体……[物理。莱特牧师。 136, 256702] 2026 年 6 月 24 日星期三发布</w:t>
      </w:r>
    </w:p>
    <w:p>
      <w:pPr>
        <w:spacing w:before="0" w:after="200" w:lineRule="auto" w:line="276"/>
      </w:pPr>
      <w:r>
        <w:rPr>
          <w:b/>
        </w:rPr>
        <w:t xml:space="preserve">Abstract (EN): </w:t>
      </w:r>
      <w:r>
        <w:t>Author(s): Xu Yang, Xingkai Cheng, Zhuo Deng, Yu-Han Gao, Qing-Lin Yang, Zheng Chang, Peng-Tao Yang, Hong-Mei Feng, Xiang-Qun Zhang, Wei He, Junwei Liu, and Zhao-Hua ChengRecently identified altermagnets exhibit a distinctive dual-space nature: they possess spin-split electronic bands akin to ferromagnets in momentum space while maintaining the fully compensated magnetization of antiferromagnets in real space. This inherent duality, originating from the same crystal …[Phys. Rev. Lett. 136, 256702] Published Wed Jun 24, 2026</w:t>
      </w:r>
    </w:p>
    <w:p>
      <w:pPr>
        <w:spacing w:before="120" w:after="120"/>
      </w:pPr>
      <w:r>
        <w:rPr>
          <w:sz w:val="18"/>
        </w:rPr>
        <w:t>——————————————————————————————————————————————————————————————————————</w:t>
      </w:r>
    </w:p>
    <w:p>
      <w:pPr>
        <w:spacing w:before="160" w:after="40" w:line="240" w:lineRule="auto"/>
      </w:pPr>
      <w:r>
        <w:rPr>
          <w:b/>
        </w:rPr>
        <w:t xml:space="preserve">[384] </w:t>
      </w:r>
      <w:hyperlink r:id="rId972">
        <w:r>
          <w:rPr>
            <w:color w:val="1155CC"/>
            <w:u w:val="single"/>
          </w:rPr>
          <w:t>单链准一维块型反铁磁性 ${\mathrm{K}}_{3}{\mathrm{Fe}}_{2}{\mathrm{Se}}_{4}$</w:t>
        </w:r>
      </w:hyperlink>
    </w:p>
    <w:p>
      <w:pPr>
        <w:spacing w:before="0" w:after="80"/>
      </w:pPr>
      <w:r>
        <w:rPr>
          <w:i/>
          <w:sz w:val="20"/>
        </w:rPr>
        <w:t>EN: Block-Type Antiferromagnetism in Single Chain Quasi-One-Dimensional ${\mathrm{K}}_{3}{\mathrm{Fe}}_{2}{\mathrm{Se}}_{4}$</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73">
        <w:r>
          <w:rPr>
            <w:color w:val="1155CC"/>
            <w:u w:val="single"/>
          </w:rPr>
          <w:t>10.1103/g8zx-gc2t</w:t>
        </w:r>
      </w:hyperlink>
    </w:p>
    <w:p>
      <w:pPr>
        <w:spacing w:before="0" w:after="120"/>
      </w:pPr>
      <w:r>
        <w:rPr>
          <w:b/>
        </w:rPr>
        <w:t xml:space="preserve">Notes: </w:t>
      </w:r>
      <w:r>
        <w:t>abstract_source=rss_description</w:t>
      </w:r>
    </w:p>
    <w:p>
      <w:pPr>
        <w:spacing w:before="0" w:after="80" w:lineRule="auto" w:line="276"/>
      </w:pPr>
      <w:r>
        <w:rPr>
          <w:b/>
        </w:rPr>
        <w:t xml:space="preserve">摘要（ZH）: </w:t>
      </w:r>
      <w:r>
        <w:t>作者：Fei Gau、Nikhil Dhale、Ling-Fang Lin、Keith M. Taddei、Yang Zhang、Clarina Dela Cruz、Elbio Dagotto 和 Bing Lv 一维 (1D) 结构为研究相关量子相互作用和相变（例如非常规磁性和超导态）提供了一个独特的平台。在这里，我们报告铁硫族化物 ${\mathrm{K}}_{3}{\mathrm{Fe}}_{2}{\mathrm{Se}}_{4}$ 表现出不寻常的 bl…[Phys.莱特牧师。 136, 256706] 2026 年 6 月 24 日星期三发布</w:t>
      </w:r>
    </w:p>
    <w:p>
      <w:pPr>
        <w:spacing w:before="0" w:after="200" w:lineRule="auto" w:line="276"/>
      </w:pPr>
      <w:r>
        <w:rPr>
          <w:b/>
        </w:rPr>
        <w:t xml:space="preserve">Abstract (EN): </w:t>
      </w:r>
      <w:r>
        <w:t>Author(s): Fei Gao, Nikhil Dhale, Ling-Fang Lin, Keith M. Taddei, Yang Zhang, Clarina Dela Cruz, Elbio Dagotto, and Bing LvOne-dimensional (1D) structures provide a unique platform to study the correlated quantum interactions and phase transitions such as unconventional magnetism and superconducting states. Here, we report that iron chalcogenide ${\mathrm{K}}_{3}{\mathrm{Fe}}_{2}{\mathrm{Se}}_{4}$ exhibits an unusual bl…[Phys. Rev. Lett. 136, 256706] Published Wed Jun 24, 2026</w:t>
      </w:r>
    </w:p>
    <w:p>
      <w:pPr>
        <w:spacing w:before="120" w:after="120"/>
      </w:pPr>
      <w:r>
        <w:rPr>
          <w:sz w:val="18"/>
        </w:rPr>
        <w:t>——————————————————————————————————————————————————————————————————————</w:t>
      </w:r>
    </w:p>
    <w:p>
      <w:pPr>
        <w:spacing w:before="160" w:after="40" w:line="240" w:lineRule="auto"/>
      </w:pPr>
      <w:r>
        <w:rPr>
          <w:b/>
        </w:rPr>
        <w:t xml:space="preserve">[385] </w:t>
      </w:r>
      <w:hyperlink r:id="rId974">
        <w:r>
          <w:rPr>
            <w:color w:val="1155CC"/>
            <w:u w:val="single"/>
          </w:rPr>
          <w:t>${\mathrm{TmZn}}_{2}{\mathrm{GaO}}_{5}$ 中非常接近量子相变</w:t>
        </w:r>
      </w:hyperlink>
    </w:p>
    <w:p>
      <w:pPr>
        <w:spacing w:before="0" w:after="80"/>
      </w:pPr>
      <w:r>
        <w:rPr>
          <w:i/>
          <w:sz w:val="20"/>
        </w:rPr>
        <w:t>EN: Close Proximity to a Quantum Phase Transition in ${\mathrm{TmZn}}_{2}{\mathrm{GaO}}_{5}$</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75">
        <w:r>
          <w:rPr>
            <w:color w:val="1155CC"/>
            <w:u w:val="single"/>
          </w:rPr>
          <w:t>10.1103/vhv1-pz6q</w:t>
        </w:r>
      </w:hyperlink>
    </w:p>
    <w:p>
      <w:pPr>
        <w:spacing w:before="0" w:after="120"/>
      </w:pPr>
      <w:r>
        <w:rPr>
          <w:b/>
        </w:rPr>
        <w:t xml:space="preserve">Notes: </w:t>
      </w:r>
      <w:r>
        <w:t>abstract_source=rss_description</w:t>
      </w:r>
    </w:p>
    <w:p>
      <w:pPr>
        <w:spacing w:before="0" w:after="80" w:lineRule="auto" w:line="276"/>
      </w:pPr>
      <w:r>
        <w:rPr>
          <w:b/>
        </w:rPr>
        <w:t xml:space="preserve">摘要（ZH）: </w:t>
      </w:r>
      <w:r>
        <w:t>作者：Matthew Ennis、Rabindranath Bag、Tessa Cookmeyer、Matthew B. Stone、Alexander I. Kolesnikov、Tao Hong、Leon Balents 和 Sara Haravifard${\mathrm{TmZn}}_{2}{\mathrm{GaO}}_{5}$ 是一种新合成的三角晶格磁体，表现出以强伊辛各向异性为特征的独特量子相，即伪双态晶体电场接地状态，以及 $K$ 点的低能隙激发。与其众所周知的国家不同……[物理。莱特牧师。 136, 256707] 2026 年 6 月 24 日星期三发布</w:t>
      </w:r>
    </w:p>
    <w:p>
      <w:pPr>
        <w:spacing w:before="0" w:after="200" w:lineRule="auto" w:line="276"/>
      </w:pPr>
      <w:r>
        <w:rPr>
          <w:b/>
        </w:rPr>
        <w:t xml:space="preserve">Abstract (EN): </w:t>
      </w:r>
      <w:r>
        <w:t>Author(s): Matthew Ennis, Rabindranath Bag, Tessa Cookmeyer, Matthew B. Stone, Alexander I. Kolesnikov, Tao Hong, Leon Balents, and Sara Haravifard${\mathrm{TmZn}}_{2}{\mathrm{GaO}}_{5}$ is a newly synthesized triangular lattice magnet that exhibits a unique quantum phase characterized by strong Ising anisotropy, a pseudodoublet crystal electric field ground state, and a low-energy gapped excitation at the $K$ point. Unlike its well-known coun…[Phys. Rev. Lett. 136, 256707] Published Wed Jun 24, 2026</w:t>
      </w:r>
    </w:p>
    <w:p>
      <w:pPr>
        <w:spacing w:before="120" w:after="120"/>
      </w:pPr>
      <w:r>
        <w:rPr>
          <w:sz w:val="18"/>
        </w:rPr>
        <w:t>——————————————————————————————————————————————————————————————————————</w:t>
      </w:r>
    </w:p>
    <w:p>
      <w:pPr>
        <w:spacing w:before="160" w:after="40" w:line="240" w:lineRule="auto"/>
      </w:pPr>
      <w:r>
        <w:rPr>
          <w:b/>
        </w:rPr>
        <w:t xml:space="preserve">[386] </w:t>
      </w:r>
      <w:hyperlink r:id="rId976">
        <w:r>
          <w:rPr>
            <w:color w:val="1155CC"/>
            <w:u w:val="single"/>
          </w:rPr>
          <w:t>通过挤压引起的对称性破缺增强非互易性</w:t>
        </w:r>
      </w:hyperlink>
    </w:p>
    <w:p>
      <w:pPr>
        <w:spacing w:before="0" w:after="80"/>
      </w:pPr>
      <w:r>
        <w:rPr>
          <w:i/>
          <w:sz w:val="20"/>
        </w:rPr>
        <w:t>EN: Enhancing Nonreciprocity through Squeezing-Induced Symmetry Breaking</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77">
        <w:r>
          <w:rPr>
            <w:color w:val="1155CC"/>
            <w:u w:val="single"/>
          </w:rPr>
          <w:t>10.1103/kh36-7z76</w:t>
        </w:r>
      </w:hyperlink>
    </w:p>
    <w:p>
      <w:pPr>
        <w:spacing w:before="0" w:after="120"/>
      </w:pPr>
      <w:r>
        <w:rPr>
          <w:b/>
        </w:rPr>
        <w:t xml:space="preserve">Notes: </w:t>
      </w:r>
      <w:r>
        <w:t>abstract_source=rss_description</w:t>
      </w:r>
    </w:p>
    <w:p>
      <w:pPr>
        <w:spacing w:before="0" w:after="80" w:lineRule="auto" w:line="276"/>
      </w:pPr>
      <w:r>
        <w:rPr>
          <w:b/>
        </w:rPr>
        <w:t xml:space="preserve">摘要（ZH）: </w:t>
      </w:r>
      <w:r>
        <w:t>作者：B.-B.刘，D.-Y。 Wang、J. Tang、G. Chen、H. Jing、Shi-Lei Su 和 F. Nori 储层工程可实现单向能量和信号流。我们建立了两个空腔之间挤压引起的对称性破缺作为指数放大储层介导的非互易性的指导原则。这种机制不是简单地缩放耦合，而是战略性地……[物理。莱特牧师。 136, 253602] 2026 年 6 月 24 日星期三发布</w:t>
      </w:r>
    </w:p>
    <w:p>
      <w:pPr>
        <w:spacing w:before="0" w:after="200" w:lineRule="auto" w:line="276"/>
      </w:pPr>
      <w:r>
        <w:rPr>
          <w:b/>
        </w:rPr>
        <w:t xml:space="preserve">Abstract (EN): </w:t>
      </w:r>
      <w:r>
        <w:t>Author(s): B.-B. Liu, D.-Y. Wang, J. Tang, G. Chen, H. Jing, Shi-Lei Su, and F. NoriReservoir engineering enables unidirectional energy and signal flow. We establish squeezing-induced symmetry breaking between two cavities as a guiding principle for exponentially amplifying reservoir-mediated nonreciprocity. Rather than a simple scaling of the coupling, this mechanism strategically…[Phys. Rev. Lett. 136, 253602] Published Wed Jun 24, 2026</w:t>
      </w:r>
    </w:p>
    <w:p>
      <w:pPr>
        <w:spacing w:before="120" w:after="120"/>
      </w:pPr>
      <w:r>
        <w:rPr>
          <w:sz w:val="18"/>
        </w:rPr>
        <w:t>——————————————————————————————————————————————————————————————————————</w:t>
      </w:r>
    </w:p>
    <w:p>
      <w:pPr>
        <w:spacing w:before="160" w:after="40" w:line="240" w:lineRule="auto"/>
      </w:pPr>
      <w:r>
        <w:rPr>
          <w:b/>
        </w:rPr>
        <w:t xml:space="preserve">[387] </w:t>
      </w:r>
      <w:hyperlink r:id="rId978">
        <w:r>
          <w:rPr>
            <w:color w:val="1155CC"/>
            <w:u w:val="single"/>
          </w:rPr>
          <w:t>$^{132}\mathrm{Sn}$ 质量区域中 $50≤Z、N≤82$ 的原子核的核结构</w:t>
        </w:r>
      </w:hyperlink>
    </w:p>
    <w:p>
      <w:pPr>
        <w:spacing w:before="0" w:after="80"/>
      </w:pPr>
      <w:r>
        <w:rPr>
          <w:i/>
          <w:sz w:val="20"/>
        </w:rPr>
        <w:t>EN: Nuclear structure of nuclei in the $^{132}\mathrm{Sn}$ mass region with $50≤Z, N≤82$</w:t>
      </w:r>
    </w:p>
    <w:p>
      <w:pPr>
        <w:spacing w:before="0" w:after="120"/>
      </w:pPr>
      <w:r>
        <w:rPr>
          <w:b/>
        </w:rPr>
        <w:t xml:space="preserve">Source: </w:t>
      </w:r>
      <w:r>
        <w:t>Recent Articles in Phys. Rev. C</w:t>
      </w:r>
      <w:r>
        <w:t xml:space="preserve">    </w:t>
      </w:r>
      <w:r>
        <w:rPr>
          <w:b/>
        </w:rPr>
        <w:t xml:space="preserve">Pub date: </w:t>
      </w:r>
      <w:r>
        <w:t>2026-06-24 10:00:00+00:00</w:t>
      </w:r>
      <w:r>
        <w:t xml:space="preserve">    </w:t>
      </w:r>
      <w:r>
        <w:rPr>
          <w:b/>
        </w:rPr>
        <w:t xml:space="preserve">DOI: </w:t>
      </w:r>
      <w:hyperlink r:id="rId979">
        <w:r>
          <w:rPr>
            <w:color w:val="1155CC"/>
            <w:u w:val="single"/>
          </w:rPr>
          <w:t>10.1103/bd56-93q6</w:t>
        </w:r>
      </w:hyperlink>
    </w:p>
    <w:p>
      <w:pPr>
        <w:spacing w:before="0" w:after="120"/>
      </w:pPr>
      <w:r>
        <w:rPr>
          <w:b/>
        </w:rPr>
        <w:t xml:space="preserve">Notes: </w:t>
      </w:r>
      <w:r>
        <w:t>abstract_source=rss_description</w:t>
      </w:r>
    </w:p>
    <w:p>
      <w:pPr>
        <w:spacing w:before="0" w:after="80" w:lineRule="auto" w:line="276"/>
      </w:pPr>
      <w:r>
        <w:rPr>
          <w:b/>
        </w:rPr>
        <w:t xml:space="preserve">摘要（ZH）: </w:t>
      </w:r>
      <w:r>
        <w:t>作者：H. Zidani 和 H. Naïdja 在壳模型框架内，我们从现实的 N3LO 相互作用中导出了一种新的有效相互作用，以准确描述 $50≤Z、N≤82$ 的偶偶核在 $^{132}\mathrm{Sn}$ 质量区域的核结构特性。我们验证了我们的理论框架……[物理。 Rev. C 113, 064317] 2026 年 6 月 24 日星期三发布</w:t>
      </w:r>
    </w:p>
    <w:p>
      <w:pPr>
        <w:spacing w:before="0" w:after="200" w:lineRule="auto" w:line="276"/>
      </w:pPr>
      <w:r>
        <w:rPr>
          <w:b/>
        </w:rPr>
        <w:t xml:space="preserve">Abstract (EN): </w:t>
      </w:r>
      <w:r>
        <w:t>Author(s): H. Zidani and H. NaïdjaWithin the shell-model framework, we have derived a new effective interaction from the realistic N3LO interaction to provide an accurate description of the nuclear structure properties of even-even nuclei with $50≤Z, N≤82$, in the $^{132}\mathrm{Sn}$ mass region. We validate our theoretical framewor…[Phys. Rev. C 113, 064317] Published Wed Jun 24, 2026</w:t>
      </w:r>
    </w:p>
    <w:p>
      <w:pPr>
        <w:spacing w:before="120" w:after="120"/>
      </w:pPr>
      <w:r>
        <w:rPr>
          <w:sz w:val="18"/>
        </w:rPr>
        <w:t>——————————————————————————————————————————————————————————————————————</w:t>
      </w:r>
    </w:p>
    <w:p>
      <w:pPr>
        <w:spacing w:before="160" w:after="40" w:line="240" w:lineRule="auto"/>
      </w:pPr>
      <w:r>
        <w:rPr>
          <w:b/>
        </w:rPr>
        <w:t xml:space="preserve">[388] </w:t>
      </w:r>
      <w:hyperlink r:id="rId980">
        <w:r>
          <w:rPr>
            <w:color w:val="1155CC"/>
            <w:u w:val="single"/>
          </w:rPr>
          <w:t>远离平衡的黑洞热力学</w:t>
        </w:r>
      </w:hyperlink>
    </w:p>
    <w:p>
      <w:pPr>
        <w:spacing w:before="0" w:after="80"/>
      </w:pPr>
      <w:r>
        <w:rPr>
          <w:i/>
          <w:sz w:val="20"/>
        </w:rPr>
        <w:t>EN: Thermodynamics of Black Holes, Far from Equilibrium</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81">
        <w:r>
          <w:rPr>
            <w:color w:val="1155CC"/>
            <w:u w:val="single"/>
          </w:rPr>
          <w:t>10.1103/3c1r-v8f1</w:t>
        </w:r>
      </w:hyperlink>
    </w:p>
    <w:p>
      <w:pPr>
        <w:spacing w:before="0" w:after="120"/>
      </w:pPr>
      <w:r>
        <w:rPr>
          <w:b/>
        </w:rPr>
        <w:t xml:space="preserve">Notes: </w:t>
      </w:r>
      <w:r>
        <w:t>abstract_source=rss_description</w:t>
      </w:r>
    </w:p>
    <w:p>
      <w:pPr>
        <w:spacing w:before="0" w:after="80" w:lineRule="auto" w:line="276"/>
      </w:pPr>
      <w:r>
        <w:rPr>
          <w:b/>
        </w:rPr>
        <w:t xml:space="preserve">摘要（ZH）: </w:t>
      </w:r>
      <w:r>
        <w:t>作者：Abhay Ashtekar、Daniel E. Paraizo 和 Jonathan Shu 黑洞力学第一定律已扩展到动态视界，因此该定律适用于任意远离平衡的黑洞，这一基本结果正式表明黑洞的热力学描述超出了典型的稳态解。莱特牧师。 136, 251405] 2026 年 6 月 24 日星期三发布</w:t>
      </w:r>
    </w:p>
    <w:p>
      <w:pPr>
        <w:spacing w:before="0" w:after="200" w:lineRule="auto" w:line="276"/>
      </w:pPr>
      <w:r>
        <w:rPr>
          <w:b/>
        </w:rPr>
        <w:t xml:space="preserve">Abstract (EN): </w:t>
      </w:r>
      <w:r>
        <w:t>Author(s): Abhay Ashtekar, Daniel E. Paraizo, and Jonathan ShuThe first law of black hole mechanics has been extended to dynamical horizons so that the law applies to black holes arbitrarily far from equilibrium, a fundamental result that formally shows the thermodynamic description of black holes extends beyond the typical stationary solutions.[Phys. Rev. Lett. 136, 251405] Published Wed Jun 24, 2026</w:t>
      </w:r>
    </w:p>
    <w:p>
      <w:pPr>
        <w:spacing w:before="120" w:after="120"/>
      </w:pPr>
      <w:r>
        <w:rPr>
          <w:sz w:val="18"/>
        </w:rPr>
        <w:t>——————————————————————————————————————————————————————————————————————</w:t>
      </w:r>
    </w:p>
    <w:p>
      <w:pPr>
        <w:spacing w:before="160" w:after="40" w:line="240" w:lineRule="auto"/>
      </w:pPr>
      <w:r>
        <w:rPr>
          <w:b/>
        </w:rPr>
        <w:t xml:space="preserve">[389] </w:t>
      </w:r>
      <w:hyperlink r:id="rId982">
        <w:r>
          <w:rPr>
            <w:color w:val="1155CC"/>
            <w:u w:val="single"/>
          </w:rPr>
          <w:t>有吸引力的 SU(3) 费米-哈伯德模型中 Trion 的形成和排序</w:t>
        </w:r>
      </w:hyperlink>
    </w:p>
    <w:p>
      <w:pPr>
        <w:spacing w:before="0" w:after="80"/>
      </w:pPr>
      <w:r>
        <w:rPr>
          <w:i/>
          <w:sz w:val="20"/>
        </w:rPr>
        <w:t>EN: Trion Formation and Ordering in the Attractive SU(3) Fermi-Hubbard Model</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83">
        <w:r>
          <w:rPr>
            <w:color w:val="1155CC"/>
            <w:u w:val="single"/>
          </w:rPr>
          <w:t>10.1103/vnbs-r69s</w:t>
        </w:r>
      </w:hyperlink>
    </w:p>
    <w:p>
      <w:pPr>
        <w:spacing w:before="0" w:after="120"/>
      </w:pPr>
      <w:r>
        <w:rPr>
          <w:b/>
        </w:rPr>
        <w:t xml:space="preserve">Notes: </w:t>
      </w:r>
      <w:r>
        <w:t>abstract_source=rss_description</w:t>
      </w:r>
    </w:p>
    <w:p>
      <w:pPr>
        <w:spacing w:before="0" w:after="80" w:lineRule="auto" w:line="276"/>
      </w:pPr>
      <w:r>
        <w:rPr>
          <w:b/>
        </w:rPr>
        <w:t xml:space="preserve">摘要（ZH）: </w:t>
      </w:r>
      <w:r>
        <w:t>作者：Jonathan Stepp、Eduardo Ibarra-García-Padilla、Richard T. Scalettar 和 Kaden R. A. Hazzard 微波屏蔽的最新进展提高了大量极性分子的稳定性和控制性，首次实现了分子玻色-爱因斯坦凝聚态。值得注意的是，最近人们还意识到屏蔽极性分子表现出 $\mathrm{SU}(N)$ 对称性......[Phys.莱特牧师。 136, 250402] 2026 年 6 月 24 日星期三发布</w:t>
      </w:r>
    </w:p>
    <w:p>
      <w:pPr>
        <w:spacing w:before="0" w:after="200" w:lineRule="auto" w:line="276"/>
      </w:pPr>
      <w:r>
        <w:rPr>
          <w:b/>
        </w:rPr>
        <w:t xml:space="preserve">Abstract (EN): </w:t>
      </w:r>
      <w:r>
        <w:t>Author(s): Jonathan Stepp, Eduardo Ibarra-García-Padilla, Richard T. Scalettar, and Kaden R. A. HazzardRecent advances in microwave shielding have increased the stability and control of large numbers of polar molecules, allowing for the first realization of a molecular Bose-Einstein condensate. Remarkably, it was also recently realized that shielded polar molecules exhibit an $\mathrm{SU}(N)$ symmetr…[Phys. Rev. Lett. 136, 250402] Published Wed Jun 24, 2026</w:t>
      </w:r>
    </w:p>
    <w:p>
      <w:pPr>
        <w:spacing w:before="120" w:after="120"/>
      </w:pPr>
      <w:r>
        <w:rPr>
          <w:sz w:val="18"/>
        </w:rPr>
        <w:t>——————————————————————————————————————————————————————————————————————</w:t>
      </w:r>
    </w:p>
    <w:p>
      <w:pPr>
        <w:spacing w:before="160" w:after="40" w:line="240" w:lineRule="auto"/>
      </w:pPr>
      <w:r>
        <w:rPr>
          <w:b/>
        </w:rPr>
        <w:t xml:space="preserve">[390] </w:t>
      </w:r>
      <w:hyperlink r:id="rId984">
        <w:r>
          <w:rPr>
            <w:color w:val="1155CC"/>
            <w:u w:val="single"/>
          </w:rPr>
          <w:t>通过干涉测量探测时空中的量子态</w:t>
        </w:r>
      </w:hyperlink>
    </w:p>
    <w:p>
      <w:pPr>
        <w:spacing w:before="0" w:after="80"/>
      </w:pPr>
      <w:r>
        <w:rPr>
          <w:i/>
          <w:sz w:val="20"/>
        </w:rPr>
        <w:t>EN: Probing Quantum States over Spacetime through Interferometry</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85">
        <w:r>
          <w:rPr>
            <w:color w:val="1155CC"/>
            <w:u w:val="single"/>
          </w:rPr>
          <w:t>10.1103/t6jg-z17r</w:t>
        </w:r>
      </w:hyperlink>
    </w:p>
    <w:p>
      <w:pPr>
        <w:spacing w:before="0" w:after="120"/>
      </w:pPr>
      <w:r>
        <w:rPr>
          <w:b/>
        </w:rPr>
        <w:t xml:space="preserve">Notes: </w:t>
      </w:r>
      <w:r>
        <w:t>abstract_source=rss_description</w:t>
      </w:r>
    </w:p>
    <w:p>
      <w:pPr>
        <w:spacing w:before="0" w:after="80" w:lineRule="auto" w:line="276"/>
      </w:pPr>
      <w:r>
        <w:rPr>
          <w:b/>
        </w:rPr>
        <w:t xml:space="preserve">摘要（ZH）: </w:t>
      </w:r>
      <w:r>
        <w:t>作者：Seok Hyung Lie 和 Hyukjoon Kwon 建立跨空间和时间一致适用的量子态概念可能是制定相对论量子理论的关键一步。我们通过因果不可知的测量方法，为时空中任意区域的多部分量子态赋予操作意义……[物理学。莱特牧师。 136, 250201] 2026 年 6 月 24 日星期三发布</w:t>
      </w:r>
    </w:p>
    <w:p>
      <w:pPr>
        <w:spacing w:before="0" w:after="200" w:lineRule="auto" w:line="276"/>
      </w:pPr>
      <w:r>
        <w:rPr>
          <w:b/>
        </w:rPr>
        <w:t xml:space="preserve">Abstract (EN): </w:t>
      </w:r>
      <w:r>
        <w:t>Author(s): Seok Hyung Lie and Hyukjoon KwonEstablishing a notion of the quantum state that applies consistently across space and time could be a crucial step toward formulating a relativistic quantum theory. We give an operational meaning to multipartite quantum states over arbitrary regions in spacetime through a causally agnostic measureme…[Phys. Rev. Lett. 136, 250201] Published Wed Jun 24, 2026</w:t>
      </w:r>
    </w:p>
    <w:p>
      <w:pPr>
        <w:spacing w:before="120" w:after="120"/>
      </w:pPr>
      <w:r>
        <w:rPr>
          <w:sz w:val="18"/>
        </w:rPr>
        <w:t>——————————————————————————————————————————————————————————————————————</w:t>
      </w:r>
    </w:p>
    <w:p>
      <w:pPr>
        <w:spacing w:before="160" w:after="40" w:line="240" w:lineRule="auto"/>
      </w:pPr>
      <w:r>
        <w:rPr>
          <w:b/>
        </w:rPr>
        <w:t xml:space="preserve">[391] </w:t>
      </w:r>
      <w:hyperlink r:id="rId986">
        <w:r>
          <w:rPr>
            <w:color w:val="1155CC"/>
            <w:u w:val="single"/>
          </w:rPr>
          <w:t>超越广义相对论的黑洞合并：自力方法</w:t>
        </w:r>
      </w:hyperlink>
    </w:p>
    <w:p>
      <w:pPr>
        <w:spacing w:before="0" w:after="80"/>
      </w:pPr>
      <w:r>
        <w:rPr>
          <w:i/>
          <w:sz w:val="20"/>
        </w:rPr>
        <w:t>EN: Black Hole Mergers Beyond General Relativity: A Self-Force Approach</w:t>
      </w:r>
    </w:p>
    <w:p>
      <w:pPr>
        <w:spacing w:before="0" w:after="120"/>
      </w:pPr>
      <w:r>
        <w:rPr>
          <w:b/>
        </w:rPr>
        <w:t xml:space="preserve">Source: </w:t>
      </w:r>
      <w:r>
        <w:t>Recent Articles in Phys. Rev. Lett.</w:t>
      </w:r>
      <w:r>
        <w:t xml:space="preserve">    </w:t>
      </w:r>
      <w:r>
        <w:rPr>
          <w:b/>
        </w:rPr>
        <w:t xml:space="preserve">Pub date: </w:t>
      </w:r>
      <w:r>
        <w:t>2026-06-24 10:00:00+00:00</w:t>
      </w:r>
      <w:r>
        <w:t xml:space="preserve">    </w:t>
      </w:r>
      <w:r>
        <w:rPr>
          <w:b/>
        </w:rPr>
        <w:t xml:space="preserve">DOI: </w:t>
      </w:r>
      <w:hyperlink r:id="rId987">
        <w:r>
          <w:rPr>
            <w:color w:val="1155CC"/>
            <w:u w:val="single"/>
          </w:rPr>
          <w:t>10.1103/7zjr-l5p8</w:t>
        </w:r>
      </w:hyperlink>
    </w:p>
    <w:p>
      <w:pPr>
        <w:spacing w:before="0" w:after="120"/>
      </w:pPr>
      <w:r>
        <w:rPr>
          <w:b/>
        </w:rPr>
        <w:t xml:space="preserve">Notes: </w:t>
      </w:r>
      <w:r>
        <w:t>abstract_source=rss_description</w:t>
      </w:r>
    </w:p>
    <w:p>
      <w:pPr>
        <w:spacing w:before="0" w:after="80" w:lineRule="auto" w:line="276"/>
      </w:pPr>
      <w:r>
        <w:rPr>
          <w:b/>
        </w:rPr>
        <w:t xml:space="preserve">摘要（ZH）: </w:t>
      </w:r>
      <w:r>
        <w:t>作者：Ayush Roy、Lorenzo Küchler、Adam Pound 和 Rodrigo Panosso Macedo 自力形式主义内的模块化框架适用于一大类有效引力场论，以便通过二元黑洞合并进行广义相对论测试，这对于利用即将推出的天基引力波探测器（例如 LISA）进行广义相对论测试至关重要。莱特牧师。 136, 251404] 2026 年 6 月 24 日星期三发布</w:t>
      </w:r>
    </w:p>
    <w:p>
      <w:pPr>
        <w:spacing w:before="0" w:after="200" w:lineRule="auto" w:line="276"/>
      </w:pPr>
      <w:r>
        <w:rPr>
          <w:b/>
        </w:rPr>
        <w:t xml:space="preserve">Abstract (EN): </w:t>
      </w:r>
      <w:r>
        <w:t>Author(s): Ayush Roy, Lorenzo Küchler, Adam Pound, and Rodrigo Panosso MacedoA modular framework within the self-force formalism that applies to a large class of effective field theories of gravity in order to perform tests of general relativity with binary black hole mergers is critical for tests of general relativity that make use of the upcoming space-based gravitational wave detectors such as LISA.[Phys. Rev. Lett. 136, 251404] Published Wed Jun 24, 2026</w:t>
      </w:r>
    </w:p>
    <w:p>
      <w:pPr>
        <w:spacing w:before="120" w:after="120"/>
      </w:pPr>
      <w:r>
        <w:rPr>
          <w:sz w:val="18"/>
        </w:rPr>
        <w:t>——————————————————————————————————————————————————————————————————————</w:t>
      </w:r>
    </w:p>
    <w:p>
      <w:pPr>
        <w:spacing w:before="160" w:after="40" w:line="240" w:lineRule="auto"/>
      </w:pPr>
      <w:r>
        <w:rPr>
          <w:b/>
        </w:rPr>
        <w:t xml:space="preserve">[392] </w:t>
      </w:r>
      <w:hyperlink r:id="rId988">
        <w:r>
          <w:rPr>
            <w:color w:val="1155CC"/>
            <w:u w:val="single"/>
          </w:rPr>
          <w:t>通过还原光聚合的顺序和溶剂选择性溶胀调节交联共聚物的机械性能</w:t>
        </w:r>
      </w:hyperlink>
    </w:p>
    <w:p>
      <w:pPr>
        <w:spacing w:before="0" w:after="80"/>
      </w:pPr>
      <w:r>
        <w:rPr>
          <w:i/>
          <w:sz w:val="20"/>
        </w:rPr>
        <w:t>EN: Tuning the Mechanical Properties of Crosslinked Copolymers via Sequence and Solvent‐Selective Swelling for Vat Photopolymerization</w:t>
      </w:r>
    </w:p>
    <w:p>
      <w:pPr>
        <w:spacing w:before="0" w:after="120"/>
      </w:pPr>
      <w:r>
        <w:rPr>
          <w:b/>
        </w:rPr>
        <w:t xml:space="preserve">Source: </w:t>
      </w:r>
      <w:r>
        <w:t>Wiley: Angewandte Chemie International Edition: Table of Contents</w:t>
      </w:r>
      <w:r>
        <w:t xml:space="preserve">    </w:t>
      </w:r>
      <w:r>
        <w:rPr>
          <w:b/>
        </w:rPr>
        <w:t xml:space="preserve">Pub date: </w:t>
      </w:r>
      <w:r>
        <w:t>2026-06-24 13:01:14+00:00</w:t>
      </w:r>
      <w:r>
        <w:t xml:space="preserve">    </w:t>
      </w:r>
      <w:r>
        <w:rPr>
          <w:b/>
        </w:rPr>
        <w:t xml:space="preserve">DOI: </w:t>
      </w:r>
      <w:hyperlink r:id="rId989">
        <w:r>
          <w:rPr>
            <w:color w:val="1155CC"/>
            <w:u w:val="single"/>
          </w:rPr>
          <w:t>10.1002/anie.8144140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嵌段共聚物（BCP）通过微相分离形态实现机械可编程网络结构，从而为还原光聚合提供了独特的优势，微相分离形态可以在固化过程中被动力学捕获，从而产生均质树脂无法达到的性能。然而，重复单元序列和溶剂环境各自的作用，以及它们在指导网络形成和机械性能方面的相互作用，仍不清楚。在这里，我们合成了一系列CO</w:t>
      </w:r>
      <w:r>
        <w:rPr>
          <w:vertAlign w:val="subscript"/>
        </w:rPr>
        <w:t>2</w:t>
      </w:r>
      <w:r>
        <w:t>基聚碳酸酯共聚物，包含可交联玻璃状聚（乙烯基环己烯碳酸酯）（PVCHC，A 嵌段）和不可交联软质聚（碳酸亚丙酯）（PPC，B 嵌段）。聚合物序列系统地变化（ABA、BAB 和统计），溶剂选择控制嵌段选择性膨胀，通过网络形成过程中可光交联乙烯基的可及性和局部环境的变化来共同控制凝胶行为、微相形态和机械响应，如光流变学和小角 X 射线散射所揭示的那样。通过调整聚合物序列和固化溶剂，我们将名义上相同的配方从脆性材料转变为高延展性材料，实现了三个数量级的韧性范围（0.003 至 9.1 MJ m）</w:t>
      </w:r>
      <w:r>
        <w:t xml:space="preserve"> </w:t>
      </w:r>
      <w:r>
        <w:t>−3</w:t>
      </w:r>
      <w:r>
        <w:t xml:space="preserve"> </w:t>
      </w:r>
      <w:r>
        <w:t>）。这些结果建立了清晰的结构-加工-性能关系，并将聚合物序列和选择性溶剂化确定为机器人编程的强大策略</w:t>
      </w:r>
    </w:p>
    <w:p>
      <w:pPr>
        <w:spacing w:before="0" w:after="200" w:lineRule="auto" w:line="276"/>
      </w:pPr>
      <w:r>
        <w:rPr>
          <w:b/>
        </w:rPr>
        <w:t xml:space="preserve">Abstract (EN): </w:t>
      </w:r>
      <w:r>
        <w:t>Block copolymers (BCPs) offer distinct advantages for vat photopolymerization by enabling mechanically programmable network structures through microphase‐separated morphologies that can be kinetically trapped during curing, yielding properties unattainable in homogeneous resins. However, the respective roles of repeat‐unit sequence and solvent environment, together with their interplay in directing network formation and mechanical performance, remain unclear. Here, we synthesize a series of CO</w:t>
      </w:r>
      <w:r>
        <w:rPr>
          <w:vertAlign w:val="subscript"/>
        </w:rPr>
        <w:t>2</w:t>
      </w:r>
      <w:r>
        <w:t>‐based polycarbonate copolymers comprising a crosslinkable glassy poly(vinyl cyclohexene carbonate) (PVCHC, A block) and a non‐crosslinkable soft poly(propylene carbonate) (PPC, B block). The polymer sequence is systematically varied (ABA, BAB, and statistical), and solvent choice controls block‐selective swelling to jointly control gelation behavior, microphase morphology, and mechanical response through changes in the accessibility and local environment of photocrosslinkable vinyl groups during network formation, as revealed by photorheology and small angle x‐ray scattering. By tuning polymer sequence and curing solvent, we transform nominally identical formulations from brittle to highly ductile materials, achieving a three‐orders‐of‐magnitude range in toughness (0.003 to 9.1 MJ m</w:t>
      </w:r>
      <w:r>
        <w:t xml:space="preserve"> </w:t>
      </w:r>
      <w:r>
        <w:t>−3</w:t>
      </w:r>
      <w:r>
        <w:t xml:space="preserve"> </w:t>
      </w:r>
      <w:r>
        <w:t>). These results establish clear structure–processing–property relationships and identify polymer sequence and selective solvation as powerful strategies for programming both printability and performance of block copolymer resins for additive manufacturing.</w:t>
      </w:r>
    </w:p>
    <w:p>
      <w:pPr>
        <w:spacing w:before="120" w:after="120"/>
      </w:pPr>
      <w:r>
        <w:rPr>
          <w:sz w:val="18"/>
        </w:rPr>
        <w:t>——————————————————————————————————————————————————————————————————————</w:t>
      </w:r>
    </w:p>
    <w:p>
      <w:pPr>
        <w:spacing w:before="160" w:after="40" w:line="240" w:lineRule="auto"/>
      </w:pPr>
      <w:r>
        <w:rPr>
          <w:b/>
        </w:rPr>
        <w:t xml:space="preserve">[393] </w:t>
      </w:r>
      <w:hyperlink r:id="rId990">
        <w:r>
          <w:rPr>
            <w:color w:val="1155CC"/>
            <w:u w:val="single"/>
          </w:rPr>
          <w:t>动力学控制下电化学触发的超分子聚合</w:t>
        </w:r>
      </w:hyperlink>
    </w:p>
    <w:p>
      <w:pPr>
        <w:spacing w:before="0" w:after="80"/>
      </w:pPr>
      <w:r>
        <w:rPr>
          <w:i/>
          <w:sz w:val="20"/>
        </w:rPr>
        <w:t>EN: Electrochemically Triggered Supramolecular Polymerization Under Kinetic Control</w:t>
      </w:r>
    </w:p>
    <w:p>
      <w:pPr>
        <w:spacing w:before="0" w:after="120"/>
      </w:pPr>
      <w:r>
        <w:rPr>
          <w:b/>
        </w:rPr>
        <w:t xml:space="preserve">Source: </w:t>
      </w:r>
      <w:r>
        <w:t>Wiley: Angewandte Chemie International Edition: Table of Contents</w:t>
      </w:r>
      <w:r>
        <w:t xml:space="preserve">    </w:t>
      </w:r>
      <w:r>
        <w:rPr>
          <w:b/>
        </w:rPr>
        <w:t xml:space="preserve">Pub date: </w:t>
      </w:r>
      <w:r>
        <w:t>2026-06-24 13:06:03+00:00</w:t>
      </w:r>
      <w:r>
        <w:t xml:space="preserve">    </w:t>
      </w:r>
      <w:r>
        <w:rPr>
          <w:b/>
        </w:rPr>
        <w:t xml:space="preserve">DOI: </w:t>
      </w:r>
      <w:hyperlink r:id="rId991">
        <w:r>
          <w:rPr>
            <w:color w:val="1155CC"/>
            <w:u w:val="single"/>
          </w:rPr>
          <w:t>10.1002/anie.8733637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精度的刺激响应超分子聚合对于开发具有可编程动力学和功能的自适应材料至关重要。在这里，我们提出了一种氧化还原响应策略，该策略结合了化学氧化还原反应和电化学势来指导苝二酰亚胺-组氨酸的自组装（</w:t>
      </w:r>
      <w:r>
        <w:t xml:space="preserve"> </w:t>
      </w:r>
      <w:r>
        <w:t>PDI</w:t>
      </w:r>
      <w:r>
        <w:t xml:space="preserve"> </w:t>
      </w:r>
      <w:r>
        <w:t>–</w:t>
      </w:r>
      <w:r>
        <w:t xml:space="preserve"> </w:t>
      </w:r>
      <w:r>
        <w:t>他的</w:t>
      </w:r>
      <w:r>
        <w:t xml:space="preserve"> </w:t>
      </w:r>
      <w:r>
        <w:t>）。使用连二亚硫酸钠 (SDT) 的化学氧化还原过程可快速将动力学捕获的二聚体聚集体 (Agg-I) 转化为</w:t>
      </w:r>
      <w:r>
        <w:t xml:space="preserve"> </w:t>
      </w:r>
      <w:r>
        <w:t>PDI</w:t>
      </w:r>
      <w:r>
        <w:t xml:space="preserve"> </w:t>
      </w:r>
      <w:r>
        <w:t>–</w:t>
      </w:r>
      <w:r>
        <w:t xml:space="preserve"> </w:t>
      </w:r>
      <w:r>
        <w:t>他的</w:t>
      </w:r>
      <w:r>
        <w:t xml:space="preserve"> </w:t>
      </w:r>
      <w:r>
        <w:t>通过分子内氢键稳定成热力学有利的螺旋纳米纤维（Agg-II），从而能够制备长度可调的种子。电化学势的应用还诱导 Agg-I 重组为 Agg-II，伴随着形态演化，并通过增强的 π-π 堆积提高电导率。重要的是，氧化还原循环驱动的超分子重组不仅可以通过电化学刺激在电极表面上实现，还可以通过使用化学和电化学动力学途径产生的种子进行种子活性超分子聚合来实现，从而产生具有可预测长度的纳米纤维。这种化学和电化学氧化还原相结合的方法为控制超分子聚合途径提供了一个适应性强的平台，推进了电子、传感等领域应用的刺激响应材料的设计。</w:t>
      </w:r>
    </w:p>
    <w:p>
      <w:pPr>
        <w:spacing w:before="0" w:after="200" w:lineRule="auto" w:line="276"/>
      </w:pPr>
      <w:r>
        <w:rPr>
          <w:b/>
        </w:rPr>
        <w:t xml:space="preserve">Abstract (EN): </w:t>
      </w:r>
      <w:r>
        <w:t>Stimuli‐responsive supramolecular polymerization with high precision is essential for developing adaptive materials with programmable kinetics and functions. Here, we present a redox‐responsive strategy that integrates chemical redox reactions and electrochemical potential to direct the self‐assembly of a perylene diimide–histidine (</w:t>
      </w:r>
      <w:r>
        <w:t xml:space="preserve"> </w:t>
      </w:r>
      <w:r>
        <w:t>PDI</w:t>
      </w:r>
      <w:r>
        <w:t xml:space="preserve"> </w:t>
      </w:r>
      <w:r>
        <w:t>–</w:t>
      </w:r>
      <w:r>
        <w:t xml:space="preserve"> </w:t>
      </w:r>
      <w:r>
        <w:t>His</w:t>
      </w:r>
      <w:r>
        <w:t xml:space="preserve"> </w:t>
      </w:r>
      <w:r>
        <w:t>). A chemical redox process with sodium dithionite (SDT) rapidly converts kinetically trapped dimeric aggregates (Agg‐I) of</w:t>
      </w:r>
      <w:r>
        <w:t xml:space="preserve"> </w:t>
      </w:r>
      <w:r>
        <w:t>PDI</w:t>
      </w:r>
      <w:r>
        <w:t xml:space="preserve"> </w:t>
      </w:r>
      <w:r>
        <w:t>–</w:t>
      </w:r>
      <w:r>
        <w:t xml:space="preserve"> </w:t>
      </w:r>
      <w:r>
        <w:t>His</w:t>
      </w:r>
      <w:r>
        <w:t xml:space="preserve"> </w:t>
      </w:r>
      <w:r>
        <w:t>stabilized by intramolecular hydrogen bonding into thermodynamically favored helical nanofibers (Agg‐II), enabling the preparation of seeds with tunable lengths. Electrochemical potential application also induces reorganization of Agg‐I into Agg‐II, accompanied by morphological evolution, and improved conductivity via enhanced π–π stacking. Importantly, the redox‐cycle‐driven supramolecular reorganization was achieved not only on electrode surfaces through electrochemical stimuli but also through seeded‐living supramolecular polymerization using seeds generated via both chemical and electrochemical kinetic pathways, yielding nanofibers with predictable lengths. This combined chemical‐ and electrochemical‐redox approach provides an adaptable platform for controlling pathways in supramolecular polymerization, advancing the design of stimuli‐responsive materials for applications in electronics, sensing, catalysis, and bioinspired systems.</w:t>
      </w:r>
    </w:p>
    <w:p>
      <w:pPr>
        <w:spacing w:before="120" w:after="120"/>
      </w:pPr>
      <w:r>
        <w:rPr>
          <w:sz w:val="18"/>
        </w:rPr>
        <w:t>——————————————————————————————————————————————————————————————————————</w:t>
      </w:r>
    </w:p>
    <w:p>
      <w:pPr>
        <w:spacing w:before="160" w:after="40" w:line="240" w:lineRule="auto"/>
      </w:pPr>
      <w:r>
        <w:rPr>
          <w:b/>
        </w:rPr>
        <w:t xml:space="preserve">[394] </w:t>
      </w:r>
      <w:hyperlink r:id="rId992">
        <w:r>
          <w:rPr>
            <w:color w:val="1155CC"/>
            <w:u w:val="single"/>
          </w:rPr>
          <w:t>线性聚亚胺交联成缩醛胺连接的多孔有机聚合物用于 C2 烃/甲烷分离</w:t>
        </w:r>
      </w:hyperlink>
    </w:p>
    <w:p>
      <w:pPr>
        <w:spacing w:before="0" w:after="80"/>
      </w:pPr>
      <w:r>
        <w:rPr>
          <w:i/>
          <w:sz w:val="20"/>
        </w:rPr>
        <w:t>EN: Crosslinking of Linear Polyimines Into Aminal‐Linked Porous Organic Polymers for C2 Hydrocarbon/Methane Separation</w:t>
      </w:r>
    </w:p>
    <w:p>
      <w:pPr>
        <w:spacing w:before="0" w:after="120"/>
      </w:pPr>
      <w:r>
        <w:rPr>
          <w:b/>
        </w:rPr>
        <w:t xml:space="preserve">Source: </w:t>
      </w:r>
      <w:r>
        <w:t>Wiley: Angewandte Chemie International Edition: Table of Contents</w:t>
      </w:r>
      <w:r>
        <w:t xml:space="preserve">    </w:t>
      </w:r>
      <w:r>
        <w:rPr>
          <w:b/>
        </w:rPr>
        <w:t xml:space="preserve">Pub date: </w:t>
      </w:r>
      <w:r>
        <w:t>2026-06-24 13:13:09+00:00</w:t>
      </w:r>
      <w:r>
        <w:t xml:space="preserve">    </w:t>
      </w:r>
      <w:r>
        <w:rPr>
          <w:b/>
        </w:rPr>
        <w:t xml:space="preserve">DOI: </w:t>
      </w:r>
      <w:hyperlink r:id="rId993">
        <w:r>
          <w:rPr>
            <w:color w:val="1155CC"/>
            <w:u w:val="single"/>
          </w:rPr>
          <w:t>10.1002/anie.5692086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超交联聚合物是一类多孔有机聚合物 (POP)，是通过交联线性聚合物或用分子交联剂编织小芳香族分子（通常通过 Friedel-Crafts 烷基化）构建的。在这项研究中，我们报告了一种通过线性聚亚胺与</w:t>
      </w:r>
      <w:r>
        <w:t xml:space="preserve"> </w:t>
      </w:r>
      <w:r>
        <w:t>米</w:t>
      </w:r>
      <w:r>
        <w:t xml:space="preserve"> </w:t>
      </w:r>
      <w:r>
        <w:t>-苯二胺通过胺与亚胺的亲核加成形成胺键。由此产生的缩醛胺连接 POP 的成本估计为 16 美元/千克，表面积高达 650 m</w:t>
      </w:r>
      <w:r>
        <w:rPr>
          <w:vertAlign w:val="subscript"/>
        </w:rPr>
        <w:t>2</w:t>
      </w:r>
      <w:r>
        <w:t>/g 和丰富的微孔，与 ∼100 m 相比</w:t>
      </w:r>
      <w:r>
        <w:rPr>
          <w:vertAlign w:val="subscript"/>
        </w:rPr>
        <w:t>2</w:t>
      </w:r>
      <w:r>
        <w:t>/g 对于线性聚亚胺观察到。该方法具有良好的通用性：四种不同结构的线性聚亚胺成功交联成高孔隙率的POPs。实验结果和理论计算都表明，在间位使用二胺对于有效交联至关重要，而对二胺不会引发交联。凭借其高表面积和丰富的微孔性，这些 POP 对 C 表现出高吸附能力</w:t>
      </w:r>
      <w:r>
        <w:rPr>
          <w:vertAlign w:val="subscript"/>
        </w:rPr>
        <w:t>2</w:t>
      </w:r>
      <w:r>
        <w:t>碳氢化合物和一氧化碳</w:t>
      </w:r>
      <w:r>
        <w:rPr>
          <w:vertAlign w:val="subscript"/>
        </w:rPr>
        <w:t>2</w:t>
      </w:r>
      <w:r>
        <w:t>，但 CH 容量显着降低</w:t>
      </w:r>
      <w:r>
        <w:rPr>
          <w:vertAlign w:val="subscript"/>
        </w:rPr>
        <w:t>4</w:t>
      </w:r>
      <w:r>
        <w:t>。动态突破实验证实了 C 的优异分离性能</w:t>
      </w:r>
      <w:r>
        <w:rPr>
          <w:vertAlign w:val="subscript"/>
        </w:rPr>
        <w:t>2</w:t>
      </w:r>
      <w:r>
        <w:t>水电</w:t>
      </w:r>
    </w:p>
    <w:p>
      <w:pPr>
        <w:spacing w:before="0" w:after="200" w:lineRule="auto" w:line="276"/>
      </w:pPr>
      <w:r>
        <w:rPr>
          <w:b/>
        </w:rPr>
        <w:t xml:space="preserve">Abstract (EN): </w:t>
      </w:r>
      <w:r>
        <w:t>Hypercrosslinked polymers, a class of porous organic polymers (POPs), are constructed by crosslinking linear polymers or knitting small aromatic molecules with a molecular crosslinker, typically via Friedel–Crafts alkylation. In this study, we report a new approach for the synthesis of POPs via the crosslinking of linear polyimines with</w:t>
      </w:r>
      <w:r>
        <w:t xml:space="preserve"> </w:t>
      </w:r>
      <w:r>
        <w:t>m</w:t>
      </w:r>
      <w:r>
        <w:t xml:space="preserve"> </w:t>
      </w:r>
      <w:r>
        <w:t>‑phenylenediamine through nucleophilic addition of amines to imines, forming aminal linkages. The resulting aminal‐linked POPs, with an estimated low cost of 16 USD/kg, exhibited high surface areas up to 650 m</w:t>
      </w:r>
      <w:r>
        <w:rPr>
          <w:vertAlign w:val="subscript"/>
        </w:rPr>
        <w:t>2</w:t>
      </w:r>
      <w:r>
        <w:t>/g and abundant microporosity, in contrast to the ∼100 m</w:t>
      </w:r>
      <w:r>
        <w:rPr>
          <w:vertAlign w:val="subscript"/>
        </w:rPr>
        <w:t>2</w:t>
      </w:r>
      <w:r>
        <w:t>/g observed for the linear polyimine. This method demonstrated good generality: four linear polyimines with different structures were successfully crosslinked into POPs with high porosity. Both experimental results and theoretical calculations indicate that the use of diamines at the meta‐position is critical for efficient crosslinking, whereas para‐diamines did not initiate crosslinking. With their high surface area and rich microporosity, these POPs displayed high adsorption capacities for C</w:t>
      </w:r>
      <w:r>
        <w:rPr>
          <w:vertAlign w:val="subscript"/>
        </w:rPr>
        <w:t>2</w:t>
      </w:r>
      <w:r>
        <w:t>hydrocarbons and CO</w:t>
      </w:r>
      <w:r>
        <w:rPr>
          <w:vertAlign w:val="subscript"/>
        </w:rPr>
        <w:t>2</w:t>
      </w:r>
      <w:r>
        <w:t>, but significantly lower capacity for CH</w:t>
      </w:r>
      <w:r>
        <w:rPr>
          <w:vertAlign w:val="subscript"/>
        </w:rPr>
        <w:t>4</w:t>
      </w:r>
      <w:r>
        <w:t>. Dynamic breakthrough experiments confirmed excellent separation performance for C</w:t>
      </w:r>
      <w:r>
        <w:rPr>
          <w:vertAlign w:val="subscript"/>
        </w:rPr>
        <w:t>2</w:t>
      </w:r>
      <w:r>
        <w:t>hydrocarbons/CH</w:t>
      </w:r>
      <w:r>
        <w:rPr>
          <w:vertAlign w:val="subscript"/>
        </w:rPr>
        <w:t>4</w:t>
      </w:r>
      <w:r>
        <w:t>mixtures, highlighting their potential for hydrocarbon separation. This study provides a new strategy for the synthesis of cost‐effective POPs and demonstrates their promising applications in gas separation.</w:t>
      </w:r>
    </w:p>
    <w:p>
      <w:pPr>
        <w:spacing w:before="120" w:after="120"/>
      </w:pPr>
      <w:r>
        <w:rPr>
          <w:sz w:val="18"/>
        </w:rPr>
        <w:t>——————————————————————————————————————————————————————————————————————</w:t>
      </w:r>
    </w:p>
    <w:p>
      <w:pPr>
        <w:spacing w:before="160" w:after="40" w:line="240" w:lineRule="auto"/>
      </w:pPr>
      <w:r>
        <w:rPr>
          <w:b/>
        </w:rPr>
        <w:t xml:space="preserve">[395] </w:t>
      </w:r>
      <w:hyperlink r:id="rId994">
        <w:r>
          <w:rPr>
            <w:color w:val="1155CC"/>
            <w:u w:val="single"/>
          </w:rPr>
          <w:t>空白页</w:t>
        </w:r>
      </w:hyperlink>
    </w:p>
    <w:p>
      <w:pPr>
        <w:spacing w:before="0" w:after="80"/>
      </w:pPr>
      <w:r>
        <w:rPr>
          <w:i/>
          <w:sz w:val="20"/>
        </w:rPr>
        <w:t>EN: Blank Page</w:t>
      </w:r>
    </w:p>
    <w:p>
      <w:pPr>
        <w:spacing w:before="0" w:after="120"/>
      </w:pPr>
      <w:r>
        <w:rPr>
          <w:b/>
        </w:rPr>
        <w:t xml:space="preserve">Source: </w:t>
      </w:r>
      <w:r>
        <w:t>IEEE Transactions on Power Systems - new TOC</w:t>
      </w:r>
      <w:r>
        <w:t xml:space="preserve">    </w:t>
      </w:r>
      <w:r>
        <w:rPr>
          <w:b/>
        </w:rPr>
        <w:t xml:space="preserve">Pub date: </w:t>
      </w:r>
      <w:r>
        <w:t>2026-06-24 13:17:22+00:00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[396] </w:t>
      </w:r>
      <w:hyperlink r:id="rId995">
        <w:r>
          <w:rPr>
            <w:color w:val="1155CC"/>
            <w:u w:val="single"/>
          </w:rPr>
          <w:t>用于细胞间分子张力高通量和累积检测的力锁定 DNA 发夹探针</w:t>
        </w:r>
      </w:hyperlink>
    </w:p>
    <w:p>
      <w:pPr>
        <w:spacing w:before="0" w:after="80"/>
      </w:pPr>
      <w:r>
        <w:rPr>
          <w:i/>
          <w:sz w:val="20"/>
        </w:rPr>
        <w:t>EN: Force‐Locking DNA Hairpin Probes for High‐Throughput and Cumulative Detection of Intercellular Molecular Tensions</w:t>
      </w:r>
    </w:p>
    <w:p>
      <w:pPr>
        <w:spacing w:before="0" w:after="120"/>
      </w:pPr>
      <w:r>
        <w:rPr>
          <w:b/>
        </w:rPr>
        <w:t xml:space="preserve">Source: </w:t>
      </w:r>
      <w:r>
        <w:t>Wiley: Angewandte Chemie International Edition: Table of Contents</w:t>
      </w:r>
      <w:r>
        <w:t xml:space="preserve">    </w:t>
      </w:r>
      <w:r>
        <w:rPr>
          <w:b/>
        </w:rPr>
        <w:t xml:space="preserve">Pub date: </w:t>
      </w:r>
      <w:r>
        <w:t>2026-06-24 13:32:27+00:00</w:t>
      </w:r>
      <w:r>
        <w:t xml:space="preserve">    </w:t>
      </w:r>
      <w:r>
        <w:rPr>
          <w:b/>
        </w:rPr>
        <w:t xml:space="preserve">DOI: </w:t>
      </w:r>
      <w:hyperlink r:id="rId996">
        <w:r>
          <w:rPr>
            <w:color w:val="1155CC"/>
            <w:u w:val="single"/>
          </w:rPr>
          <w:t>10.1002/anie.6632525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细胞与细胞连接处的机械力在组织组织、形态发生和疾病进展中发挥着重要作用，但其短暂和低强度的性质使得检测具有挑战性。在这里，我们介绍了力锁定积分探针 (FLIP)——一种基于 DNA 的系统，可记录随时间推移累积的分子张力事件。 FLIP 采用膜锚定 DNA 发夹作为力传感器和荧光团标记的锁定链，在发夹展开时选择性杂交，形成稳定的双链体，在单细胞水平上保留力历史。通过利用内吞作用驱动的摄取，FLIP 将膜张力信号转换为全细胞荧光，从而将检测范围扩展到脂质 DNA 探针的短表面寿命之外。我们展示了使用荧光显微镜和流式细胞术对数千个细胞进行整合素和 E-钙粘蛋白介导的细胞间力的长期和高通量测量。 FLIP 揭示了细胞骨架扰动下力依赖性变化，并支持比率成像以进行精确分析。该平台能够对累积的细胞间力进行可靠的绘制，为研究集体细胞行为中的机械转导和加速机械活性疗法的发展提供了新的机会。</w:t>
      </w:r>
    </w:p>
    <w:p>
      <w:pPr>
        <w:spacing w:before="0" w:after="200" w:lineRule="auto" w:line="276"/>
      </w:pPr>
      <w:r>
        <w:rPr>
          <w:b/>
        </w:rPr>
        <w:t xml:space="preserve">Abstract (EN): </w:t>
      </w:r>
      <w:r>
        <w:t>Mechanical forces at cell‐cell junctions play essential roles in tissue organization, morphogenesis, and disease progression, yet their transient and low‐intensity nature makes detection challenging. Here, we introduce force‐locking integrator probe (FLIP)—a DNA‐based system that records cumulative molecular tension events over time. FLIP employs membrane‐anchored DNA hairpins as force sensors and fluorophore‐labeled locking strands that selectively hybridize upon hairpin unfolding, forming stable duplexes that preserve force history at the single‐cell level. By leveraging endocytosis‐driven uptake, FLIP converts membrane tension signals into whole‐cell fluorescence, extending detection beyond the short surface lifetime of lipid‐DNA probes. We demonstrate long‐term and high‐throughput measurement of integrin‐ and E‐cadherin‐mediated intercellular forces using fluorescence microscopy and flow cytometry across thousands of cells. FLIP reveals force‐dependent changes under cytoskeletal perturbation and supports ratiometric imaging for precise analysis. This platform enables robust mapping of cumulative intercellular forces, offering new opportunities to study mechanotransduction in collective cell behaviors and to accelerate the development of mechano‐active therapeutics.</w:t>
      </w:r>
    </w:p>
    <w:p>
      <w:pPr>
        <w:spacing w:before="120" w:after="120"/>
      </w:pPr>
      <w:r>
        <w:rPr>
          <w:sz w:val="18"/>
        </w:rPr>
        <w:t>——————————————————————————————————————————————————————————————————————</w:t>
      </w:r>
    </w:p>
    <w:p>
      <w:pPr>
        <w:spacing w:before="160" w:after="40" w:line="240" w:lineRule="auto"/>
      </w:pPr>
      <w:r>
        <w:rPr>
          <w:b/>
        </w:rPr>
        <w:t xml:space="preserve">[397] </w:t>
      </w:r>
      <w:hyperlink r:id="rId997">
        <w:r>
          <w:rPr>
            <w:color w:val="1155CC"/>
            <w:u w:val="single"/>
          </w:rPr>
          <w:t>通过自由基重定位将酮转化为羰基</w:t>
        </w:r>
      </w:hyperlink>
    </w:p>
    <w:p>
      <w:pPr>
        <w:spacing w:before="0" w:after="80"/>
      </w:pPr>
      <w:r>
        <w:rPr>
          <w:i/>
          <w:sz w:val="20"/>
        </w:rPr>
        <w:t>EN: Ketones to ketyls by radical relocation</w:t>
      </w:r>
    </w:p>
    <w:p>
      <w:pPr>
        <w:spacing w:before="0" w:after="120"/>
      </w:pPr>
      <w:r>
        <w:rPr>
          <w:b/>
        </w:rPr>
        <w:t xml:space="preserve">Source: </w:t>
      </w:r>
      <w:r>
        <w:t>Nature Chemistry</w:t>
      </w:r>
      <w:r>
        <w:t xml:space="preserve">    </w:t>
      </w:r>
      <w:r>
        <w:rPr>
          <w:b/>
        </w:rPr>
        <w:t xml:space="preserve">Pub date: </w:t>
      </w:r>
      <w:r>
        <w:t>2026-06-25 00:00:00+00:00</w:t>
      </w:r>
      <w:r>
        <w:t xml:space="preserve">    </w:t>
      </w:r>
      <w:r>
        <w:rPr>
          <w:b/>
        </w:rPr>
        <w:t xml:space="preserve">DOI: </w:t>
      </w:r>
      <w:hyperlink r:id="rId998">
        <w:r>
          <w:rPr>
            <w:color w:val="1155CC"/>
            <w:u w:val="single"/>
          </w:rPr>
          <w:t>10.1038/s41557-026-02181-y</w:t>
        </w:r>
      </w:hyperlink>
    </w:p>
    <w:p>
      <w:pPr>
        <w:spacing w:before="0" w:after="120"/>
      </w:pPr>
      <w:r>
        <w:rPr>
          <w:b/>
        </w:rPr>
        <w:t xml:space="preserve">Notes: </w:t>
      </w:r>
      <w:r>
        <w:t>abstract_source=nature_html</w:t>
      </w:r>
    </w:p>
    <w:p>
      <w:pPr>
        <w:spacing w:before="0" w:after="80" w:lineRule="auto" w:line="276"/>
      </w:pPr>
      <w:r>
        <w:rPr>
          <w:b/>
        </w:rPr>
        <w:t xml:space="preserve">摘要（ZH）: </w:t>
      </w:r>
      <w:r>
        <w:t>将脂肪醛转化为酮基自由基常用于构建碳-碳键，但酮的相关反应尚未见报道。现在已经通过使用酮衍生的甲硅烷基氰醇的自由基易位策略实现了这一点。</w:t>
      </w:r>
    </w:p>
    <w:p>
      <w:pPr>
        <w:spacing w:before="0" w:after="200" w:lineRule="auto" w:line="276"/>
      </w:pPr>
      <w:r>
        <w:rPr>
          <w:b/>
        </w:rPr>
        <w:t xml:space="preserve">Abstract (EN): </w:t>
      </w:r>
      <w:r>
        <w:t>Transforming aliphatic aldehydes to ketyl-type radicals has frequently been used for the construction of carbon–carbon bonds, but related reactions of ketones have not yet been reported. This has now been achieved using a radical translocation strategy from ketone-derived silyl cyanohydrins.</w:t>
      </w:r>
    </w:p>
    <w:p>
      <w:pPr>
        <w:spacing w:before="120" w:after="120"/>
      </w:pPr>
      <w:r>
        <w:rPr>
          <w:sz w:val="18"/>
        </w:rPr>
        <w:t>——————————————————————————————————————————————————————————————————————</w:t>
      </w:r>
    </w:p>
    <w:p>
      <w:pPr>
        <w:spacing w:before="160" w:after="40" w:line="240" w:lineRule="auto"/>
      </w:pPr>
      <w:r>
        <w:rPr>
          <w:b/>
        </w:rPr>
        <w:t xml:space="preserve">[398] </w:t>
      </w:r>
      <w:hyperlink r:id="rId999">
        <w:r>
          <w:rPr>
            <w:color w:val="1155CC"/>
            <w:u w:val="single"/>
          </w:rPr>
          <w:t>连接纳米技术和机械生物学</w:t>
        </w:r>
      </w:hyperlink>
    </w:p>
    <w:p>
      <w:pPr>
        <w:spacing w:before="0" w:after="80"/>
      </w:pPr>
      <w:r>
        <w:rPr>
          <w:i/>
          <w:sz w:val="20"/>
        </w:rPr>
        <w:t>EN: Bridging nanotechnology and mechanobiology</w:t>
      </w:r>
    </w:p>
    <w:p>
      <w:pPr>
        <w:spacing w:before="0" w:after="120"/>
      </w:pPr>
      <w:r>
        <w:rPr>
          <w:b/>
        </w:rPr>
        <w:t xml:space="preserve">Source: </w:t>
      </w:r>
      <w:r>
        <w:t>Nature Nanotechnology</w:t>
      </w:r>
      <w:r>
        <w:t xml:space="preserve">    </w:t>
      </w:r>
      <w:r>
        <w:rPr>
          <w:b/>
        </w:rPr>
        <w:t xml:space="preserve">Pub date: </w:t>
      </w:r>
      <w:r>
        <w:t>2026-06-25 00:00:00+00:00</w:t>
      </w:r>
      <w:r>
        <w:t xml:space="preserve">    </w:t>
      </w:r>
      <w:r>
        <w:rPr>
          <w:b/>
        </w:rPr>
        <w:t xml:space="preserve">DOI: </w:t>
      </w:r>
      <w:hyperlink r:id="rId1000">
        <w:r>
          <w:rPr>
            <w:color w:val="1155CC"/>
            <w:u w:val="single"/>
          </w:rPr>
          <w:t>10.1038/s41565-026-02215-z</w:t>
        </w:r>
      </w:hyperlink>
    </w:p>
    <w:p>
      <w:pPr>
        <w:spacing w:before="0" w:after="120"/>
      </w:pPr>
      <w:r>
        <w:rPr>
          <w:b/>
        </w:rPr>
        <w:t xml:space="preserve">Notes: </w:t>
      </w:r>
      <w:r>
        <w:t>abstract_source=nature_html</w:t>
      </w:r>
    </w:p>
    <w:p>
      <w:pPr>
        <w:spacing w:before="0" w:after="80" w:lineRule="auto" w:line="276"/>
      </w:pPr>
      <w:r>
        <w:rPr>
          <w:b/>
        </w:rPr>
        <w:t xml:space="preserve">摘要（ZH）: </w:t>
      </w:r>
      <w:r>
        <w:t>纳米科学为统一机械生物学中的物理和生物学观点提供了必要的概念和技术桥梁。</w:t>
      </w:r>
    </w:p>
    <w:p>
      <w:pPr>
        <w:spacing w:before="0" w:after="200" w:lineRule="auto" w:line="276"/>
      </w:pPr>
      <w:r>
        <w:rPr>
          <w:b/>
        </w:rPr>
        <w:t xml:space="preserve">Abstract (EN): </w:t>
      </w:r>
      <w:r>
        <w:t>Nanoscience provides the conceptual and technological bridge necessary to unify physical and biological perspectives in mechanobiology.</w:t>
      </w:r>
    </w:p>
    <w:p>
      <w:pPr>
        <w:spacing w:before="120" w:after="120"/>
      </w:pPr>
      <w:r>
        <w:rPr>
          <w:sz w:val="18"/>
        </w:rPr>
        <w:t>——————————————————————————————————————————————————————————————————————</w:t>
      </w:r>
    </w:p>
    <w:p>
      <w:pPr>
        <w:spacing w:before="160" w:after="40" w:line="240" w:lineRule="auto"/>
      </w:pPr>
      <w:r>
        <w:rPr>
          <w:b/>
        </w:rPr>
        <w:t xml:space="preserve">[399] </w:t>
      </w:r>
      <w:hyperlink r:id="rId1001">
        <w:r>
          <w:rPr>
            <w:color w:val="1155CC"/>
            <w:u w:val="single"/>
          </w:rPr>
          <w:t>H5流感病毒感染后鸟类和哺乳动物的单细胞分辨率异质病毒宿主反应和病毒适应性突变图谱</w:t>
        </w:r>
      </w:hyperlink>
    </w:p>
    <w:p>
      <w:pPr>
        <w:spacing w:before="0" w:after="80"/>
      </w:pPr>
      <w:r>
        <w:rPr>
          <w:i/>
          <w:sz w:val="20"/>
        </w:rPr>
        <w:t>EN: Heterogeneous viral-host response at single-cell resolution and viral adaptive mutational atlas in birds and mammals upon H5 influenza virus infection</w:t>
      </w:r>
    </w:p>
    <w:p>
      <w:pPr>
        <w:spacing w:before="0" w:after="120"/>
      </w:pPr>
      <w:r>
        <w:rPr>
          <w:b/>
        </w:rPr>
        <w:t xml:space="preserve">Source: </w:t>
      </w:r>
      <w:r>
        <w:t>National Science Review Advance Access</w:t>
      </w:r>
      <w:r>
        <w:t xml:space="preserve">    </w:t>
      </w:r>
      <w:r>
        <w:rPr>
          <w:b/>
        </w:rPr>
        <w:t xml:space="preserve">Pub date: </w:t>
      </w:r>
      <w:r>
        <w:t>2026-06-25 00:00:00+00:00</w:t>
      </w:r>
      <w:r>
        <w:t xml:space="preserve">    </w:t>
      </w:r>
      <w:r>
        <w:rPr>
          <w:b/>
        </w:rPr>
        <w:t xml:space="preserve">DOI: </w:t>
      </w:r>
      <w:hyperlink r:id="rId1002">
        <w:r>
          <w:rPr>
            <w:color w:val="1155CC"/>
            <w:u w:val="single"/>
          </w:rPr>
          <w:t>10.1093/nsr/nwag380</w:t>
        </w:r>
      </w:hyperlink>
    </w:p>
    <w:p>
      <w:pPr>
        <w:spacing w:before="0" w:after="120"/>
      </w:pPr>
      <w:r>
        <w:rPr>
          <w:b/>
        </w:rPr>
        <w:t xml:space="preserve">Notes: </w:t>
      </w:r>
      <w:r>
        <w:t>abstract_source=rss_oup</w:t>
      </w:r>
    </w:p>
    <w:p>
      <w:pPr>
        <w:spacing w:before="0" w:after="80" w:lineRule="auto" w:line="276"/>
      </w:pPr>
      <w:r>
        <w:rPr>
          <w:b/>
        </w:rPr>
        <w:t xml:space="preserve">摘要（ZH）: </w:t>
      </w:r>
      <w:r>
        <w:t>H5 高致病性禽流感病毒 (HPAIV) 在鸟类中普遍存在，导致全球 60 多种哺乳动物感染。然而，人们对单细胞水平上的物种特异性病毒宿主反应和 H5-HPAIV 感染后的宿主内进化知之甚少。在这里，通过整合空间转录组学和单细胞基因组学技术，我们展示了鸟类（鸡、鸭和鸽子）和哺乳动物（小鼠和猪）感染 H5-HPAIV 后肺部 1499 669 个细胞的全面单细胞转录组图谱。 H5-HPAIV分别主要感染禽类内皮细胞和哺乳动物上皮细胞。在单细胞转录组肺景观中，H5-HPAIV感染引起鸡成纤维细胞显着炎症和感染后肺泡上皮细胞脱落，而感染鸭和鸽子的成纤维细胞和内皮细胞中细胞因子和炎症相关基因的表达水平分别略有下降。然而，小鼠仅在巨噬细胞和中性粒细胞中表现出显着的抗病毒反应，而猪的大多数亚型细胞在感染后抗病毒反应有所升高。值得注意的是，我们在受感染的鸟类和哺乳动物中鉴定出了 19 种病毒非同义宿主内单核苷酸变异 (iSNV)，并在体外评估了它们的分子特征。其中三种被鉴定可增加聚合酶活性和病毒原位复制，其中PB2-E627K突变在肺泡结构中富集，并伴有干扰素表达升高</w:t>
      </w:r>
    </w:p>
    <w:p>
      <w:pPr>
        <w:spacing w:before="0" w:after="200" w:lineRule="auto" w:line="276"/>
      </w:pPr>
      <w:r>
        <w:rPr>
          <w:b/>
        </w:rPr>
        <w:t xml:space="preserve">Abstract (EN): </w:t>
      </w:r>
      <w:r>
        <w:t>H5 highly pathogenic avian influenza viruses (HPAIVs) are prevalent in birds, causing infection in over 60 mammalian species worldwide. However, species-specific viral-host response at the single-cell level and within-host evolution upon H5-HPAIV infection are poorly understood. Here, by integrating spatial transcriptomics and single-cell genomics technologies, we present a comprehensive single-cell transcriptomic landscape of 1499 669 cells in the lungs from birds (chickens, ducks, and pigeons) and mammals (mice and pigs) upon H5-HPAIV infection. H5-HPAIV primarily infected avian endothelial cells and mammalian epithelial cells, respectively. Among the single-cell transcriptomic lung landscape, H5-HPAIV infection induced significant inflammation in fibroblasts and the shedding of alveolar epithelial cells of chickens upon infection, while the expression levels of cytokine- and inflammation-related genes slightly decreased in fibroblasts and endothelial cells of infected ducks and pigeons, respectively. However, mice only exhibited significantly antiviral response in macrophages and neutrophils, while antiviral response was elevated in most subtype cells of pigs upon infection. Notably, we identified 19 viral non-synonymous intrahost single nucleotide variants (iSNVs) in infected birds and mammals and assessed their molecular characterizations in vitro. Three of them were identified to increase polymerase activity and viral replication in situ, among which the PB2-E627K mutation was enriched in the alveolar structure of lungs, accompanied by elevated expression of interferon-stimulated genes. Collectively, we elucidated distinct viral replication, host response, and viral adaptation in the lungs across diverse birds and mammals upon H5-HPAIV infection.</w:t>
      </w:r>
    </w:p>
    <w:p>
      <w:pPr>
        <w:spacing w:before="120" w:after="120"/>
      </w:pPr>
      <w:r>
        <w:rPr>
          <w:sz w:val="18"/>
        </w:rPr>
        <w:t>——————————————————————————————————————————————————————————————————————</w:t>
      </w:r>
    </w:p>
    <w:p>
      <w:pPr>
        <w:spacing w:before="160" w:after="40" w:line="240" w:lineRule="auto"/>
      </w:pPr>
      <w:r>
        <w:rPr>
          <w:b/>
        </w:rPr>
        <w:t xml:space="preserve">[400] </w:t>
      </w:r>
      <w:hyperlink r:id="rId1003">
        <w:r>
          <w:rPr>
            <w:color w:val="1155CC"/>
            <w:u w:val="single"/>
          </w:rPr>
          <w:t>出版商更正：高效蓝色钙钛矿 LED 的原位纳米晶体限制</w:t>
        </w:r>
      </w:hyperlink>
    </w:p>
    <w:p>
      <w:pPr>
        <w:spacing w:before="0" w:after="80"/>
      </w:pPr>
      <w:r>
        <w:rPr>
          <w:i/>
          <w:sz w:val="20"/>
        </w:rPr>
        <w:t>EN: Publisher Correction: In situ nanocrystal confinement for efficient blue perovskite LEDs</w:t>
      </w:r>
    </w:p>
    <w:p>
      <w:pPr>
        <w:spacing w:before="0" w:after="120"/>
      </w:pPr>
      <w:r>
        <w:rPr>
          <w:b/>
        </w:rPr>
        <w:t xml:space="preserve">Source: </w:t>
      </w:r>
      <w:r>
        <w:t>Nature</w:t>
      </w:r>
      <w:r>
        <w:t xml:space="preserve">    </w:t>
      </w:r>
      <w:r>
        <w:rPr>
          <w:b/>
        </w:rPr>
        <w:t xml:space="preserve">Pub date: </w:t>
      </w:r>
      <w:r>
        <w:t>2026-06-25 00:00:00+00:00</w:t>
      </w:r>
      <w:r>
        <w:t xml:space="preserve">    </w:t>
      </w:r>
      <w:r>
        <w:rPr>
          <w:b/>
        </w:rPr>
        <w:t xml:space="preserve">DOI: </w:t>
      </w:r>
      <w:hyperlink r:id="rId1004">
        <w:r>
          <w:rPr>
            <w:color w:val="1155CC"/>
            <w:u w:val="single"/>
          </w:rPr>
          <w:t>10.1038/s41586-026-10829-5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[401] </w:t>
      </w:r>
      <w:hyperlink r:id="rId1005">
        <w:r>
          <w:rPr>
            <w:color w:val="1155CC"/>
            <w:u w:val="single"/>
          </w:rPr>
          <w:t>分子旋转电机切换方向</w:t>
        </w:r>
      </w:hyperlink>
    </w:p>
    <w:p>
      <w:pPr>
        <w:spacing w:before="0" w:after="80"/>
      </w:pPr>
      <w:r>
        <w:rPr>
          <w:i/>
          <w:sz w:val="20"/>
        </w:rPr>
        <w:t>EN: Molecular rotary motors switch direction</w:t>
      </w:r>
    </w:p>
    <w:p>
      <w:pPr>
        <w:spacing w:before="0" w:after="120"/>
      </w:pPr>
      <w:r>
        <w:rPr>
          <w:b/>
        </w:rPr>
        <w:t xml:space="preserve">Source: </w:t>
      </w:r>
      <w:r>
        <w:t>Nature Chemistry</w:t>
      </w:r>
      <w:r>
        <w:t xml:space="preserve">    </w:t>
      </w:r>
      <w:r>
        <w:rPr>
          <w:b/>
        </w:rPr>
        <w:t xml:space="preserve">Pub date: </w:t>
      </w:r>
      <w:r>
        <w:t>2026-06-25 00:00:00+00:00</w:t>
      </w:r>
      <w:r>
        <w:t xml:space="preserve">    </w:t>
      </w:r>
      <w:r>
        <w:rPr>
          <w:b/>
        </w:rPr>
        <w:t xml:space="preserve">DOI: </w:t>
      </w:r>
      <w:hyperlink r:id="rId1006">
        <w:r>
          <w:rPr>
            <w:color w:val="1155CC"/>
            <w:u w:val="single"/>
          </w:rPr>
          <w:t>10.1038/s41557-026-02189-4</w:t>
        </w:r>
      </w:hyperlink>
    </w:p>
    <w:p>
      <w:pPr>
        <w:spacing w:before="0" w:after="120"/>
      </w:pPr>
      <w:r>
        <w:rPr>
          <w:b/>
        </w:rPr>
        <w:t xml:space="preserve">Notes: </w:t>
      </w:r>
      <w:r>
        <w:t>abstract_source=nature_html</w:t>
      </w:r>
    </w:p>
    <w:p>
      <w:pPr>
        <w:spacing w:before="0" w:after="80" w:lineRule="auto" w:line="276"/>
      </w:pPr>
      <w:r>
        <w:rPr>
          <w:b/>
        </w:rPr>
        <w:t xml:space="preserve">摘要（ZH）: </w:t>
      </w:r>
      <w:r>
        <w:t>自然界的许多旋转分子马达可以根据环境改变方向感。现在，最近的两项研究揭示了反转全合成分子马达旋转运动方向的新方法。</w:t>
      </w:r>
    </w:p>
    <w:p>
      <w:pPr>
        <w:spacing w:before="0" w:after="200" w:lineRule="auto" w:line="276"/>
      </w:pPr>
      <w:r>
        <w:rPr>
          <w:b/>
        </w:rPr>
        <w:t xml:space="preserve">Abstract (EN): </w:t>
      </w:r>
      <w:r>
        <w:t>Many of nature’s rotary molecular motors can invert their sense of direction in response to their environment. Now, two recent studies reveal new approaches to inverting the direction of rotary motion in fully synthetic molecular motors.</w:t>
      </w:r>
    </w:p>
    <w:p>
      <w:pPr>
        <w:spacing w:before="120" w:after="120"/>
      </w:pPr>
      <w:r>
        <w:rPr>
          <w:sz w:val="18"/>
        </w:rPr>
        <w:t>——————————————————————————————————————————————————————————————————————</w:t>
      </w:r>
    </w:p>
    <w:p>
      <w:pPr>
        <w:spacing w:before="160" w:after="40" w:line="240" w:lineRule="auto"/>
      </w:pPr>
      <w:r>
        <w:rPr>
          <w:b/>
        </w:rPr>
        <w:t xml:space="preserve">[402] </w:t>
      </w:r>
      <w:hyperlink r:id="rId1007">
        <w:r>
          <w:rPr>
            <w:color w:val="1155CC"/>
            <w:u w:val="single"/>
          </w:rPr>
          <w:t>垂直均匀钙钛矿薄膜实现超低剂量 X 射线成像</w:t>
        </w:r>
      </w:hyperlink>
    </w:p>
    <w:p>
      <w:pPr>
        <w:spacing w:before="0" w:after="80"/>
      </w:pPr>
      <w:r>
        <w:rPr>
          <w:i/>
          <w:sz w:val="20"/>
        </w:rPr>
        <w:t>EN: Ultralow-dose X-ray imaging enabled by vertically homogeneous perovskite films</w:t>
      </w:r>
    </w:p>
    <w:p>
      <w:pPr>
        <w:spacing w:before="0" w:after="120"/>
      </w:pPr>
      <w:r>
        <w:rPr>
          <w:b/>
        </w:rPr>
        <w:t xml:space="preserve">Source: </w:t>
      </w:r>
      <w:r>
        <w:t>National Science Review Advance Access</w:t>
      </w:r>
      <w:r>
        <w:t xml:space="preserve">    </w:t>
      </w:r>
      <w:r>
        <w:rPr>
          <w:b/>
        </w:rPr>
        <w:t xml:space="preserve">Pub date: </w:t>
      </w:r>
      <w:r>
        <w:t>2026-06-25 00:00:00+00:00</w:t>
      </w:r>
      <w:r>
        <w:t xml:space="preserve">    </w:t>
      </w:r>
      <w:r>
        <w:rPr>
          <w:b/>
        </w:rPr>
        <w:t xml:space="preserve">DOI: </w:t>
      </w:r>
      <w:hyperlink r:id="rId1008">
        <w:r>
          <w:rPr>
            <w:color w:val="1155CC"/>
            <w:u w:val="single"/>
          </w:rPr>
          <w:t>10.1093/nsr/nwag391</w:t>
        </w:r>
      </w:hyperlink>
    </w:p>
    <w:p>
      <w:pPr>
        <w:spacing w:before="0" w:after="120"/>
      </w:pPr>
      <w:r>
        <w:rPr>
          <w:b/>
        </w:rPr>
        <w:t xml:space="preserve">Notes: </w:t>
      </w:r>
      <w:r>
        <w:t>abstract_source=rss_oup</w:t>
      </w:r>
    </w:p>
    <w:p>
      <w:pPr>
        <w:spacing w:before="0" w:after="80" w:lineRule="auto" w:line="276"/>
      </w:pPr>
      <w:r>
        <w:rPr>
          <w:b/>
        </w:rPr>
        <w:t xml:space="preserve">摘要（ZH）: </w:t>
      </w:r>
      <w:r>
        <w:t>人工智能 (AI) 正在迅速推动成像和传感朝着自动化、定量决策的方向发展，从而提高了对通过 X 射线范围进行红外可靠低光子通量检测和成像的需求，但开发真正在超低光子通量下有效运行的探测器一直是一项挑战。作为一个典型的例子，低剂量 X 射线成像在本质上稀疏的光子统计下运行，其中沿吸收深度的泊松波动与垂直传输不均匀性耦合，并在超低剂量下被统计放大。在这里，我们阐明了这种材料到电子器件的瓶颈，并开发了一种新的液相生长和退火（LPGA）策略，该策略消除了结晶过程中传统方法中的热和质量传输不稳定性，产生具有出色垂直均匀性的钙钛矿薄膜。这实现了与深度无关的电荷收集，显着减少了读出的随机波动，并将图像噪声降低了十倍。在成像应用中，我们的探测器以 40.6 nGyair 的超低有效每像素积分剂量提供高质量的 X 射线成像，为安全、高质量的临床成像树立了新的基准。</w:t>
      </w:r>
    </w:p>
    <w:p>
      <w:pPr>
        <w:spacing w:before="0" w:after="200" w:lineRule="auto" w:line="276"/>
      </w:pPr>
      <w:r>
        <w:rPr>
          <w:b/>
        </w:rPr>
        <w:t xml:space="preserve">Abstract (EN): </w:t>
      </w:r>
      <w:r>
        <w:t>Artificial intelligence (AI) is rapidly pushing imaging and sensing toward automated, quantitative decision-making, heightening the demand for reliable low-photon-flux detection and imaging across infrared through X-ray regimes, yet developing detectors that truly operate effectively at ultralow photon fluxes has been a challenge. As a canonical instance, low-dose X-ray imaging operates under intrinsically sparse photon statistics, where Poisson fluctuations along the absorption depth couple to vertical transport non-uniformity and are statistically amplified at ultralow dose. Here we elucidate this materials-to-electronics bottleneck and develop a new liquid-phase growth and annealing (LPGA) strategy that eliminates thermal and mass-transport instabilities in conventional methods during crystallization, yielding perovskite films with exceptional vertical uniformity. This enables depth-independent charge collection, significantly reducing stochastic fluctuations in the readout and achieving a ten-fold reduction in image noise. In imaging applications, our detectors deliver high-quality X-ray imaging at an ultralow effective per-pixel integration dose of 40.6 nGyair, setting a new benchmark for safe, high-quality clinical imaging.</w:t>
      </w:r>
    </w:p>
    <w:p>
      <w:pPr>
        <w:spacing w:before="120" w:after="120"/>
      </w:pPr>
      <w:r>
        <w:rPr>
          <w:sz w:val="18"/>
        </w:rPr>
        <w:t>——————————————————————————————————————————————————————————————————————</w:t>
      </w:r>
    </w:p>
    <w:p>
      <w:pPr>
        <w:spacing w:before="160" w:after="40" w:line="240" w:lineRule="auto"/>
      </w:pPr>
      <w:r>
        <w:rPr>
          <w:b/>
        </w:rPr>
        <w:t xml:space="preserve">[403] </w:t>
      </w:r>
      <w:hyperlink r:id="rId1009">
        <w:r>
          <w:rPr>
            <w:color w:val="1155CC"/>
            <w:u w:val="single"/>
          </w:rPr>
          <w:t>“编辑”人类胚胎揭示了我们发育的秘密——并引发了伦理争论</w:t>
        </w:r>
      </w:hyperlink>
    </w:p>
    <w:p>
      <w:pPr>
        <w:spacing w:before="0" w:after="80"/>
      </w:pPr>
      <w:r>
        <w:rPr>
          <w:i/>
          <w:sz w:val="20"/>
        </w:rPr>
        <w:t>EN: ‘Edited’ human embryos reveal secrets of our development — and fuel ethical debate</w:t>
      </w:r>
    </w:p>
    <w:p>
      <w:pPr>
        <w:spacing w:before="0" w:after="120"/>
      </w:pPr>
      <w:r>
        <w:rPr>
          <w:b/>
        </w:rPr>
        <w:t xml:space="preserve">Source: </w:t>
      </w:r>
      <w:r>
        <w:t>Nature</w:t>
      </w:r>
      <w:r>
        <w:t xml:space="preserve">    </w:t>
      </w:r>
      <w:r>
        <w:rPr>
          <w:b/>
        </w:rPr>
        <w:t xml:space="preserve">Pub date: </w:t>
      </w:r>
      <w:r>
        <w:t>2026-06-25 00:00:00+00:00</w:t>
      </w:r>
      <w:r>
        <w:t xml:space="preserve">    </w:t>
      </w:r>
      <w:r>
        <w:rPr>
          <w:b/>
        </w:rPr>
        <w:t xml:space="preserve">DOI: </w:t>
      </w:r>
      <w:hyperlink r:id="rId1010">
        <w:r>
          <w:rPr>
            <w:color w:val="1155CC"/>
            <w:u w:val="single"/>
          </w:rPr>
          <w:t>10.1038/d41586-026-02027-0</w:t>
        </w:r>
      </w:hyperlink>
    </w:p>
    <w:p>
      <w:pPr>
        <w:spacing w:before="0" w:after="120"/>
      </w:pPr>
      <w:r>
        <w:rPr>
          <w:b/>
        </w:rPr>
        <w:t xml:space="preserve">Notes: </w:t>
      </w:r>
      <w:r>
        <w:t>abstract_source=nature_html</w:t>
      </w:r>
    </w:p>
    <w:p>
      <w:pPr>
        <w:spacing w:before="0" w:after="80" w:lineRule="auto" w:line="276"/>
      </w:pPr>
      <w:r>
        <w:rPr>
          <w:b/>
        </w:rPr>
        <w:t xml:space="preserve">摘要（ZH）: </w:t>
      </w:r>
      <w:r>
        <w:t>一些研究人员表示，随着基因组编辑科学的进步，迫切需要进行伦理讨论。一些研究人员表示，随着基因组编辑科学的进步，迫切需要进行伦理讨论。</w:t>
      </w:r>
    </w:p>
    <w:p>
      <w:pPr>
        <w:spacing w:before="0" w:after="200" w:lineRule="auto" w:line="276"/>
      </w:pPr>
      <w:r>
        <w:rPr>
          <w:b/>
        </w:rPr>
        <w:t xml:space="preserve">Abstract (EN): </w:t>
      </w:r>
      <w:r>
        <w:t>Ethical discussions are urgently needed as genome-editing science advances, some researchers say. Ethical discussions are urgently needed as genome-editing science advances, some researchers say.</w:t>
      </w:r>
    </w:p>
    <w:p>
      <w:pPr>
        <w:spacing w:before="120" w:after="120"/>
      </w:pPr>
      <w:r>
        <w:rPr>
          <w:sz w:val="18"/>
        </w:rPr>
        <w:t>——————————————————————————————————————————————————————————————————————</w:t>
      </w:r>
    </w:p>
    <w:p>
      <w:pPr>
        <w:spacing w:before="160" w:after="40" w:line="240" w:lineRule="auto"/>
      </w:pPr>
      <w:r>
        <w:rPr>
          <w:b/>
        </w:rPr>
        <w:t xml:space="preserve">[404] </w:t>
      </w:r>
      <w:hyperlink r:id="rId1011">
        <w:r>
          <w:rPr>
            <w:color w:val="1155CC"/>
            <w:u w:val="single"/>
          </w:rPr>
          <w:t>长期饮食胆固醇如何减缓肝细胞自身的清除</w:t>
        </w:r>
      </w:hyperlink>
    </w:p>
    <w:p>
      <w:pPr>
        <w:spacing w:before="0" w:after="80"/>
      </w:pPr>
      <w:r>
        <w:rPr>
          <w:i/>
          <w:sz w:val="20"/>
        </w:rPr>
        <w:t>EN: How long-term dietary cholesterol can slow down its own clearance by liver cells</w:t>
      </w:r>
    </w:p>
    <w:p>
      <w:pPr>
        <w:spacing w:before="0" w:after="120"/>
      </w:pPr>
      <w:r>
        <w:rPr>
          <w:b/>
        </w:rPr>
        <w:t xml:space="preserve">Source: </w:t>
      </w:r>
      <w:r>
        <w:t>Nature</w:t>
      </w:r>
      <w:r>
        <w:t xml:space="preserve">    </w:t>
      </w:r>
      <w:r>
        <w:rPr>
          <w:b/>
        </w:rPr>
        <w:t xml:space="preserve">Pub date: </w:t>
      </w:r>
      <w:r>
        <w:t>2026-06-25 00:00:00+00:00</w:t>
      </w:r>
      <w:r>
        <w:t xml:space="preserve">    </w:t>
      </w:r>
      <w:r>
        <w:rPr>
          <w:b/>
        </w:rPr>
        <w:t xml:space="preserve">DOI: </w:t>
      </w:r>
      <w:hyperlink r:id="rId1012">
        <w:r>
          <w:rPr>
            <w:color w:val="1155CC"/>
            <w:u w:val="single"/>
          </w:rPr>
          <w:t>10.1038/d41586-026-01899-6</w:t>
        </w:r>
      </w:hyperlink>
    </w:p>
    <w:p>
      <w:pPr>
        <w:spacing w:before="0" w:after="120"/>
      </w:pPr>
      <w:r>
        <w:rPr>
          <w:b/>
        </w:rPr>
        <w:t xml:space="preserve">Notes: </w:t>
      </w:r>
      <w:r>
        <w:t>abstract_source=nature_html</w:t>
      </w:r>
    </w:p>
    <w:p>
      <w:pPr>
        <w:spacing w:before="0" w:after="80" w:lineRule="auto" w:line="276"/>
      </w:pPr>
      <w:r>
        <w:rPr>
          <w:b/>
        </w:rPr>
        <w:t xml:space="preserve">摘要（ZH）: </w:t>
      </w:r>
      <w:r>
        <w:t>低密度脂蛋白 (LDL) 携带的胆固醇会导致心脏病，并被表达受体 LDLR 的肝细胞清除。已经发现了一种细胞信号传导机制，高胆固醇通过该机制促进酶介导的 LDLR 降解。阻断这种酶可以恢复肝细胞中的 LDLR 水平，这表明治疗高胆固醇的新策略。长期接触胆固醇可以将受体蛋白 LDLR 转移到细胞中进行降解。</w:t>
      </w:r>
    </w:p>
    <w:p>
      <w:pPr>
        <w:spacing w:before="0" w:after="200" w:lineRule="auto" w:line="276"/>
      </w:pPr>
      <w:r>
        <w:rPr>
          <w:b/>
        </w:rPr>
        <w:t xml:space="preserve">Abstract (EN): </w:t>
      </w:r>
      <w:r>
        <w:t>Cholesterol carried by low-density lipoprotein (LDL) drives heart disease and is cleared by liver cells expressing the receptor LDLR. A cell-signalling mechanism has been discovered through which high cholesterol promotes the enzyme-mediated degradation of LDLR. Blocking this enzyme restores LDLR levels in liver cells, suggesting a new strategy for treating high cholesterol. Chronic exposure to cholesterol can move the receptor protein LDLR into cells for degradation.</w:t>
      </w:r>
    </w:p>
    <w:p>
      <w:pPr>
        <w:spacing w:before="120" w:after="120"/>
      </w:pPr>
      <w:r>
        <w:rPr>
          <w:sz w:val="18"/>
        </w:rPr>
        <w:t>——————————————————————————————————————————————————————————————————————</w:t>
      </w:r>
    </w:p>
    <w:p>
      <w:pPr>
        <w:spacing w:before="160" w:after="40" w:line="240" w:lineRule="auto"/>
      </w:pPr>
      <w:r>
        <w:rPr>
          <w:b/>
        </w:rPr>
        <w:t xml:space="preserve">[405] </w:t>
      </w:r>
      <w:hyperlink r:id="rId1013">
        <w:r>
          <w:rPr>
            <w:color w:val="1155CC"/>
            <w:u w:val="single"/>
          </w:rPr>
          <w:t>电场探测“重氢”核的对称性</w:t>
        </w:r>
      </w:hyperlink>
    </w:p>
    <w:p>
      <w:pPr>
        <w:spacing w:before="0" w:after="80"/>
      </w:pPr>
      <w:r>
        <w:rPr>
          <w:i/>
          <w:sz w:val="20"/>
        </w:rPr>
        <w:t>EN: Electric fields probe the symmetry of the ‘heavy hydrogen’ nucleus</w:t>
      </w:r>
    </w:p>
    <w:p>
      <w:pPr>
        <w:spacing w:before="0" w:after="120"/>
      </w:pPr>
      <w:r>
        <w:rPr>
          <w:b/>
        </w:rPr>
        <w:t xml:space="preserve">Source: </w:t>
      </w:r>
      <w:r>
        <w:t>Nature</w:t>
      </w:r>
      <w:r>
        <w:t xml:space="preserve">    </w:t>
      </w:r>
      <w:r>
        <w:rPr>
          <w:b/>
        </w:rPr>
        <w:t xml:space="preserve">Pub date: </w:t>
      </w:r>
      <w:r>
        <w:t>2026-06-25 00:00:00+00:00</w:t>
      </w:r>
      <w:r>
        <w:t xml:space="preserve">    </w:t>
      </w:r>
      <w:r>
        <w:rPr>
          <w:b/>
        </w:rPr>
        <w:t xml:space="preserve">DOI: </w:t>
      </w:r>
      <w:hyperlink r:id="rId1014">
        <w:r>
          <w:rPr>
            <w:color w:val="1155CC"/>
            <w:u w:val="single"/>
          </w:rPr>
          <w:t>10.1038/d41586-026-02036-z</w:t>
        </w:r>
      </w:hyperlink>
    </w:p>
    <w:p>
      <w:pPr>
        <w:spacing w:before="0" w:after="120"/>
      </w:pPr>
      <w:r>
        <w:rPr>
          <w:b/>
        </w:rPr>
        <w:t xml:space="preserve">Notes: </w:t>
      </w:r>
      <w:r>
        <w:t>abstract_source=nature_html</w:t>
      </w:r>
    </w:p>
    <w:p>
      <w:pPr>
        <w:spacing w:before="0" w:after="80" w:lineRule="auto" w:line="276"/>
      </w:pPr>
      <w:r>
        <w:rPr>
          <w:b/>
        </w:rPr>
        <w:t xml:space="preserve">摘要（ZH）: </w:t>
      </w:r>
      <w:r>
        <w:t>氘原子核对电场的响应没有显示出不对称的证据，这与粒子物理的传统理论是一致的。氘原子核对电场的响应没有显示出不对称的证据，这与粒子物理的传统理论是一致的。</w:t>
      </w:r>
    </w:p>
    <w:p>
      <w:pPr>
        <w:spacing w:before="0" w:after="200" w:lineRule="auto" w:line="276"/>
      </w:pPr>
      <w:r>
        <w:rPr>
          <w:b/>
        </w:rPr>
        <w:t xml:space="preserve">Abstract (EN): </w:t>
      </w:r>
      <w:r>
        <w:t>The response of the nucleus of a deuterium atom to electric fields shows no evidence of asymmetry, which is consistent with conventional theories of particle physics. The response of the nucleus of a deuterium atom to electric fields shows no evidence of asymmetry, which is consistent with conventional theories of particle physics.</w:t>
      </w:r>
    </w:p>
    <w:p>
      <w:pPr>
        <w:spacing w:before="120" w:after="120"/>
      </w:pPr>
      <w:r>
        <w:rPr>
          <w:sz w:val="18"/>
        </w:rPr>
        <w:t>——————————————————————————————————————————————————————————————————————</w:t>
      </w:r>
    </w:p>
    <w:p>
      <w:pPr>
        <w:spacing w:before="160" w:after="40" w:line="240" w:lineRule="auto"/>
      </w:pPr>
      <w:r>
        <w:rPr>
          <w:b/>
        </w:rPr>
        <w:t xml:space="preserve">[406] </w:t>
      </w:r>
      <w:hyperlink r:id="rId1015">
        <w:r>
          <w:rPr>
            <w:color w:val="1155CC"/>
            <w:u w:val="single"/>
          </w:rPr>
          <w:t>中国的LineShine刚刚登顶全球超级计算机排名：你需要知道什么</w:t>
        </w:r>
      </w:hyperlink>
    </w:p>
    <w:p>
      <w:pPr>
        <w:spacing w:before="0" w:after="80"/>
      </w:pPr>
      <w:r>
        <w:rPr>
          <w:i/>
          <w:sz w:val="20"/>
        </w:rPr>
        <w:t>EN: China’s LineShine just topped the global supercomputer ranking: what you need to know</w:t>
      </w:r>
    </w:p>
    <w:p>
      <w:pPr>
        <w:spacing w:before="0" w:after="120"/>
      </w:pPr>
      <w:r>
        <w:rPr>
          <w:b/>
        </w:rPr>
        <w:t xml:space="preserve">Source: </w:t>
      </w:r>
      <w:r>
        <w:t>Nature</w:t>
      </w:r>
      <w:r>
        <w:t xml:space="preserve">    </w:t>
      </w:r>
      <w:r>
        <w:rPr>
          <w:b/>
        </w:rPr>
        <w:t xml:space="preserve">Pub date: </w:t>
      </w:r>
      <w:r>
        <w:t>2026-06-25 00:00:00+00:00</w:t>
      </w:r>
      <w:r>
        <w:t xml:space="preserve">    </w:t>
      </w:r>
      <w:r>
        <w:rPr>
          <w:b/>
        </w:rPr>
        <w:t xml:space="preserve">DOI: </w:t>
      </w:r>
      <w:hyperlink r:id="rId1016">
        <w:r>
          <w:rPr>
            <w:color w:val="1155CC"/>
            <w:u w:val="single"/>
          </w:rPr>
          <w:t>10.1038/d41586-026-02047-w</w:t>
        </w:r>
      </w:hyperlink>
    </w:p>
    <w:p>
      <w:pPr>
        <w:spacing w:before="0" w:after="120"/>
      </w:pPr>
      <w:r>
        <w:rPr>
          <w:b/>
        </w:rPr>
        <w:t xml:space="preserve">Notes: </w:t>
      </w:r>
      <w:r>
        <w:t>abstract_source=nature_html</w:t>
      </w:r>
    </w:p>
    <w:p>
      <w:pPr>
        <w:spacing w:before="0" w:after="80" w:lineRule="auto" w:line="276"/>
      </w:pPr>
      <w:r>
        <w:rPr>
          <w:b/>
        </w:rPr>
        <w:t xml:space="preserve">摘要（ZH）: </w:t>
      </w:r>
      <w:r>
        <w:t>该超级计算机采用创新的芯片设计，每秒可进行超过 2 千万亿次计算。该超级计算机采用创新的芯片设计，每秒可进行超过 2 千万亿次计算。</w:t>
      </w:r>
    </w:p>
    <w:p>
      <w:pPr>
        <w:spacing w:before="0" w:after="200" w:lineRule="auto" w:line="276"/>
      </w:pPr>
      <w:r>
        <w:rPr>
          <w:b/>
        </w:rPr>
        <w:t xml:space="preserve">Abstract (EN): </w:t>
      </w:r>
      <w:r>
        <w:t>The supercomputer has an innovative chip design that allows it to carry out more than 2 quintillion calculations per second. The supercomputer has an innovative chip design that allows it to carry out more than 2 quintillion calculations per second.</w:t>
      </w:r>
    </w:p>
    <w:p>
      <w:pPr>
        <w:spacing w:before="120" w:after="120"/>
      </w:pPr>
      <w:r>
        <w:rPr>
          <w:sz w:val="18"/>
        </w:rPr>
        <w:t>——————————————————————————————————————————————————————————————————————</w:t>
      </w:r>
    </w:p>
    <w:p>
      <w:pPr>
        <w:spacing w:before="160" w:after="40" w:line="240" w:lineRule="auto"/>
      </w:pPr>
      <w:r>
        <w:rPr>
          <w:b/>
        </w:rPr>
        <w:t xml:space="preserve">[407] </w:t>
      </w:r>
      <w:hyperlink r:id="rId1017">
        <w:r>
          <w:rPr>
            <w:color w:val="1155CC"/>
            <w:u w:val="single"/>
          </w:rPr>
          <w:t>分子邻居重塑蛋白质动力学</w:t>
        </w:r>
      </w:hyperlink>
    </w:p>
    <w:p>
      <w:pPr>
        <w:spacing w:before="0" w:after="80"/>
      </w:pPr>
      <w:r>
        <w:rPr>
          <w:i/>
          <w:sz w:val="20"/>
        </w:rPr>
        <w:t>EN: Molecular neighbours reshape protein dynamics</w:t>
      </w:r>
    </w:p>
    <w:p>
      <w:pPr>
        <w:spacing w:before="0" w:after="120"/>
      </w:pPr>
      <w:r>
        <w:rPr>
          <w:b/>
        </w:rPr>
        <w:t xml:space="preserve">Source: </w:t>
      </w:r>
      <w:r>
        <w:t>Nature Chemistry</w:t>
      </w:r>
      <w:r>
        <w:t xml:space="preserve">    </w:t>
      </w:r>
      <w:r>
        <w:rPr>
          <w:b/>
        </w:rPr>
        <w:t xml:space="preserve">Pub date: </w:t>
      </w:r>
      <w:r>
        <w:t>2026-06-25 00:00:00+00:00</w:t>
      </w:r>
      <w:r>
        <w:t xml:space="preserve">    </w:t>
      </w:r>
      <w:r>
        <w:rPr>
          <w:b/>
        </w:rPr>
        <w:t xml:space="preserve">DOI: </w:t>
      </w:r>
      <w:hyperlink r:id="rId1018">
        <w:r>
          <w:rPr>
            <w:color w:val="1155CC"/>
            <w:u w:val="single"/>
          </w:rPr>
          <w:t>10.1038/s41557-026-02194-7</w:t>
        </w:r>
      </w:hyperlink>
    </w:p>
    <w:p>
      <w:pPr>
        <w:spacing w:before="0" w:after="120"/>
      </w:pPr>
      <w:r>
        <w:rPr>
          <w:b/>
        </w:rPr>
        <w:t xml:space="preserve">Notes: </w:t>
      </w:r>
      <w:r>
        <w:t>abstract_source=nature_html</w:t>
      </w:r>
    </w:p>
    <w:p>
      <w:pPr>
        <w:spacing w:before="0" w:after="80" w:lineRule="auto" w:line="276"/>
      </w:pPr>
      <w:r>
        <w:rPr>
          <w:b/>
        </w:rPr>
        <w:t xml:space="preserve">摘要（ZH）: </w:t>
      </w:r>
      <w:r>
        <w:t>由于蛋白质是动态分子机器，为了充分理解它们的功能，我们需要了解它们如何运动。现在，核磁共振波谱和分子动力学模拟揭示了 GB1 蛋白结构域的运动如何被环境改变，这表明调节结构可塑性可以控制蛋白质功能。</w:t>
      </w:r>
    </w:p>
    <w:p>
      <w:pPr>
        <w:spacing w:before="0" w:after="200" w:lineRule="auto" w:line="276"/>
      </w:pPr>
      <w:r>
        <w:rPr>
          <w:b/>
        </w:rPr>
        <w:t xml:space="preserve">Abstract (EN): </w:t>
      </w:r>
      <w:r>
        <w:t>As proteins are dynamic molecular machines, to fully understand their functions we need to understand how they move. Now, nuclear magnetic resonance spectroscopy and molecular dynamics simulations reveal how motions of the GB1 protein domain are altered by its environment, suggesting that modulating structural plasticity could control protein function.</w:t>
      </w:r>
    </w:p>
    <w:p>
      <w:pPr>
        <w:spacing w:before="120" w:after="120"/>
      </w:pPr>
      <w:r>
        <w:rPr>
          <w:sz w:val="18"/>
        </w:rPr>
        <w:t>——————————————————————————————————————————————————————————————————————</w:t>
      </w:r>
    </w:p>
    <w:p>
      <w:pPr>
        <w:spacing w:before="160" w:after="40" w:line="240" w:lineRule="auto"/>
      </w:pPr>
      <w:r>
        <w:rPr>
          <w:b/>
        </w:rPr>
        <w:t xml:space="preserve">[408] </w:t>
      </w:r>
      <w:hyperlink r:id="rId1019">
        <w:r>
          <w:rPr>
            <w:color w:val="1155CC"/>
            <w:u w:val="single"/>
          </w:rPr>
          <w:t>偏振高场红外仪器揭示了外尔半金属中巨大的红外手性</w:t>
        </w:r>
      </w:hyperlink>
    </w:p>
    <w:p>
      <w:pPr>
        <w:spacing w:before="0" w:after="80"/>
      </w:pPr>
      <w:r>
        <w:rPr>
          <w:i/>
          <w:sz w:val="20"/>
        </w:rPr>
        <w:t>EN: A polarized high-field infrared instrument reveals giant infrared chirality in Weyl semimetals</w:t>
      </w:r>
    </w:p>
    <w:p>
      <w:pPr>
        <w:spacing w:before="0" w:after="120"/>
      </w:pPr>
      <w:r>
        <w:rPr>
          <w:b/>
        </w:rPr>
        <w:t xml:space="preserve">Source: </w:t>
      </w:r>
      <w:r>
        <w:t>National Science Review Advance Access</w:t>
      </w:r>
      <w:r>
        <w:t xml:space="preserve">    </w:t>
      </w:r>
      <w:r>
        <w:rPr>
          <w:b/>
        </w:rPr>
        <w:t xml:space="preserve">Pub date: </w:t>
      </w:r>
      <w:r>
        <w:t>2026-06-25 00:00:00+00:00</w:t>
      </w:r>
      <w:r>
        <w:t xml:space="preserve">    </w:t>
      </w:r>
      <w:r>
        <w:rPr>
          <w:b/>
        </w:rPr>
        <w:t xml:space="preserve">DOI: </w:t>
      </w:r>
      <w:hyperlink r:id="rId1020">
        <w:r>
          <w:rPr>
            <w:color w:val="1155CC"/>
            <w:u w:val="single"/>
          </w:rPr>
          <w:t>10.1093/nsr/nwag390</w:t>
        </w:r>
      </w:hyperlink>
    </w:p>
    <w:p>
      <w:pPr>
        <w:spacing w:before="0" w:after="120"/>
      </w:pPr>
      <w:r>
        <w:rPr>
          <w:b/>
        </w:rPr>
        <w:t xml:space="preserve">Notes: </w:t>
      </w:r>
      <w:r>
        <w:t>abstract_source=crossref</w:t>
      </w:r>
    </w:p>
    <w:p>
      <w:pPr>
        <w:spacing w:before="0" w:after="80" w:lineRule="auto" w:line="276"/>
      </w:pPr>
      <w:r>
        <w:rPr>
          <w:b/>
        </w:rPr>
        <w:t xml:space="preserve">摘要（ZH）: </w:t>
      </w:r>
      <w:r>
        <w:t>本重点介绍了Yuan等人的工作，他们通过开发具有偏振分辨率的高场磁红外光谱系统，首次观察到II型外尔半金属Mn(Bi1-xSbx)2Te4中的巨大宽带红外圆二色性。</w:t>
      </w:r>
    </w:p>
    <w:p>
      <w:pPr>
        <w:spacing w:before="0" w:after="200" w:lineRule="auto" w:line="276"/>
      </w:pPr>
      <w:r>
        <w:rPr>
          <w:b/>
        </w:rPr>
        <w:t xml:space="preserve">Abstract (EN): </w:t>
      </w:r>
      <w:r>
        <w:t>This highlight introduces the work of Yuan et al., who observed the giant broadband infrared circular dichroism in the type-II Weyl semimetal Mn(Bi1-xSbx)2Te4 for the first time through the development of a high-field magneto-infrared spectroscopy system with polarization resolution.</w:t>
      </w:r>
    </w:p>
    <w:p>
      <w:pPr>
        <w:spacing w:before="120" w:after="120"/>
      </w:pPr>
      <w:r>
        <w:rPr>
          <w:sz w:val="18"/>
        </w:rPr>
        <w:t>——————————————————————————————————————————————————————————————————————</w:t>
      </w:r>
    </w:p>
    <w:p>
      <w:pPr>
        <w:spacing w:before="160" w:after="40" w:line="240" w:lineRule="auto"/>
      </w:pPr>
      <w:r>
        <w:rPr>
          <w:b/>
        </w:rPr>
        <w:t xml:space="preserve">[409] </w:t>
      </w:r>
      <w:hyperlink r:id="rId1021">
        <w:r>
          <w:rPr>
            <w:color w:val="1155CC"/>
            <w:u w:val="single"/>
          </w:rPr>
          <w:t>具有高效电荷自旋转换的高导电极性金属</w:t>
        </w:r>
      </w:hyperlink>
    </w:p>
    <w:p>
      <w:pPr>
        <w:spacing w:before="0" w:after="80"/>
      </w:pPr>
      <w:r>
        <w:rPr>
          <w:i/>
          <w:sz w:val="20"/>
        </w:rPr>
        <w:t>EN: A highly conductive polar metal with efficient charge–spin conversion</w:t>
      </w:r>
    </w:p>
    <w:p>
      <w:pPr>
        <w:spacing w:before="0" w:after="120"/>
      </w:pPr>
      <w:r>
        <w:rPr>
          <w:b/>
        </w:rPr>
        <w:t xml:space="preserve">Source: </w:t>
      </w:r>
      <w:r>
        <w:t>Nature Materials</w:t>
      </w:r>
      <w:r>
        <w:t xml:space="preserve">    </w:t>
      </w:r>
      <w:r>
        <w:rPr>
          <w:b/>
        </w:rPr>
        <w:t xml:space="preserve">Pub date: </w:t>
      </w:r>
      <w:r>
        <w:t>2026-06-25 00:00:00+00:00</w:t>
      </w:r>
      <w:r>
        <w:t xml:space="preserve">    </w:t>
      </w:r>
      <w:r>
        <w:rPr>
          <w:b/>
        </w:rPr>
        <w:t xml:space="preserve">DOI: </w:t>
      </w:r>
      <w:hyperlink r:id="rId1022">
        <w:r>
          <w:rPr>
            <w:color w:val="1155CC"/>
            <w:u w:val="single"/>
          </w:rPr>
          <w:t>10.1038/s41563-026-02639-x</w:t>
        </w:r>
      </w:hyperlink>
    </w:p>
    <w:p>
      <w:pPr>
        <w:spacing w:before="0" w:after="120"/>
      </w:pPr>
      <w:r>
        <w:rPr>
          <w:b/>
        </w:rPr>
        <w:t xml:space="preserve">Notes: </w:t>
      </w:r>
      <w:r>
        <w:t>abstract_source=nature_html</w:t>
      </w:r>
    </w:p>
    <w:p>
      <w:pPr>
        <w:spacing w:before="0" w:after="80" w:lineRule="auto" w:line="276"/>
      </w:pPr>
      <w:r>
        <w:rPr>
          <w:b/>
        </w:rPr>
        <w:t xml:space="preserve">摘要（ZH）: </w:t>
      </w:r>
      <w:r>
        <w:t>通过在单一材料中结合低电阻率和高电荷自旋转换，可以提高自旋源材料的能量效率。现在，层状铜铁矿通过极性扭曲实现了这种组合，打破了反演对称性，同时保持了高金属导电性。</w:t>
      </w:r>
    </w:p>
    <w:p>
      <w:pPr>
        <w:spacing w:before="0" w:after="200" w:lineRule="auto" w:line="276"/>
      </w:pPr>
      <w:r>
        <w:rPr>
          <w:b/>
        </w:rPr>
        <w:t xml:space="preserve">Abstract (EN): </w:t>
      </w:r>
      <w:r>
        <w:t>The energy efficiency of spin-source materials can be increased by combining low resistivity and high charge–spin conversion in a single material. Now, a layered delafossite achieves this combination through polar distortions that break inversion symmetry while preserving high metallic conductivity.</w:t>
      </w:r>
    </w:p>
    <w:p>
      <w:pPr>
        <w:spacing w:before="120" w:after="120"/>
      </w:pPr>
      <w:r>
        <w:rPr>
          <w:sz w:val="18"/>
        </w:rPr>
        <w:t>——————————————————————————————————————————————————————————————————————</w:t>
      </w:r>
    </w:p>
    <w:p>
      <w:pPr>
        <w:spacing w:before="160" w:after="40" w:line="240" w:lineRule="auto"/>
      </w:pPr>
      <w:r>
        <w:rPr>
          <w:b/>
        </w:rPr>
        <w:t xml:space="preserve">[410] </w:t>
      </w:r>
      <w:hyperlink r:id="rId1023">
        <w:r>
          <w:rPr>
            <w:color w:val="1155CC"/>
            <w:u w:val="single"/>
          </w:rPr>
          <w:t>配体支持的脂肪酸远端去饱和内酯化</w:t>
        </w:r>
      </w:hyperlink>
    </w:p>
    <w:p>
      <w:pPr>
        <w:spacing w:before="0" w:after="80"/>
      </w:pPr>
      <w:r>
        <w:rPr>
          <w:i/>
          <w:sz w:val="20"/>
        </w:rPr>
        <w:t>EN: Ligand-enabled distal desaturative lactonization of aliphatic acids</w:t>
      </w:r>
    </w:p>
    <w:p>
      <w:pPr>
        <w:spacing w:before="0" w:after="120"/>
      </w:pPr>
      <w:r>
        <w:rPr>
          <w:b/>
        </w:rPr>
        <w:t xml:space="preserve">Source: </w:t>
      </w:r>
      <w:r>
        <w:t>Nature</w:t>
      </w:r>
      <w:r>
        <w:t xml:space="preserve">    </w:t>
      </w:r>
      <w:r>
        <w:rPr>
          <w:b/>
        </w:rPr>
        <w:t xml:space="preserve">Pub date: </w:t>
      </w:r>
      <w:r>
        <w:t>2026-06-25 00:00:00+00:00</w:t>
      </w:r>
      <w:r>
        <w:t xml:space="preserve">    </w:t>
      </w:r>
      <w:r>
        <w:rPr>
          <w:b/>
        </w:rPr>
        <w:t xml:space="preserve">DOI: </w:t>
      </w:r>
      <w:hyperlink r:id="rId1024">
        <w:r>
          <w:rPr>
            <w:color w:val="1155CC"/>
            <w:u w:val="single"/>
          </w:rPr>
          <w:t>10.1038/s41586-026-10826-8</w:t>
        </w:r>
      </w:hyperlink>
    </w:p>
    <w:p>
      <w:pPr>
        <w:spacing w:before="0" w:after="120"/>
      </w:pPr>
      <w:r>
        <w:rPr>
          <w:b/>
        </w:rPr>
        <w:t xml:space="preserve">Notes: </w:t>
      </w:r>
      <w:r>
        <w:t>abstract_source=nature_html</w:t>
      </w:r>
    </w:p>
    <w:p>
      <w:pPr>
        <w:spacing w:before="0" w:after="80" w:lineRule="auto" w:line="276"/>
      </w:pPr>
      <w:r>
        <w:rPr>
          <w:b/>
        </w:rPr>
        <w:t xml:space="preserve">摘要（ZH）: </w:t>
      </w:r>
      <w:r>
        <w:t>过渡金属催化是将惰性 C−H 键转化为有价值的功能基序的基本策略。1,2 然而，实现远程 C−H 键的区域选择性激活仍然具有挑战性，特别是在无偏烃框架中。2,3 在这种情况下，远端 C(sp3)−H 键特别难以功能化，因为构象灵活性有利于近端 C−H 激活。3,4 在本研究中，我们展示了一种使用设计的 O-烯丙基酰胺酯的配体启用策略(OAAE) 配体，用于钯催化活化无偏脂肪族羧酸中的 γ-亚甲基和次甲基 CH 位点，衍生自容易获得的脂肪和环酸原料。该方案能够将脂肪族羧酸底物直接转化为远端去饱和γ-内酯和双脱氢γ-螺内酯。机理研究与涉及 Pd(II) 介导的 γ-C(sp3)−H 激活、随后脱氢和分子内环化的途径一致。这些具有不饱和臂的内酯是形成复杂天然产物和药物的关键中间体。例如，使用这种策略，可以通过三个步骤从人造黄油中快速组装 muricatacin（来自 soursop/laxman phal）及其类似物，并评估其抗癌活性，从而证明了我们的方法在为传统医学提供快速获取生物学相关框架方面的潜力。引入的远端去饱和进一步开辟了远程功能化的新途径，简化了对远端的访问</w:t>
      </w:r>
    </w:p>
    <w:p>
      <w:pPr>
        <w:spacing w:before="0" w:after="200" w:lineRule="auto" w:line="276"/>
      </w:pPr>
      <w:r>
        <w:rPr>
          <w:b/>
        </w:rPr>
        <w:t xml:space="preserve">Abstract (EN): </w:t>
      </w:r>
      <w:r>
        <w:t>Transition metal catalysis serves as a fundamental strategy for transforming inert C−H bonds into valuable functional motifs.1,2 However, achieving regioselective activation of remote C−H bonds remains challenging, particularly in unbiased hydrocarbon frameworks.2,3 In this context, distal C(sp3)−H bonds are especially difficult to functionalize, as conformational flexibility favors proximal C−H activation.3,4 In this study, we demonstrate a ligand-enabled strategy using designed O-allyl amido ester (OAAE) ligands for palladium-catalyzed activation of γ-methylene and methine C−H sites in unbiased aliphatic carboxylic acids, derived from readily available fatty and cyclic acid feedstocks. This protocol enables direct transformation of aliphatic carboxylic acid substrates into distal desaturated γ-lactones and double dehydrogenated γ-spirolactones. Mechanistic studies are consistent with a pathway involving Pd(II)-mediated γ-C(sp3)−H activation, followed by dehydrogenation and intramolecular cyclization. These lactones with an unsaturated arm, serve as key intermediates for the formation of complex natural products and pharmaceuticals. For instance, muricatacin (from soursop/laxman phal) and its analogue were rapidly assembled in three steps from margaric acid using this strategy and evaluated for anticancer activity, thereby demonstrating the potential of our approach for providing a rapid access to biologically relevant frameworks for traditional medicine. The introduced distal desaturation further opens up new avenues for remote functionalization, streamlining access to diverse bioactive molecules with improved step and atom economy.</w:t>
      </w:r>
    </w:p>
    <w:p>
      <w:pPr>
        <w:spacing w:before="120" w:after="120"/>
      </w:pPr>
      <w:r>
        <w:rPr>
          <w:sz w:val="18"/>
        </w:rPr>
        <w:t>——————————————————————————————————————————————————————————————————————</w:t>
      </w:r>
    </w:p>
    <w:p>
      <w:pPr>
        <w:spacing w:before="160" w:after="40" w:line="240" w:lineRule="auto"/>
      </w:pPr>
      <w:r>
        <w:rPr>
          <w:b/>
        </w:rPr>
        <w:t xml:space="preserve">[411] </w:t>
      </w:r>
      <w:hyperlink r:id="rId1025">
        <w:r>
          <w:rPr>
            <w:color w:val="1155CC"/>
            <w:u w:val="single"/>
          </w:rPr>
          <w:t>碱基编辑揭示了 NANOG 在人类胚胎发生中的重要作用</w:t>
        </w:r>
      </w:hyperlink>
    </w:p>
    <w:p>
      <w:pPr>
        <w:spacing w:before="0" w:after="80"/>
      </w:pPr>
      <w:r>
        <w:rPr>
          <w:i/>
          <w:sz w:val="20"/>
        </w:rPr>
        <w:t>EN: Base editing reveals an essential role for NANOG in human embryogenesis</w:t>
      </w:r>
    </w:p>
    <w:p>
      <w:pPr>
        <w:spacing w:before="0" w:after="120"/>
      </w:pPr>
      <w:r>
        <w:rPr>
          <w:b/>
        </w:rPr>
        <w:t xml:space="preserve">Source: </w:t>
      </w:r>
      <w:r>
        <w:t>Nature</w:t>
      </w:r>
      <w:r>
        <w:t xml:space="preserve">    </w:t>
      </w:r>
      <w:r>
        <w:rPr>
          <w:b/>
        </w:rPr>
        <w:t xml:space="preserve">Pub date: </w:t>
      </w:r>
      <w:r>
        <w:t>2026-06-25 00:00:00+00:00</w:t>
      </w:r>
      <w:r>
        <w:t xml:space="preserve">    </w:t>
      </w:r>
      <w:r>
        <w:rPr>
          <w:b/>
        </w:rPr>
        <w:t xml:space="preserve">DOI: </w:t>
      </w:r>
      <w:hyperlink r:id="rId1026">
        <w:r>
          <w:rPr>
            <w:color w:val="1155CC"/>
            <w:u w:val="single"/>
          </w:rPr>
          <w:t>10.1038/s41586-026-10792-1</w:t>
        </w:r>
      </w:hyperlink>
    </w:p>
    <w:p>
      <w:pPr>
        <w:spacing w:before="0" w:after="120"/>
      </w:pPr>
      <w:r>
        <w:rPr>
          <w:b/>
        </w:rPr>
        <w:t xml:space="preserve">Notes: </w:t>
      </w:r>
      <w:r>
        <w:t>abstract_source=nature_html</w:t>
      </w:r>
    </w:p>
    <w:p>
      <w:pPr>
        <w:spacing w:before="0" w:after="80" w:lineRule="auto" w:line="276"/>
      </w:pPr>
      <w:r>
        <w:rPr>
          <w:b/>
        </w:rPr>
        <w:t xml:space="preserve">摘要（ZH）: </w:t>
      </w:r>
      <w:r>
        <w:t>了解人类发育中的第一个细胞谱系是如何被指定和维持的，对于再生医学、不孕症和流产具有根本重要性和临床意义。虽然小鼠模型为调控早期发育的转录因子提供了宝贵的见解，但将这些发现转化为人类胚胎却受到伦理、技术和生物学方面的限制。人类胚胎转录因子的功能研究受到基于核酸酶的基因组编辑方法的阻碍，这些方法会诱导基因毒性1-3。为了克服这个问题，我们应用腺嘌呤碱基编辑 (ABE8e)4,5 精确定位外显子剪接供体位点，导致 NANOG 的剪接缺陷和功能性敲除，这是碱基编辑首次应用于研究人类胚胎发育调节因子。这种方法不会引发遗传毒性，并且显示出有限的脱靶编辑。 NANOG 的缺失会破坏多能外胚层规范，细胞会分化为原始内胚层（卵黄囊）或滋养外胚层（胎盘）转录程序。 NANOG 编辑的人类胚胎中原始内胚层分化的保留揭示了与小鼠不同的功能补偿，强调了直接研究人类发育的重要性。我们的研究结果证明了 NANOG 在人类多能性和外胚层规范中的重要作用，并强调了碱基编辑在人类发育功能询问中的实用性。</w:t>
      </w:r>
    </w:p>
    <w:p>
      <w:pPr>
        <w:spacing w:before="0" w:after="200" w:lineRule="auto" w:line="276"/>
      </w:pPr>
      <w:r>
        <w:rPr>
          <w:b/>
        </w:rPr>
        <w:t xml:space="preserve">Abstract (EN): </w:t>
      </w:r>
      <w:r>
        <w:t>Understanding how the first cell lineages in human development are specified and maintained has fundamental importance and clinical implications for regenerative medicine, infertility and pregnancy loss. While mouse models have provided valuable insights into transcription factors regulating early development, translating these findings to human embryos has been limited by ethical, technical and biological constraints. Functional studies of transcription factors in human embryos have been hindered by nuclease-based genome-editing approaches that induce genotoxicity1-3. To overcome this, we applied adenine base editing (ABE8e)4,5 to precisely target an exon splice donor site, resulting in a splicing defect and functional knockout of NANOG, representing the first application of base editing to study a developmental regulator in human embryos. This approach did not trigger genotoxicity and showed limited off-target editing. Loss of NANOG disrupts pluripotent epiblast specification and instead cells differentiate toward a primitive endoderm (yolk sac) or trophectoderm (placental) transcriptional programme. Retention of primitive endoderm differentiation in NANOG-edited human embryos reveals a functional compensation distinct from mouse, underscoring the importance of directly investigating human development. Our findings demonstrate an essential role for NANOG in human pluripotency and epiblast specification, and highlight the utility of base editing for functional interrogation of human development.</w:t>
      </w:r>
    </w:p>
    <w:p>
      <w:pPr>
        <w:spacing w:before="120" w:after="120"/>
      </w:pPr>
      <w:r>
        <w:rPr>
          <w:sz w:val="18"/>
        </w:rPr>
        <w:t>——————————————————————————————————————————————————————————————————————</w:t>
      </w:r>
    </w:p>
    <w:p>
      <w:pPr>
        <w:spacing w:before="160" w:after="40" w:line="240" w:lineRule="auto"/>
      </w:pPr>
      <w:r>
        <w:rPr>
          <w:b/>
        </w:rPr>
        <w:t xml:space="preserve">[412] </w:t>
      </w:r>
      <w:hyperlink r:id="rId1027">
        <w:r>
          <w:rPr>
            <w:color w:val="1155CC"/>
            <w:u w:val="single"/>
          </w:rPr>
          <w:t>噢噢，哈哈：为什么人类和类人猿被挠痒痒时都会咯咯笑</w:t>
        </w:r>
      </w:hyperlink>
    </w:p>
    <w:p>
      <w:pPr>
        <w:spacing w:before="0" w:after="80"/>
      </w:pPr>
      <w:r>
        <w:rPr>
          <w:i/>
          <w:sz w:val="20"/>
        </w:rPr>
        <w:t>EN: Oo oo, ha ha: why humans and great apes giggle alike when tickled</w:t>
      </w:r>
    </w:p>
    <w:p>
      <w:pPr>
        <w:spacing w:before="0" w:after="120"/>
      </w:pPr>
      <w:r>
        <w:rPr>
          <w:b/>
        </w:rPr>
        <w:t xml:space="preserve">Source: </w:t>
      </w:r>
      <w:r>
        <w:t>Nature</w:t>
      </w:r>
      <w:r>
        <w:t xml:space="preserve">    </w:t>
      </w:r>
      <w:r>
        <w:rPr>
          <w:b/>
        </w:rPr>
        <w:t xml:space="preserve">Pub date: </w:t>
      </w:r>
      <w:r>
        <w:t>2026-06-25 00:00:00+00:00</w:t>
      </w:r>
      <w:r>
        <w:t xml:space="preserve">    </w:t>
      </w:r>
      <w:r>
        <w:rPr>
          <w:b/>
        </w:rPr>
        <w:t xml:space="preserve">DOI: </w:t>
      </w:r>
      <w:hyperlink r:id="rId1028">
        <w:r>
          <w:rPr>
            <w:color w:val="1155CC"/>
            <w:u w:val="single"/>
          </w:rPr>
          <w:t>10.1038/d41586-026-01994-8</w:t>
        </w:r>
      </w:hyperlink>
    </w:p>
    <w:p>
      <w:pPr>
        <w:spacing w:before="0" w:after="120"/>
      </w:pPr>
      <w:r>
        <w:rPr>
          <w:b/>
        </w:rPr>
        <w:t xml:space="preserve">Notes: </w:t>
      </w:r>
      <w:r>
        <w:t>abstract_source=nature_html</w:t>
      </w:r>
    </w:p>
    <w:p>
      <w:pPr>
        <w:spacing w:before="0" w:after="80" w:lineRule="auto" w:line="276"/>
      </w:pPr>
      <w:r>
        <w:rPr>
          <w:b/>
        </w:rPr>
        <w:t xml:space="preserve">摘要（ZH）: </w:t>
      </w:r>
      <w:r>
        <w:t>在猿类和人类身上发现的笑声的节奏模式表明，复杂的灵长类动物声音控制可能在 1500 万年前就开始进化。在猿类和人类身上发现的笑声的节奏模式表明，复杂的灵长类动物声音控制可能在 1500 万年前就开始进化。</w:t>
      </w:r>
    </w:p>
    <w:p>
      <w:pPr>
        <w:spacing w:before="0" w:after="200" w:lineRule="auto" w:line="276"/>
      </w:pPr>
      <w:r>
        <w:rPr>
          <w:b/>
        </w:rPr>
        <w:t xml:space="preserve">Abstract (EN): </w:t>
      </w:r>
      <w:r>
        <w:t>The rhythmic patterns of laughter found in apes and humans reveal that complex primate vocal control might have started evolving 15 million years ago. The rhythmic patterns of laughter found in apes and humans reveal that complex primate vocal control might have started evolving 15 million years ago.</w:t>
      </w:r>
    </w:p>
    <w:p>
      <w:pPr>
        <w:spacing w:before="120" w:after="120"/>
      </w:pPr>
      <w:r>
        <w:rPr>
          <w:sz w:val="18"/>
        </w:rPr>
        <w:t>——————————————————————————————————————————————————————————————————————</w:t>
      </w:r>
    </w:p>
    <w:p>
      <w:pPr>
        <w:spacing w:before="160" w:after="40" w:line="240" w:lineRule="auto"/>
      </w:pPr>
      <w:r>
        <w:rPr>
          <w:b/>
        </w:rPr>
        <w:t xml:space="preserve">[413] </w:t>
      </w:r>
      <w:hyperlink r:id="rId1029">
        <w:r>
          <w:rPr>
            <w:color w:val="1155CC"/>
            <w:u w:val="single"/>
          </w:rPr>
          <w:t>美国资金的不确定性可能会导致全球关键海洋学项目陷入困境</w:t>
        </w:r>
      </w:hyperlink>
    </w:p>
    <w:p>
      <w:pPr>
        <w:spacing w:before="0" w:after="80"/>
      </w:pPr>
      <w:r>
        <w:rPr>
          <w:i/>
          <w:sz w:val="20"/>
        </w:rPr>
        <w:t>EN: US funding uncertainties threaten to sink key global oceanography projects</w:t>
      </w:r>
    </w:p>
    <w:p>
      <w:pPr>
        <w:spacing w:before="0" w:after="120"/>
      </w:pPr>
      <w:r>
        <w:rPr>
          <w:b/>
        </w:rPr>
        <w:t xml:space="preserve">Source: </w:t>
      </w:r>
      <w:r>
        <w:t>Nature</w:t>
      </w:r>
      <w:r>
        <w:t xml:space="preserve">    </w:t>
      </w:r>
      <w:r>
        <w:rPr>
          <w:b/>
        </w:rPr>
        <w:t xml:space="preserve">Pub date: </w:t>
      </w:r>
      <w:r>
        <w:t>2026-06-25 00:00:00+00:00</w:t>
      </w:r>
      <w:r>
        <w:t xml:space="preserve">    </w:t>
      </w:r>
      <w:r>
        <w:rPr>
          <w:b/>
        </w:rPr>
        <w:t xml:space="preserve">DOI: </w:t>
      </w:r>
      <w:hyperlink r:id="rId1030">
        <w:r>
          <w:rPr>
            <w:color w:val="1155CC"/>
            <w:u w:val="single"/>
          </w:rPr>
          <w:t>10.1038/d41586-026-02028-z</w:t>
        </w:r>
      </w:hyperlink>
    </w:p>
    <w:p>
      <w:pPr>
        <w:spacing w:before="0" w:after="120"/>
      </w:pPr>
      <w:r>
        <w:rPr>
          <w:b/>
        </w:rPr>
        <w:t xml:space="preserve">Notes: </w:t>
      </w:r>
      <w:r>
        <w:t>abstract_source=nature_html</w:t>
      </w:r>
    </w:p>
    <w:p>
      <w:pPr>
        <w:spacing w:before="0" w:after="80" w:lineRule="auto" w:line="276"/>
      </w:pPr>
      <w:r>
        <w:rPr>
          <w:b/>
        </w:rPr>
        <w:t xml:space="preserve">摘要（ZH）: </w:t>
      </w:r>
      <w:r>
        <w:t>美国在海洋观测方面处于世界领先地位，但削减和削减威胁让研究人员担心美国不再是可靠的合作伙伴。美国在海洋观测方面处于世界领先地位，但削减和削减威胁让研究人员担心美国不再是可靠的合作伙伴。</w:t>
      </w:r>
    </w:p>
    <w:p>
      <w:pPr>
        <w:spacing w:before="0" w:after="200" w:lineRule="auto" w:line="276"/>
      </w:pPr>
      <w:r>
        <w:rPr>
          <w:b/>
        </w:rPr>
        <w:t xml:space="preserve">Abstract (EN): </w:t>
      </w:r>
      <w:r>
        <w:t>The United States has led the world in observing the oceans – but cuts and threats of cuts have researchers worried it is no longer a reliable partner. The United States has led the world in observing the oceans – but cuts and threats of cuts have researchers worried it is no longer a reliable partner.</w:t>
      </w:r>
    </w:p>
    <w:p>
      <w:pPr>
        <w:spacing w:before="120" w:after="120"/>
      </w:pPr>
      <w:r>
        <w:rPr>
          <w:sz w:val="18"/>
        </w:rPr>
        <w:t>——————————————————————————————————————————————————————————————————————</w:t>
      </w:r>
    </w:p>
    <w:p>
      <w:pPr>
        <w:spacing w:before="160" w:after="40" w:line="240" w:lineRule="auto"/>
      </w:pPr>
      <w:r>
        <w:rPr>
          <w:b/>
        </w:rPr>
        <w:t xml:space="preserve">[414] </w:t>
      </w:r>
      <w:hyperlink r:id="rId1031">
        <w:r>
          <w:rPr>
            <w:color w:val="1155CC"/>
            <w:u w:val="single"/>
          </w:rPr>
          <w:t>你能改造火星吗？尝试一下大自然的游戏</w:t>
        </w:r>
      </w:hyperlink>
    </w:p>
    <w:p>
      <w:pPr>
        <w:spacing w:before="0" w:after="80"/>
      </w:pPr>
      <w:r>
        <w:rPr>
          <w:i/>
          <w:sz w:val="20"/>
        </w:rPr>
        <w:t>EN: Can you terraform Mars? Try Nature’s game</w:t>
      </w:r>
    </w:p>
    <w:p>
      <w:pPr>
        <w:spacing w:before="0" w:after="120"/>
      </w:pPr>
      <w:r>
        <w:rPr>
          <w:b/>
        </w:rPr>
        <w:t xml:space="preserve">Source: </w:t>
      </w:r>
      <w:r>
        <w:t>Nature</w:t>
      </w:r>
      <w:r>
        <w:t xml:space="preserve">    </w:t>
      </w:r>
      <w:r>
        <w:rPr>
          <w:b/>
        </w:rPr>
        <w:t xml:space="preserve">Pub date: </w:t>
      </w:r>
      <w:r>
        <w:t>2026-06-25 00:00:00+00:00</w:t>
      </w:r>
      <w:r>
        <w:t xml:space="preserve">    </w:t>
      </w:r>
      <w:r>
        <w:rPr>
          <w:b/>
        </w:rPr>
        <w:t xml:space="preserve">DOI: </w:t>
      </w:r>
      <w:hyperlink r:id="rId1032">
        <w:r>
          <w:rPr>
            <w:color w:val="1155CC"/>
            <w:u w:val="single"/>
          </w:rPr>
          <w:t>10.1038/d41586-026-01978-8</w:t>
        </w:r>
      </w:hyperlink>
    </w:p>
    <w:p>
      <w:pPr>
        <w:spacing w:before="0" w:after="120"/>
      </w:pPr>
      <w:r>
        <w:rPr>
          <w:b/>
        </w:rPr>
        <w:t xml:space="preserve">Notes: </w:t>
      </w:r>
      <w:r>
        <w:t>abstract_source=nature_html</w:t>
      </w:r>
    </w:p>
    <w:p>
      <w:pPr>
        <w:spacing w:before="0" w:after="80" w:lineRule="auto" w:line="276"/>
      </w:pPr>
      <w:r>
        <w:rPr>
          <w:b/>
        </w:rPr>
        <w:t xml:space="preserve">摘要（ZH）: </w:t>
      </w:r>
      <w:r>
        <w:t>让火星变得适宜居住的想法一度只存在于科幻小说中，但现在却越来越受到人们的关注。 《自然》杂志咨询了主要科学家来开发这一实验冒险。</w:t>
      </w:r>
    </w:p>
    <w:p>
      <w:pPr>
        <w:spacing w:before="0" w:after="200" w:lineRule="auto" w:line="276"/>
      </w:pPr>
      <w:r>
        <w:rPr>
          <w:b/>
        </w:rPr>
        <w:t xml:space="preserve">Abstract (EN): </w:t>
      </w:r>
      <w:r>
        <w:t>Once the realm of science fiction, the idea of making Mars habitable is gaining traction. Nature consulted with key scientists to develop this experimental adventure.</w:t>
      </w:r>
    </w:p>
    <w:p>
      <w:pPr>
        <w:spacing w:before="120" w:after="120"/>
      </w:pPr>
      <w:r>
        <w:rPr>
          <w:sz w:val="18"/>
        </w:rPr>
        <w:t>——————————————————————————————————————————————————————————————————————</w:t>
      </w:r>
    </w:p>
    <w:p>
      <w:pPr>
        <w:spacing w:before="160" w:after="40" w:line="240" w:lineRule="auto"/>
      </w:pPr>
      <w:r>
        <w:rPr>
          <w:b/>
        </w:rPr>
        <w:t xml:space="preserve">[415] </w:t>
      </w:r>
      <w:hyperlink r:id="rId1033">
        <w:r>
          <w:rPr>
            <w:color w:val="1155CC"/>
            <w:u w:val="single"/>
          </w:rPr>
          <w:t>使用强大的医学研究工具的论文数量的增加引起了人们的关注</w:t>
        </w:r>
      </w:hyperlink>
    </w:p>
    <w:p>
      <w:pPr>
        <w:spacing w:before="0" w:after="80"/>
      </w:pPr>
      <w:r>
        <w:rPr>
          <w:i/>
          <w:sz w:val="20"/>
        </w:rPr>
        <w:t>EN: Rise in papers using powerful medical research tool raises concern</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34">
        <w:r>
          <w:rPr>
            <w:color w:val="1155CC"/>
            <w:u w:val="single"/>
          </w:rPr>
          <w:t>10.1126/science.aej9810</w:t>
        </w:r>
      </w:hyperlink>
    </w:p>
    <w:p>
      <w:pPr>
        <w:spacing w:before="0" w:after="120"/>
      </w:pPr>
      <w:r>
        <w:rPr>
          <w:b/>
        </w:rPr>
        <w:t xml:space="preserve">Notes: </w:t>
      </w:r>
      <w:r>
        <w:t>abstract_source=crossref</w:t>
      </w:r>
    </w:p>
    <w:p>
      <w:pPr>
        <w:spacing w:before="0" w:after="80" w:lineRule="auto" w:line="276"/>
      </w:pPr>
      <w:r>
        <w:rPr>
          <w:b/>
        </w:rPr>
        <w:t xml:space="preserve">摘要（ZH）: </w:t>
      </w:r>
      <w:r>
        <w:t>TriNetX 的内置分析工具助长了报告误导性结果的出版物</w:t>
      </w:r>
    </w:p>
    <w:p>
      <w:pPr>
        <w:spacing w:before="0" w:after="200" w:lineRule="auto" w:line="276"/>
      </w:pPr>
      <w:r>
        <w:rPr>
          <w:b/>
        </w:rPr>
        <w:t xml:space="preserve">Abstract (EN): </w:t>
      </w:r>
      <w:r>
        <w:t>TriNetX’s built-in analysis tools fuel easy publications reporting misleading results</w:t>
      </w:r>
    </w:p>
    <w:p>
      <w:pPr>
        <w:spacing w:before="120" w:after="120"/>
      </w:pPr>
      <w:r>
        <w:rPr>
          <w:sz w:val="18"/>
        </w:rPr>
        <w:t>——————————————————————————————————————————————————————————————————————</w:t>
      </w:r>
    </w:p>
    <w:p>
      <w:pPr>
        <w:spacing w:before="160" w:after="40" w:line="240" w:lineRule="auto"/>
      </w:pPr>
      <w:r>
        <w:rPr>
          <w:b/>
        </w:rPr>
        <w:t xml:space="preserve">[416] </w:t>
      </w:r>
      <w:hyperlink r:id="rId1035">
        <w:r>
          <w:rPr>
            <w:color w:val="1155CC"/>
            <w:u w:val="single"/>
          </w:rPr>
          <w:t>有害藻华的协调消亡</w:t>
        </w:r>
      </w:hyperlink>
    </w:p>
    <w:p>
      <w:pPr>
        <w:spacing w:before="0" w:after="80"/>
      </w:pPr>
      <w:r>
        <w:rPr>
          <w:i/>
          <w:sz w:val="20"/>
        </w:rPr>
        <w:t>EN: Coordinated demise of harmful algal blooms</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36">
        <w:r>
          <w:rPr>
            <w:color w:val="1155CC"/>
            <w:u w:val="single"/>
          </w:rPr>
          <w:t>10.1126/science.aei7111</w:t>
        </w:r>
      </w:hyperlink>
    </w:p>
    <w:p>
      <w:pPr>
        <w:spacing w:before="0" w:after="120"/>
      </w:pPr>
      <w:r>
        <w:rPr>
          <w:b/>
        </w:rPr>
        <w:t xml:space="preserve">Notes: </w:t>
      </w:r>
      <w:r>
        <w:t>abstract_source=crossref</w:t>
      </w:r>
    </w:p>
    <w:p>
      <w:pPr>
        <w:spacing w:before="0" w:after="80" w:lineRule="auto" w:line="276"/>
      </w:pPr>
      <w:r>
        <w:rPr>
          <w:b/>
        </w:rPr>
        <w:t xml:space="preserve">摘要（ZH）: </w:t>
      </w:r>
      <w:r>
        <w:t>铁介导的程序性细胞死亡通过有毒蓝藻菌落传播</w:t>
      </w:r>
    </w:p>
    <w:p>
      <w:pPr>
        <w:spacing w:before="0" w:after="200" w:lineRule="auto" w:line="276"/>
      </w:pPr>
      <w:r>
        <w:rPr>
          <w:b/>
        </w:rPr>
        <w:t xml:space="preserve">Abstract (EN): </w:t>
      </w:r>
      <w:r>
        <w:t>Iron-mediated programmed cell death spreads through colonies of toxic cyanobacteria</w:t>
      </w:r>
    </w:p>
    <w:p>
      <w:pPr>
        <w:spacing w:before="120" w:after="120"/>
      </w:pPr>
      <w:r>
        <w:rPr>
          <w:sz w:val="18"/>
        </w:rPr>
        <w:t>——————————————————————————————————————————————————————————————————————</w:t>
      </w:r>
    </w:p>
    <w:p>
      <w:pPr>
        <w:spacing w:before="160" w:after="40" w:line="240" w:lineRule="auto"/>
      </w:pPr>
      <w:r>
        <w:rPr>
          <w:b/>
        </w:rPr>
        <w:t xml:space="preserve">[417] </w:t>
      </w:r>
      <w:hyperlink r:id="rId1037">
        <w:r>
          <w:rPr>
            <w:color w:val="1155CC"/>
            <w:u w:val="single"/>
          </w:rPr>
          <w:t>撞击塑造了地球上的第一块大陆</w:t>
        </w:r>
      </w:hyperlink>
    </w:p>
    <w:p>
      <w:pPr>
        <w:spacing w:before="0" w:after="80"/>
      </w:pPr>
      <w:r>
        <w:rPr>
          <w:i/>
          <w:sz w:val="20"/>
        </w:rPr>
        <w:t>EN: Impacts shaped Earth’s first continents</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38">
        <w:r>
          <w:rPr>
            <w:color w:val="1155CC"/>
            <w:u w:val="single"/>
          </w:rPr>
          <w:t>10.1126/science.aei7140</w:t>
        </w:r>
      </w:hyperlink>
    </w:p>
    <w:p>
      <w:pPr>
        <w:spacing w:before="0" w:after="120"/>
      </w:pPr>
      <w:r>
        <w:rPr>
          <w:b/>
        </w:rPr>
        <w:t xml:space="preserve">Notes: </w:t>
      </w:r>
      <w:r>
        <w:t>abstract_source=crossref</w:t>
      </w:r>
    </w:p>
    <w:p>
      <w:pPr>
        <w:spacing w:before="0" w:after="80" w:lineRule="auto" w:line="276"/>
      </w:pPr>
      <w:r>
        <w:rPr>
          <w:b/>
        </w:rPr>
        <w:t xml:space="preserve">摘要（ZH）: </w:t>
      </w:r>
      <w:r>
        <w:t>大型撞击产生的热量可能已经融化了地球最早的地壳的大部分</w:t>
      </w:r>
    </w:p>
    <w:p>
      <w:pPr>
        <w:spacing w:before="0" w:after="200" w:lineRule="auto" w:line="276"/>
      </w:pPr>
      <w:r>
        <w:rPr>
          <w:b/>
        </w:rPr>
        <w:t xml:space="preserve">Abstract (EN): </w:t>
      </w:r>
      <w:r>
        <w:t>Heat from large impacts may have melted most of Earth’s earliest crust</w:t>
      </w:r>
    </w:p>
    <w:p>
      <w:pPr>
        <w:spacing w:before="120" w:after="120"/>
      </w:pPr>
      <w:r>
        <w:rPr>
          <w:sz w:val="18"/>
        </w:rPr>
        <w:t>——————————————————————————————————————————————————————————————————————</w:t>
      </w:r>
    </w:p>
    <w:p>
      <w:pPr>
        <w:spacing w:before="160" w:after="40" w:line="240" w:lineRule="auto"/>
      </w:pPr>
      <w:r>
        <w:rPr>
          <w:b/>
        </w:rPr>
        <w:t xml:space="preserve">[418] </w:t>
      </w:r>
      <w:hyperlink r:id="rId1039">
        <w:r>
          <w:rPr>
            <w:color w:val="1155CC"/>
            <w:u w:val="single"/>
          </w:rPr>
          <w:t>一个古老的谜团：失踪的男性</w:t>
        </w:r>
      </w:hyperlink>
    </w:p>
    <w:p>
      <w:pPr>
        <w:spacing w:before="0" w:after="80"/>
      </w:pPr>
      <w:r>
        <w:rPr>
          <w:i/>
          <w:sz w:val="20"/>
        </w:rPr>
        <w:t>EN: An ancient mystery: missing males</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40">
        <w:r>
          <w:rPr>
            <w:color w:val="1155CC"/>
            <w:u w:val="single"/>
          </w:rPr>
          <w:t>10.1126/science.aej9809</w:t>
        </w:r>
      </w:hyperlink>
    </w:p>
    <w:p>
      <w:pPr>
        <w:spacing w:before="0" w:after="120"/>
      </w:pPr>
      <w:r>
        <w:rPr>
          <w:b/>
        </w:rPr>
        <w:t xml:space="preserve">Notes: </w:t>
      </w:r>
      <w:r>
        <w:t>abstract_source=crossref</w:t>
      </w:r>
    </w:p>
    <w:p>
      <w:pPr>
        <w:spacing w:before="0" w:after="80" w:lineRule="auto" w:line="276"/>
      </w:pPr>
      <w:r>
        <w:rPr>
          <w:b/>
        </w:rPr>
        <w:t xml:space="preserve">摘要（ZH）: </w:t>
      </w:r>
      <w:r>
        <w:t>化石蛋白显示在南非洞穴中发现的已灭绝人类物种的 20 名成员是女性</w:t>
      </w:r>
    </w:p>
    <w:p>
      <w:pPr>
        <w:spacing w:before="0" w:after="200" w:lineRule="auto" w:line="276"/>
      </w:pPr>
      <w:r>
        <w:rPr>
          <w:b/>
        </w:rPr>
        <w:t xml:space="preserve">Abstract (EN): </w:t>
      </w:r>
      <w:r>
        <w:t>Fossil proteins show 20 members of an extinct human species found in a South African cave were female</w:t>
      </w:r>
    </w:p>
    <w:p>
      <w:pPr>
        <w:spacing w:before="120" w:after="120"/>
      </w:pPr>
      <w:r>
        <w:rPr>
          <w:sz w:val="18"/>
        </w:rPr>
        <w:t>——————————————————————————————————————————————————————————————————————</w:t>
      </w:r>
    </w:p>
    <w:p>
      <w:pPr>
        <w:spacing w:before="160" w:after="40" w:line="240" w:lineRule="auto"/>
      </w:pPr>
      <w:r>
        <w:rPr>
          <w:b/>
        </w:rPr>
        <w:t xml:space="preserve">[419] </w:t>
      </w:r>
      <w:hyperlink r:id="rId1041">
        <w:r>
          <w:rPr>
            <w:color w:val="1155CC"/>
            <w:u w:val="single"/>
          </w:rPr>
          <w:t>NSF 是否已削减研究以支持技术计划？</w:t>
        </w:r>
      </w:hyperlink>
    </w:p>
    <w:p>
      <w:pPr>
        <w:spacing w:before="0" w:after="80"/>
      </w:pPr>
      <w:r>
        <w:rPr>
          <w:i/>
          <w:sz w:val="20"/>
        </w:rPr>
        <w:t>EN: Has NSF slashed research to support tech initiative?</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42">
        <w:r>
          <w:rPr>
            <w:color w:val="1155CC"/>
            <w:u w:val="single"/>
          </w:rPr>
          <w:t>10.1126/science.aej9811</w:t>
        </w:r>
      </w:hyperlink>
    </w:p>
    <w:p>
      <w:pPr>
        <w:spacing w:before="0" w:after="120"/>
      </w:pPr>
      <w:r>
        <w:rPr>
          <w:b/>
        </w:rPr>
        <w:t xml:space="preserve">Notes: </w:t>
      </w:r>
      <w:r>
        <w:t>abstract_source=crossref</w:t>
      </w:r>
    </w:p>
    <w:p>
      <w:pPr>
        <w:spacing w:before="0" w:after="80" w:lineRule="auto" w:line="276"/>
      </w:pPr>
      <w:r>
        <w:rPr>
          <w:b/>
        </w:rPr>
        <w:t xml:space="preserve">摘要（ZH）: </w:t>
      </w:r>
      <w:r>
        <w:t>资金转移迟来意味着赠款急剧下降</w:t>
      </w:r>
    </w:p>
    <w:p>
      <w:pPr>
        <w:spacing w:before="0" w:after="200" w:lineRule="auto" w:line="276"/>
      </w:pPr>
      <w:r>
        <w:rPr>
          <w:b/>
        </w:rPr>
        <w:t xml:space="preserve">Abstract (EN): </w:t>
      </w:r>
      <w:r>
        <w:t>Belated shift in funds has meant sharp drop in grants</w:t>
      </w:r>
    </w:p>
    <w:p>
      <w:pPr>
        <w:spacing w:before="120" w:after="120"/>
      </w:pPr>
      <w:r>
        <w:rPr>
          <w:sz w:val="18"/>
        </w:rPr>
        <w:t>——————————————————————————————————————————————————————————————————————</w:t>
      </w:r>
    </w:p>
    <w:p>
      <w:pPr>
        <w:spacing w:before="160" w:after="40" w:line="240" w:lineRule="auto"/>
      </w:pPr>
      <w:r>
        <w:rPr>
          <w:b/>
        </w:rPr>
        <w:t xml:space="preserve">[420] </w:t>
      </w:r>
      <w:hyperlink r:id="rId1043">
        <w:r>
          <w:rPr>
            <w:color w:val="1155CC"/>
            <w:u w:val="single"/>
          </w:rPr>
          <w:t>遗传效应的背景</w:t>
        </w:r>
      </w:hyperlink>
    </w:p>
    <w:p>
      <w:pPr>
        <w:spacing w:before="0" w:after="80"/>
      </w:pPr>
      <w:r>
        <w:rPr>
          <w:i/>
          <w:sz w:val="20"/>
        </w:rPr>
        <w:t>EN: Genetic effects put into context</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44">
        <w:r>
          <w:rPr>
            <w:color w:val="1155CC"/>
            <w:u w:val="single"/>
          </w:rPr>
          <w:t>10.1126/science.aei6085</w:t>
        </w:r>
      </w:hyperlink>
    </w:p>
    <w:p>
      <w:pPr>
        <w:spacing w:before="0" w:after="120"/>
      </w:pPr>
      <w:r>
        <w:rPr>
          <w:b/>
        </w:rPr>
        <w:t xml:space="preserve">Notes: </w:t>
      </w:r>
      <w:r>
        <w:t>abstract_source=crossref</w:t>
      </w:r>
    </w:p>
    <w:p>
      <w:pPr>
        <w:spacing w:before="0" w:after="80" w:lineRule="auto" w:line="276"/>
      </w:pPr>
      <w:r>
        <w:rPr>
          <w:b/>
        </w:rPr>
        <w:t xml:space="preserve">摘要（ZH）: </w:t>
      </w:r>
      <w:r>
        <w:t>神经元的生理状态控制与精神疾病相关的基因变异的表达</w:t>
      </w:r>
    </w:p>
    <w:p>
      <w:pPr>
        <w:spacing w:before="0" w:after="200" w:lineRule="auto" w:line="276"/>
      </w:pPr>
      <w:r>
        <w:rPr>
          <w:b/>
        </w:rPr>
        <w:t xml:space="preserve">Abstract (EN): </w:t>
      </w:r>
      <w:r>
        <w:t>The physiological state of neurons controls the expression of gene variants linked with psychiatric disease</w:t>
      </w:r>
    </w:p>
    <w:p>
      <w:pPr>
        <w:spacing w:before="120" w:after="120"/>
      </w:pPr>
      <w:r>
        <w:rPr>
          <w:sz w:val="18"/>
        </w:rPr>
        <w:t>——————————————————————————————————————————————————————————————————————</w:t>
      </w:r>
    </w:p>
    <w:p>
      <w:pPr>
        <w:spacing w:before="160" w:after="40" w:line="240" w:lineRule="auto"/>
      </w:pPr>
      <w:r>
        <w:rPr>
          <w:b/>
        </w:rPr>
        <w:t xml:space="preserve">[421] </w:t>
      </w:r>
      <w:hyperlink r:id="rId1045">
        <w:r>
          <w:rPr>
            <w:color w:val="1155CC"/>
            <w:u w:val="single"/>
          </w:rPr>
          <w:t>文字与世界</w:t>
        </w:r>
      </w:hyperlink>
    </w:p>
    <w:p>
      <w:pPr>
        <w:spacing w:before="0" w:after="80"/>
      </w:pPr>
      <w:r>
        <w:rPr>
          <w:i/>
          <w:sz w:val="20"/>
        </w:rPr>
        <w:t>EN: Words vs. worlds</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46">
        <w:r>
          <w:rPr>
            <w:color w:val="1155CC"/>
            <w:u w:val="single"/>
          </w:rPr>
          <w:t>10.1126/science.aej9814</w:t>
        </w:r>
      </w:hyperlink>
    </w:p>
    <w:p>
      <w:pPr>
        <w:spacing w:before="0" w:after="120"/>
      </w:pPr>
      <w:r>
        <w:rPr>
          <w:b/>
        </w:rPr>
        <w:t xml:space="preserve">Notes: </w:t>
      </w:r>
      <w:r>
        <w:t>abstract_source=crossref</w:t>
      </w:r>
    </w:p>
    <w:p>
      <w:pPr>
        <w:spacing w:before="0" w:after="80" w:lineRule="auto" w:line="276"/>
      </w:pPr>
      <w:r>
        <w:rPr>
          <w:b/>
        </w:rPr>
        <w:t xml:space="preserve">摘要（ZH）: </w:t>
      </w:r>
      <w:r>
        <w:t>随着构建更大更好的聊天机器人变得越来越困难，人工智能研究人员转向在模拟世界中学习的代理</w:t>
      </w:r>
    </w:p>
    <w:p>
      <w:pPr>
        <w:spacing w:before="0" w:after="200" w:lineRule="auto" w:line="276"/>
      </w:pPr>
      <w:r>
        <w:rPr>
          <w:b/>
        </w:rPr>
        <w:t xml:space="preserve">Abstract (EN): </w:t>
      </w:r>
      <w:r>
        <w:t>As building bigger and better chatbots gets harder, AI researchers turn to agents that learn in simulated worlds</w:t>
      </w:r>
    </w:p>
    <w:p>
      <w:pPr>
        <w:spacing w:before="120" w:after="120"/>
      </w:pPr>
      <w:r>
        <w:rPr>
          <w:sz w:val="18"/>
        </w:rPr>
        <w:t>——————————————————————————————————————————————————————————————————————</w:t>
      </w:r>
    </w:p>
    <w:p>
      <w:pPr>
        <w:spacing w:before="160" w:after="40" w:line="240" w:lineRule="auto"/>
      </w:pPr>
      <w:r>
        <w:rPr>
          <w:b/>
        </w:rPr>
        <w:t xml:space="preserve">[422] </w:t>
      </w:r>
      <w:hyperlink r:id="rId1047">
        <w:r>
          <w:rPr>
            <w:color w:val="1155CC"/>
            <w:u w:val="single"/>
          </w:rPr>
          <w:t>科学家将在北极冰层中漂流8个月</w:t>
        </w:r>
      </w:hyperlink>
    </w:p>
    <w:p>
      <w:pPr>
        <w:spacing w:before="0" w:after="80"/>
      </w:pPr>
      <w:r>
        <w:rPr>
          <w:i/>
          <w:sz w:val="20"/>
        </w:rPr>
        <w:t>EN: Scientists to spend 8 months drifting in Arctic ice</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48">
        <w:r>
          <w:rPr>
            <w:color w:val="1155CC"/>
            <w:u w:val="single"/>
          </w:rPr>
          <w:t>10.1126/science.aej9812</w:t>
        </w:r>
      </w:hyperlink>
    </w:p>
    <w:p>
      <w:pPr>
        <w:spacing w:before="0" w:after="120"/>
      </w:pPr>
      <w:r>
        <w:rPr>
          <w:b/>
        </w:rPr>
        <w:t xml:space="preserve">Notes: </w:t>
      </w:r>
      <w:r>
        <w:t>abstract_source=crossref</w:t>
      </w:r>
    </w:p>
    <w:p>
      <w:pPr>
        <w:spacing w:before="0" w:after="80" w:lineRule="auto" w:line="276"/>
      </w:pPr>
      <w:r>
        <w:rPr>
          <w:b/>
        </w:rPr>
        <w:t xml:space="preserve">摘要（ZH）: </w:t>
      </w:r>
      <w:r>
        <w:t>的</w:t>
      </w:r>
      <w:r>
        <w:t xml:space="preserve"> </w:t>
      </w:r>
      <w:r>
        <w:t>塔拉极地站</w:t>
      </w:r>
      <w:r>
        <w:t xml:space="preserve"> </w:t>
      </w:r>
      <w:r>
        <w:t>定于下个月启动，旨在探索北冰洋中部的生物学</w:t>
      </w:r>
    </w:p>
    <w:p>
      <w:pPr>
        <w:spacing w:before="0" w:after="200" w:lineRule="auto" w:line="276"/>
      </w:pPr>
      <w:r>
        <w:rPr>
          <w:b/>
        </w:rPr>
        <w:t xml:space="preserve">Abstract (EN): </w:t>
      </w:r>
      <w:r>
        <w:t>The</w:t>
      </w:r>
      <w:r>
        <w:t xml:space="preserve"> </w:t>
      </w:r>
      <w:r>
        <w:t>Tara Polar Station</w:t>
      </w:r>
      <w:r>
        <w:t xml:space="preserve"> </w:t>
      </w:r>
      <w:r>
        <w:t>, set to launch next month, aims to probe biology of the central Arctic Ocean</w:t>
      </w:r>
    </w:p>
    <w:p>
      <w:pPr>
        <w:spacing w:before="120" w:after="120"/>
      </w:pPr>
      <w:r>
        <w:rPr>
          <w:sz w:val="18"/>
        </w:rPr>
        <w:t>——————————————————————————————————————————————————————————————————————</w:t>
      </w:r>
    </w:p>
    <w:p>
      <w:pPr>
        <w:spacing w:before="160" w:after="40" w:line="240" w:lineRule="auto"/>
      </w:pPr>
      <w:r>
        <w:rPr>
          <w:b/>
        </w:rPr>
        <w:t xml:space="preserve">[423] </w:t>
      </w:r>
      <w:hyperlink r:id="rId1049">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50">
        <w:r>
          <w:rPr>
            <w:color w:val="1155CC"/>
            <w:u w:val="single"/>
          </w:rPr>
          <w:t>10.1126/science.aej9372</w:t>
        </w:r>
      </w:hyperlink>
    </w:p>
    <w:p>
      <w:pPr>
        <w:spacing w:before="0" w:after="120"/>
      </w:pPr>
      <w:r>
        <w:rPr>
          <w:b/>
        </w:rPr>
        <w:t xml:space="preserve">Notes: </w:t>
      </w:r>
      <w:r>
        <w:t>abstract_source=crossref</w:t>
      </w:r>
    </w:p>
    <w:p>
      <w:pPr>
        <w:spacing w:before="0" w:after="80" w:lineRule="auto" w:line="276"/>
      </w:pPr>
      <w:r>
        <w:rPr>
          <w:b/>
        </w:rPr>
        <w:t xml:space="preserve">摘要（ZH）: </w:t>
      </w:r>
      <w:r>
        <w:t>亮点来自</w:t>
      </w:r>
      <w:r>
        <w:t xml:space="preserve"> </w:t>
      </w:r>
      <w:r>
        <w:t>科学</w:t>
      </w:r>
      <w:r>
        <w:t xml:space="preserve"> </w:t>
      </w:r>
      <w:r>
        <w:t>期刊家族</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[424] </w:t>
      </w:r>
      <w:hyperlink r:id="rId1051">
        <w:r>
          <w:rPr>
            <w:color w:val="1155CC"/>
            <w:u w:val="single"/>
          </w:rPr>
          <w:t>美国对科学的持久追求</w:t>
        </w:r>
      </w:hyperlink>
    </w:p>
    <w:p>
      <w:pPr>
        <w:spacing w:before="0" w:after="80"/>
      </w:pPr>
      <w:r>
        <w:rPr>
          <w:i/>
          <w:sz w:val="20"/>
        </w:rPr>
        <w:t>EN: The enduring pursuit of science in America</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52">
        <w:r>
          <w:rPr>
            <w:color w:val="1155CC"/>
            <w:u w:val="single"/>
          </w:rPr>
          <w:t>10.1126/science.aej8205</w:t>
        </w:r>
      </w:hyperlink>
    </w:p>
    <w:p>
      <w:pPr>
        <w:spacing w:before="0" w:after="120"/>
      </w:pPr>
      <w:r>
        <w:rPr>
          <w:b/>
        </w:rPr>
        <w:t xml:space="preserve">Notes: </w:t>
      </w:r>
      <w:r>
        <w:t>abstract_source=crossref</w:t>
      </w:r>
    </w:p>
    <w:p>
      <w:pPr>
        <w:spacing w:before="0" w:after="80" w:lineRule="auto" w:line="276"/>
      </w:pPr>
      <w:r>
        <w:rPr>
          <w:b/>
        </w:rPr>
        <w:t xml:space="preserve">摘要（ZH）: </w:t>
      </w:r>
      <w:r>
        <w:t>想象一下，一个美国组织召集科学专家，不是为了推进任何意识形态或利益，而是为了让国家对复杂问题有一个清晰的认识。想象一下，这个机构将遵循证据而不是头条新闻，并且不是通过言辞或说服而是通过仔细而严格的分析和透明的流程来赢得权威。这个机构确实存在——尽管它的工作面临着紧迫的挑战——而且今天比人们记忆中的任何时候都更迫切地需要它。</w:t>
      </w:r>
    </w:p>
    <w:p>
      <w:pPr>
        <w:spacing w:before="0" w:after="200" w:lineRule="auto" w:line="276"/>
      </w:pPr>
      <w:r>
        <w:rPr>
          <w:b/>
        </w:rPr>
        <w:t xml:space="preserve">Abstract (EN): </w:t>
      </w:r>
      <w:r>
        <w:t>Imagine an American organization that convenes scientific experts not to advance any ideology or interest but to provide the nation with a clear understanding of complex problems. Imagine this body would follow the evidence rather than the headlines and earn its authority not through rhetoric or persuasion but careful and rigorous analysis and transparent processes. This institution exists—although its work faces pressing challenges—and it is more urgently needed today than at any point in living memory.</w:t>
      </w:r>
    </w:p>
    <w:p>
      <w:pPr>
        <w:spacing w:before="120" w:after="120"/>
      </w:pPr>
      <w:r>
        <w:rPr>
          <w:sz w:val="18"/>
        </w:rPr>
        <w:t>——————————————————————————————————————————————————————————————————————</w:t>
      </w:r>
    </w:p>
    <w:p>
      <w:pPr>
        <w:spacing w:before="160" w:after="40" w:line="240" w:lineRule="auto"/>
      </w:pPr>
      <w:r>
        <w:rPr>
          <w:b/>
        </w:rPr>
        <w:t xml:space="preserve">[425] </w:t>
      </w:r>
      <w:hyperlink r:id="rId1053">
        <w:r>
          <w:rPr>
            <w:color w:val="1155CC"/>
            <w:u w:val="single"/>
          </w:rPr>
          <w:t>可再生能源的光明未来</w:t>
        </w:r>
      </w:hyperlink>
    </w:p>
    <w:p>
      <w:pPr>
        <w:spacing w:before="0" w:after="80"/>
      </w:pPr>
      <w:r>
        <w:rPr>
          <w:i/>
          <w:sz w:val="20"/>
        </w:rPr>
        <w:t>EN: A bright, sun-splashed future for renewable energy</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54">
        <w:r>
          <w:rPr>
            <w:color w:val="1155CC"/>
            <w:u w:val="single"/>
          </w:rPr>
          <w:t>10.1126/science.aej9392</w:t>
        </w:r>
      </w:hyperlink>
    </w:p>
    <w:p>
      <w:pPr>
        <w:spacing w:before="0" w:after="120"/>
      </w:pPr>
      <w:r>
        <w:rPr>
          <w:b/>
        </w:rPr>
        <w:t xml:space="preserve">Notes: </w:t>
      </w:r>
      <w:r>
        <w:t>abstract_source=crossref</w:t>
      </w:r>
    </w:p>
    <w:p>
      <w:pPr>
        <w:spacing w:before="0" w:after="80" w:lineRule="auto" w:line="276"/>
      </w:pPr>
      <w:r>
        <w:rPr>
          <w:b/>
        </w:rPr>
        <w:t xml:space="preserve">摘要（ZH）: </w:t>
      </w:r>
      <w:r>
        <w:t>三名国际可再生​​能源先驱荣获 Mani L. Bhaumik 年度突破奖</w:t>
      </w:r>
    </w:p>
    <w:p>
      <w:pPr>
        <w:spacing w:before="0" w:after="200" w:lineRule="auto" w:line="276"/>
      </w:pPr>
      <w:r>
        <w:rPr>
          <w:b/>
        </w:rPr>
        <w:t xml:space="preserve">Abstract (EN): </w:t>
      </w:r>
      <w:r>
        <w:t>Three international renewable energy pioneers have been selected for the Mani L. Bhaumik Breakthrough of the Year Award</w:t>
      </w:r>
    </w:p>
    <w:p>
      <w:pPr>
        <w:spacing w:before="120" w:after="120"/>
      </w:pPr>
      <w:r>
        <w:rPr>
          <w:sz w:val="18"/>
        </w:rPr>
        <w:t>——————————————————————————————————————————————————————————————————————</w:t>
      </w:r>
    </w:p>
    <w:p>
      <w:pPr>
        <w:spacing w:before="160" w:after="40" w:line="240" w:lineRule="auto"/>
      </w:pPr>
      <w:r>
        <w:rPr>
          <w:b/>
        </w:rPr>
        <w:t xml:space="preserve">[426] </w:t>
      </w:r>
      <w:hyperlink r:id="rId1055">
        <w:r>
          <w:rPr>
            <w:color w:val="1155CC"/>
            <w:u w:val="single"/>
          </w:rPr>
          <w:t>企业和美国政府就人工智能安全问题展开斗争，研究人员陷入交火</w:t>
        </w:r>
      </w:hyperlink>
    </w:p>
    <w:p>
      <w:pPr>
        <w:spacing w:before="0" w:after="80"/>
      </w:pPr>
      <w:r>
        <w:rPr>
          <w:i/>
          <w:sz w:val="20"/>
        </w:rPr>
        <w:t>EN: Researchers caught in the crossfire as firms and U.S. government grapple over AI safety</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56">
        <w:r>
          <w:rPr>
            <w:color w:val="1155CC"/>
            <w:u w:val="single"/>
          </w:rPr>
          <w:t>10.1126/science.aej9813</w:t>
        </w:r>
      </w:hyperlink>
    </w:p>
    <w:p>
      <w:pPr>
        <w:spacing w:before="0" w:after="120"/>
      </w:pPr>
      <w:r>
        <w:rPr>
          <w:b/>
        </w:rPr>
        <w:t xml:space="preserve">Notes: </w:t>
      </w:r>
      <w:r>
        <w:t>abstract_source=crossref</w:t>
      </w:r>
    </w:p>
    <w:p>
      <w:pPr>
        <w:spacing w:before="0" w:after="80" w:lineRule="auto" w:line="276"/>
      </w:pPr>
      <w:r>
        <w:rPr>
          <w:b/>
        </w:rPr>
        <w:t xml:space="preserve">摘要（ZH）: </w:t>
      </w:r>
      <w:r>
        <w:t>《神鬼寓言 5》的混乱下架引发了对开放研究的担忧</w:t>
      </w:r>
    </w:p>
    <w:p>
      <w:pPr>
        <w:spacing w:before="0" w:after="200" w:lineRule="auto" w:line="276"/>
      </w:pPr>
      <w:r>
        <w:rPr>
          <w:b/>
        </w:rPr>
        <w:t xml:space="preserve">Abstract (EN): </w:t>
      </w:r>
      <w:r>
        <w:t>Tumultuous Fable 5 takedown spurs fears for open research</w:t>
      </w:r>
    </w:p>
    <w:p>
      <w:pPr>
        <w:spacing w:before="120" w:after="120"/>
      </w:pPr>
      <w:r>
        <w:rPr>
          <w:sz w:val="18"/>
        </w:rPr>
        <w:t>——————————————————————————————————————————————————————————————————————</w:t>
      </w:r>
    </w:p>
    <w:p>
      <w:pPr>
        <w:spacing w:before="160" w:after="40" w:line="240" w:lineRule="auto"/>
      </w:pPr>
      <w:r>
        <w:rPr>
          <w:b/>
        </w:rPr>
        <w:t xml:space="preserve">[427] </w:t>
      </w:r>
      <w:hyperlink r:id="rId1057">
        <w:r>
          <w:rPr>
            <w:color w:val="1155CC"/>
            <w:u w:val="single"/>
          </w:rPr>
          <w:t>先天因素和个体发育决定迁徙鸣禽的非繁殖区域</w:t>
        </w:r>
      </w:hyperlink>
    </w:p>
    <w:p>
      <w:pPr>
        <w:spacing w:before="0" w:after="80"/>
      </w:pPr>
      <w:r>
        <w:rPr>
          <w:i/>
          <w:sz w:val="20"/>
        </w:rPr>
        <w:t>EN: Innate factors and ontogeny determine nonbreeding areas of migrant songbirds</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58">
        <w:r>
          <w:rPr>
            <w:color w:val="1155CC"/>
            <w:u w:val="single"/>
          </w:rPr>
          <w:t>10.1126/science.ads0532</w:t>
        </w:r>
      </w:hyperlink>
    </w:p>
    <w:p>
      <w:pPr>
        <w:spacing w:before="0" w:after="120"/>
      </w:pPr>
      <w:r>
        <w:rPr>
          <w:b/>
        </w:rPr>
        <w:t xml:space="preserve">Notes: </w:t>
      </w:r>
      <w:r>
        <w:t>abstract_source=crossref</w:t>
      </w:r>
    </w:p>
    <w:p>
      <w:pPr>
        <w:spacing w:before="0" w:after="80" w:lineRule="auto" w:line="276"/>
      </w:pPr>
      <w:r>
        <w:rPr>
          <w:b/>
        </w:rPr>
        <w:t xml:space="preserve">摘要（ZH）: </w:t>
      </w:r>
      <w:r>
        <w:t>候鸟连接着世界各地的生态系统，并且通常表现出繁殖区和非繁殖区之间的连通性，这意味着个体的非繁殖（“越冬”）地点靠近同一繁殖种群的其他鸟类。尽管许多工作已经描述了迁徙路线的特征，但我们对决定非繁殖区的因素知之甚少。我们追踪了斑鹟（</w:t>
      </w:r>
      <w:r>
        <w:t xml:space="preserve"> </w:t>
      </w:r>
      <w:r>
        <w:t>鲫鱼</w:t>
      </w:r>
      <w:r>
        <w:t xml:space="preserve"> </w:t>
      </w:r>
      <w:r>
        <w:t>）从其整个繁殖范围并确定特定人群的非繁殖区域。通过荷兰和瑞典之间的卵子易位实验，我们表明遗传和出生环境决定了非繁殖区域。从基因上来说，在瑞典孵化的荷兰鸟类的非繁殖区介于瑞典和荷兰种群之间。尽管迁徙路线和非繁殖区域的遗传基础可能会阻碍对不断变化的世界的快速适应，但分散的个体可以创造新的繁殖-非繁殖地点组合。</w:t>
      </w:r>
    </w:p>
    <w:p>
      <w:pPr>
        <w:spacing w:before="0" w:after="200" w:lineRule="auto" w:line="276"/>
      </w:pPr>
      <w:r>
        <w:rPr>
          <w:b/>
        </w:rPr>
        <w:t xml:space="preserve">Abstract (EN): </w:t>
      </w:r>
      <w:r>
        <w:t>Migratory birds connect ecosystems worldwide and often show connectivity between breeding and nonbreeding areas, meaning that individuals have nonbreeding (“wintering”) locations close to others from the same breeding population. Although much work has characterized migration routes, we know little about what determines nonbreeding areas. We tracked pied flycatchers (</w:t>
      </w:r>
      <w:r>
        <w:t xml:space="preserve"> </w:t>
      </w:r>
      <w:r>
        <w:t>Ficedula hypoleuca</w:t>
      </w:r>
      <w:r>
        <w:t xml:space="preserve"> </w:t>
      </w:r>
      <w:r>
        <w:t>) from their entire breeding range and identified population-specific nonbreeding areas. Using an egg translocation experiment between the Netherlands and Sweden, we show that both inheritance and natal environment determine nonbreeding areas. Genetically Dutch birds that hatched in Sweden had nonbreeding areas intermediate between Swedish and Dutch populations. Although an inherited basis for migratory routes and nonbreeding areas may hamper rapid adaptation to a changing world, dispersing individuals can create new breeding–nonbreeding site combinations.</w:t>
      </w:r>
    </w:p>
    <w:p>
      <w:pPr>
        <w:spacing w:before="120" w:after="120"/>
      </w:pPr>
      <w:r>
        <w:rPr>
          <w:sz w:val="18"/>
        </w:rPr>
        <w:t>——————————————————————————————————————————————————————————————————————</w:t>
      </w:r>
    </w:p>
    <w:p>
      <w:pPr>
        <w:spacing w:before="160" w:after="40" w:line="240" w:lineRule="auto"/>
      </w:pPr>
      <w:r>
        <w:rPr>
          <w:b/>
        </w:rPr>
        <w:t xml:space="preserve">[428] </w:t>
      </w:r>
      <w:hyperlink r:id="rId1059">
        <w:r>
          <w:rPr>
            <w:color w:val="1155CC"/>
            <w:u w:val="single"/>
          </w:rPr>
          <w:t>多萝西·霍奇金：一生</w:t>
        </w:r>
      </w:hyperlink>
    </w:p>
    <w:p>
      <w:pPr>
        <w:spacing w:before="0" w:after="80"/>
      </w:pPr>
      <w:r>
        <w:rPr>
          <w:i/>
          <w:sz w:val="20"/>
        </w:rPr>
        <w:t>EN: Dorothy Hodgkin: A Life</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60">
        <w:r>
          <w:rPr>
            <w:color w:val="1155CC"/>
            <w:u w:val="single"/>
          </w:rPr>
          <w:t>10.1126/science.aei9819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[429] </w:t>
      </w:r>
      <w:hyperlink r:id="rId1061">
        <w:r>
          <w:rPr>
            <w:color w:val="1155CC"/>
            <w:u w:val="single"/>
          </w:rPr>
          <w:t>达特茅斯的人工智能夏季以及接下来会发生什么</w:t>
        </w:r>
      </w:hyperlink>
    </w:p>
    <w:p>
      <w:pPr>
        <w:spacing w:before="0" w:after="80"/>
      </w:pPr>
      <w:r>
        <w:rPr>
          <w:i/>
          <w:sz w:val="20"/>
        </w:rPr>
        <w:t>EN: Dartmouth’s AI summer and what came next</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62">
        <w:r>
          <w:rPr>
            <w:color w:val="1155CC"/>
            <w:u w:val="single"/>
          </w:rPr>
          <w:t>10.1126/science.aei0476</w:t>
        </w:r>
      </w:hyperlink>
    </w:p>
    <w:p>
      <w:pPr>
        <w:spacing w:before="0" w:after="120"/>
      </w:pPr>
      <w:r>
        <w:rPr>
          <w:b/>
        </w:rPr>
        <w:t xml:space="preserve">Notes: </w:t>
      </w:r>
      <w:r>
        <w:t>abstract_source=crossref</w:t>
      </w:r>
    </w:p>
    <w:p>
      <w:pPr>
        <w:spacing w:before="0" w:after="80" w:lineRule="auto" w:line="276"/>
      </w:pPr>
      <w:r>
        <w:rPr>
          <w:b/>
        </w:rPr>
        <w:t xml:space="preserve">摘要（ZH）: </w:t>
      </w:r>
      <w:r>
        <w:t>首届人工智能研讨会 70 周年纪念邀请人们反思该技术的更广泛遗产</w:t>
      </w:r>
    </w:p>
    <w:p>
      <w:pPr>
        <w:spacing w:before="0" w:after="200" w:lineRule="auto" w:line="276"/>
      </w:pPr>
      <w:r>
        <w:rPr>
          <w:b/>
        </w:rPr>
        <w:t xml:space="preserve">Abstract (EN): </w:t>
      </w:r>
      <w:r>
        <w:t>The 70th anniversary of the first AI workshop invites reflection on the technology’s wider legacies</w:t>
      </w:r>
    </w:p>
    <w:p>
      <w:pPr>
        <w:spacing w:before="120" w:after="120"/>
      </w:pPr>
      <w:r>
        <w:rPr>
          <w:sz w:val="18"/>
        </w:rPr>
        <w:t>——————————————————————————————————————————————————————————————————————</w:t>
      </w:r>
    </w:p>
    <w:p>
      <w:pPr>
        <w:spacing w:before="160" w:after="40" w:line="240" w:lineRule="auto"/>
      </w:pPr>
      <w:r>
        <w:rPr>
          <w:b/>
        </w:rPr>
        <w:t xml:space="preserve">[430] </w:t>
      </w:r>
      <w:hyperlink r:id="rId1063">
        <w:r>
          <w:rPr>
            <w:color w:val="1155CC"/>
            <w:u w:val="single"/>
          </w:rPr>
          <w:t>多层方形平面镍酸盐的超导相图</w:t>
        </w:r>
      </w:hyperlink>
    </w:p>
    <w:p>
      <w:pPr>
        <w:spacing w:before="0" w:after="80"/>
      </w:pPr>
      <w:r>
        <w:rPr>
          <w:i/>
          <w:sz w:val="20"/>
        </w:rPr>
        <w:t>EN: Superconducting phase diagram of multilayer square-planar nickelates</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64">
        <w:r>
          <w:rPr>
            <w:color w:val="1155CC"/>
            <w:u w:val="single"/>
          </w:rPr>
          <w:t>10.1126/science.adp4440</w:t>
        </w:r>
      </w:hyperlink>
    </w:p>
    <w:p>
      <w:pPr>
        <w:spacing w:before="0" w:after="120"/>
      </w:pPr>
      <w:r>
        <w:rPr>
          <w:b/>
        </w:rPr>
        <w:t xml:space="preserve">Notes: </w:t>
      </w:r>
      <w:r>
        <w:t>abstract_source=crossref</w:t>
      </w:r>
    </w:p>
    <w:p>
      <w:pPr>
        <w:spacing w:before="0" w:after="80" w:lineRule="auto" w:line="276"/>
      </w:pPr>
      <w:r>
        <w:rPr>
          <w:b/>
        </w:rPr>
        <w:t xml:space="preserve">摘要（ZH）: </w:t>
      </w:r>
      <w:r>
        <w:t>方形平面镍酸盐超导性的发现为探索高温超导性的起源提供了丰富的材料平台。然而，实验研究很大程度上局限于无限层</w:t>
      </w:r>
      <w:r>
        <w:t xml:space="preserve"> </w:t>
      </w:r>
      <w:r>
        <w:t>右</w:t>
      </w:r>
      <w:r>
        <w:t xml:space="preserve"> </w:t>
      </w:r>
      <w:r>
        <w:t>氧化镍</w:t>
      </w:r>
      <w:r>
        <w:rPr>
          <w:vertAlign w:val="subscript"/>
        </w:rPr>
        <w:t>2</w:t>
      </w:r>
      <w:r>
        <w:t>（</w:t>
      </w:r>
      <w:r>
        <w:t xml:space="preserve"> </w:t>
      </w:r>
      <w:r>
        <w:t>右</w:t>
      </w:r>
      <w:r>
        <w:t xml:space="preserve"> </w:t>
      </w:r>
      <w:r>
        <w:t>，稀土）镍酸盐。我们构建了多层方形平面 Nd 的相图</w:t>
      </w:r>
      <w:r>
        <w:t xml:space="preserve"> </w:t>
      </w:r>
      <w:r>
        <w:t>n</w:t>
      </w:r>
      <w:r>
        <w:t xml:space="preserve"> </w:t>
      </w:r>
      <w:r>
        <w:t>+1</w:t>
      </w:r>
      <w:r>
        <w:t xml:space="preserve"> </w:t>
      </w:r>
      <w:r>
        <w:t>镍</w:t>
      </w:r>
      <w:r>
        <w:t xml:space="preserve"> </w:t>
      </w:r>
      <w:r>
        <w:t>n</w:t>
      </w:r>
      <w:r>
        <w:t xml:space="preserve"> </w:t>
      </w:r>
      <w:r>
        <w:t>氧</w:t>
      </w:r>
      <w:r>
        <w:rPr>
          <w:vertAlign w:val="subscript"/>
        </w:rPr>
        <w:t>2</w:t>
      </w:r>
      <w:r>
        <w:t xml:space="preserve"> </w:t>
      </w:r>
      <w:r>
        <w:t>n</w:t>
      </w:r>
      <w:r>
        <w:t xml:space="preserve"> </w:t>
      </w:r>
      <w:r>
        <w:t>+2</w:t>
      </w:r>
      <w:r>
        <w:t xml:space="preserve"> </w:t>
      </w:r>
      <w:r>
        <w:t>化合物并发现了维度超导性的特征</w:t>
      </w:r>
      <w:r>
        <w:t xml:space="preserve"> </w:t>
      </w:r>
      <w:r>
        <w:t>n</w:t>
      </w:r>
      <w:r>
        <w:t xml:space="preserve"> </w:t>
      </w:r>
      <w:r>
        <w:t>= 4 至 8。减少时</w:t>
      </w:r>
      <w:r>
        <w:t xml:space="preserve"> </w:t>
      </w:r>
      <w:r>
        <w:t>n</w:t>
      </w:r>
      <w:r>
        <w:t xml:space="preserve"> </w:t>
      </w:r>
      <w:r>
        <w:t>，超导各向异性的演化归因于 4</w:t>
      </w:r>
      <w:r>
        <w:t xml:space="preserve"> </w:t>
      </w:r>
      <w:r>
        <w:t>f</w:t>
      </w:r>
      <w:r>
        <w:t xml:space="preserve"> </w:t>
      </w:r>
      <w:r>
        <w:t>电子效应和电子结构特征接近铜酸盐的行为。磁涨落从超导区域持续存在到过掺杂的非超导区域。超导状态与化学掺杂的无限层镍酸盐的超导状态重叠，证明了方形平面镍酸盐不同结构实现之间的潜在共性和差异。我们的工作建立了这种分层模板，用于创建新型镍基超导体。</w:t>
      </w:r>
    </w:p>
    <w:p>
      <w:pPr>
        <w:spacing w:before="0" w:after="200" w:lineRule="auto" w:line="276"/>
      </w:pPr>
      <w:r>
        <w:rPr>
          <w:b/>
        </w:rPr>
        <w:t xml:space="preserve">Abstract (EN): </w:t>
      </w:r>
      <w:r>
        <w:t>The discovery of superconductivity in square-planar nickelates has offered a rich materials platform to explore the origins of high-temperature superconductivity. However, experimental investigations have largely been limited to the infinite-layer</w:t>
      </w:r>
      <w:r>
        <w:t xml:space="preserve"> </w:t>
      </w:r>
      <w:r>
        <w:t>R</w:t>
      </w:r>
      <w:r>
        <w:t xml:space="preserve"> </w:t>
      </w:r>
      <w:r>
        <w:t>NiO</w:t>
      </w:r>
      <w:r>
        <w:rPr>
          <w:vertAlign w:val="subscript"/>
        </w:rPr>
        <w:t>2</w:t>
      </w:r>
      <w:r>
        <w:t>(</w:t>
      </w:r>
      <w:r>
        <w:t xml:space="preserve"> </w:t>
      </w:r>
      <w:r>
        <w:t>R</w:t>
      </w:r>
      <w:r>
        <w:t xml:space="preserve"> </w:t>
      </w:r>
      <w:r>
        <w:t>, rare earth) nickelates. We constructed a phase diagram of multilayer square-planar Nd</w:t>
      </w:r>
      <w:r>
        <w:t xml:space="preserve"> </w:t>
      </w:r>
      <w:r>
        <w:t>n</w:t>
      </w:r>
      <w:r>
        <w:t xml:space="preserve"> </w:t>
      </w:r>
      <w:r>
        <w:t>+1</w:t>
      </w:r>
      <w:r>
        <w:t xml:space="preserve"> </w:t>
      </w:r>
      <w:r>
        <w:t>Ni</w:t>
      </w:r>
      <w:r>
        <w:t xml:space="preserve"> </w:t>
      </w:r>
      <w:r>
        <w:t>n</w:t>
      </w:r>
      <w:r>
        <w:t xml:space="preserve"> </w:t>
      </w:r>
      <w:r>
        <w:t>O</w:t>
      </w:r>
      <w:r>
        <w:rPr>
          <w:vertAlign w:val="subscript"/>
        </w:rPr>
        <w:t>2</w:t>
      </w:r>
      <w:r>
        <w:t xml:space="preserve"> </w:t>
      </w:r>
      <w:r>
        <w:t>n</w:t>
      </w:r>
      <w:r>
        <w:t xml:space="preserve"> </w:t>
      </w:r>
      <w:r>
        <w:t>+2</w:t>
      </w:r>
      <w:r>
        <w:t xml:space="preserve"> </w:t>
      </w:r>
      <w:r>
        <w:t>compounds and found signatures of superconductivity for dimensionality</w:t>
      </w:r>
      <w:r>
        <w:t xml:space="preserve"> </w:t>
      </w:r>
      <w:r>
        <w:t>n</w:t>
      </w:r>
      <w:r>
        <w:t xml:space="preserve"> </w:t>
      </w:r>
      <w:r>
        <w:t>= 4 to 8. Upon decreasing</w:t>
      </w:r>
      <w:r>
        <w:t xml:space="preserve"> </w:t>
      </w:r>
      <w:r>
        <w:t>n</w:t>
      </w:r>
      <w:r>
        <w:t xml:space="preserve"> </w:t>
      </w:r>
      <w:r>
        <w:t>, the superconducting anisotropy evolves owing to 4</w:t>
      </w:r>
      <w:r>
        <w:t xml:space="preserve"> </w:t>
      </w:r>
      <w:r>
        <w:t>f</w:t>
      </w:r>
      <w:r>
        <w:t xml:space="preserve"> </w:t>
      </w:r>
      <w:r>
        <w:t>electron effects, and electronic structure characteristics approach cuprate-like behavior. Magnetic fluctuations persist from within the superconducting regime and into the overdoped, nonsuperconducting regime. The superconducting regime overlaps with that of chemically doped infinite-layer nickelates, demonstrating underlying commonalities as well as differences across varying structural realizations of square-planar nickelates. Our work establishes this layered template for creating new nickel-based superconductors.</w:t>
      </w:r>
    </w:p>
    <w:p>
      <w:pPr>
        <w:spacing w:before="120" w:after="120"/>
      </w:pPr>
      <w:r>
        <w:rPr>
          <w:sz w:val="18"/>
        </w:rPr>
        <w:t>——————————————————————————————————————————————————————————————————————</w:t>
      </w:r>
    </w:p>
    <w:p>
      <w:pPr>
        <w:spacing w:before="160" w:after="40" w:line="240" w:lineRule="auto"/>
      </w:pPr>
      <w:r>
        <w:rPr>
          <w:b/>
        </w:rPr>
        <w:t xml:space="preserve">[431] </w:t>
      </w:r>
      <w:hyperlink r:id="rId1065">
        <w:r>
          <w:rPr>
            <w:color w:val="1155CC"/>
            <w:u w:val="single"/>
          </w:rPr>
          <w:t>细菌共享蛋白质以在抗生素中生存</w:t>
        </w:r>
      </w:hyperlink>
    </w:p>
    <w:p>
      <w:pPr>
        <w:spacing w:before="0" w:after="80"/>
      </w:pPr>
      <w:r>
        <w:rPr>
          <w:i/>
          <w:sz w:val="20"/>
        </w:rPr>
        <w:t>EN: Bacteria share proteins to survive antibiotics</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66">
        <w:r>
          <w:rPr>
            <w:color w:val="1155CC"/>
            <w:u w:val="single"/>
          </w:rPr>
          <w:t>10.1126/science.aei4132</w:t>
        </w:r>
      </w:hyperlink>
    </w:p>
    <w:p>
      <w:pPr>
        <w:spacing w:before="0" w:after="120"/>
      </w:pPr>
      <w:r>
        <w:rPr>
          <w:b/>
        </w:rPr>
        <w:t xml:space="preserve">Notes: </w:t>
      </w:r>
      <w:r>
        <w:t>abstract_source=crossref</w:t>
      </w:r>
    </w:p>
    <w:p>
      <w:pPr>
        <w:spacing w:before="0" w:after="80" w:lineRule="auto" w:line="276"/>
      </w:pPr>
      <w:r>
        <w:rPr>
          <w:b/>
        </w:rPr>
        <w:t xml:space="preserve">摘要（ZH）: </w:t>
      </w:r>
      <w:r>
        <w:t>通过膜囊泡的细胞间合作增强抗生素的持久性</w:t>
      </w:r>
    </w:p>
    <w:p>
      <w:pPr>
        <w:spacing w:before="0" w:after="200" w:lineRule="auto" w:line="276"/>
      </w:pPr>
      <w:r>
        <w:rPr>
          <w:b/>
        </w:rPr>
        <w:t xml:space="preserve">Abstract (EN): </w:t>
      </w:r>
      <w:r>
        <w:t>Cell-to-cell cooperation through membrane vesicles enhances antibiotic persistence</w:t>
      </w:r>
    </w:p>
    <w:p>
      <w:pPr>
        <w:spacing w:before="120" w:after="120"/>
      </w:pPr>
      <w:r>
        <w:rPr>
          <w:sz w:val="18"/>
        </w:rPr>
        <w:t>——————————————————————————————————————————————————————————————————————</w:t>
      </w:r>
    </w:p>
    <w:p>
      <w:pPr>
        <w:spacing w:before="160" w:after="40" w:line="240" w:lineRule="auto"/>
      </w:pPr>
      <w:r>
        <w:rPr>
          <w:b/>
        </w:rPr>
        <w:t xml:space="preserve">[432] </w:t>
      </w:r>
      <w:hyperlink r:id="rId1067">
        <w:r>
          <w:rPr>
            <w:color w:val="1155CC"/>
            <w:u w:val="single"/>
          </w:rPr>
          <w:t>认识到我的价值</w:t>
        </w:r>
      </w:hyperlink>
    </w:p>
    <w:p>
      <w:pPr>
        <w:spacing w:before="0" w:after="80"/>
      </w:pPr>
      <w:r>
        <w:rPr>
          <w:i/>
          <w:sz w:val="20"/>
        </w:rPr>
        <w:t>EN: Recognizing my worth</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68">
        <w:r>
          <w:rPr>
            <w:color w:val="1155CC"/>
            <w:u w:val="single"/>
          </w:rPr>
          <w:t>10.1126/science.aej9374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[433] </w:t>
      </w:r>
      <w:hyperlink r:id="rId1069">
        <w:r>
          <w:rPr>
            <w:color w:val="1155CC"/>
            <w:u w:val="single"/>
          </w:rPr>
          <w:t>被子植物繁殖策略的多样化早于白垩纪末灭绝</w:t>
        </w:r>
      </w:hyperlink>
    </w:p>
    <w:p>
      <w:pPr>
        <w:spacing w:before="0" w:after="80"/>
      </w:pPr>
      <w:r>
        <w:rPr>
          <w:i/>
          <w:sz w:val="20"/>
        </w:rPr>
        <w:t>EN: Diversification of angiosperm reproductive strategies predated the end-Cretaceous extinction</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70">
        <w:r>
          <w:rPr>
            <w:color w:val="1155CC"/>
            <w:u w:val="single"/>
          </w:rPr>
          <w:t>10.1126/science.adw9457</w:t>
        </w:r>
      </w:hyperlink>
    </w:p>
    <w:p>
      <w:pPr>
        <w:spacing w:before="0" w:after="120"/>
      </w:pPr>
      <w:r>
        <w:rPr>
          <w:b/>
        </w:rPr>
        <w:t xml:space="preserve">Notes: </w:t>
      </w:r>
      <w:r>
        <w:t>abstract_source=crossref</w:t>
      </w:r>
    </w:p>
    <w:p>
      <w:pPr>
        <w:spacing w:before="0" w:after="80" w:lineRule="auto" w:line="276"/>
      </w:pPr>
      <w:r>
        <w:rPr>
          <w:b/>
        </w:rPr>
        <w:t xml:space="preserve">摘要（ZH）: </w:t>
      </w:r>
      <w:r>
        <w:t>被子植物的生殖进化传统上与白垩纪末期的生物危机和随后的生态重建有关。在这里，我们报告了来自新墨西哥州何塞溪地层的坎帕尼亚晚期（7460 万年前）热带森林中的多样化且出乎意料的大型水硬铝石（分散单位）。近 80 种不同的水硬铝石形态类型表明，与新生代记录相比，植物区系的形态专业化程度更高，水硬铝石体积的平均值和范围异常大。这些发现表明，在白垩纪末期灭绝之前，生殖投资和专业化大幅增加。我们的研究结果表明，白垩纪被子植物已经进化出多种扩散策略，这表明动物介导的扩散和密集的被子植物整合的冠层的建立比以前认识的要早得多。</w:t>
      </w:r>
    </w:p>
    <w:p>
      <w:pPr>
        <w:spacing w:before="0" w:after="200" w:lineRule="auto" w:line="276"/>
      </w:pPr>
      <w:r>
        <w:rPr>
          <w:b/>
        </w:rPr>
        <w:t xml:space="preserve">Abstract (EN): </w:t>
      </w:r>
      <w:r>
        <w:t>Angiosperm reproductive evolution is traditionally linked to the end-Cretaceous biotic crisis and subsequent ecological restructuring. Here, we report diverse and unexpectedly large diaspores (dispersal units) from an in situ late Campanian (74.6 million years ago) tropical forest from the Jose Creek Formation in New Mexico. Nearly 80 distinct diaspore morphotypes demonstrate that the flora had increased morphological specialization and an exceptionally large average and range of diaspore volume comparable to the Cenozoic records. These findings suggest that substantial increases in reproductive investment and specialization preceded the end-Cretaceous extinction. Our results indicate that Cretaceous angiosperms had already evolved diverse dispersal strategies, suggesting that animal-mediated dispersal and dense, angiosperm-integrated canopies were established far earlier than was previously recognized.</w:t>
      </w:r>
    </w:p>
    <w:p>
      <w:pPr>
        <w:spacing w:before="120" w:after="120"/>
      </w:pPr>
      <w:r>
        <w:rPr>
          <w:sz w:val="18"/>
        </w:rPr>
        <w:t>——————————————————————————————————————————————————————————————————————</w:t>
      </w:r>
    </w:p>
    <w:p>
      <w:pPr>
        <w:spacing w:before="160" w:after="40" w:line="240" w:lineRule="auto"/>
      </w:pPr>
      <w:r>
        <w:rPr>
          <w:b/>
        </w:rPr>
        <w:t xml:space="preserve">[434] </w:t>
      </w:r>
      <w:hyperlink r:id="rId1071">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72">
        <w:r>
          <w:rPr>
            <w:color w:val="1155CC"/>
            <w:u w:val="single"/>
          </w:rPr>
          <w:t>10.1126/science.aej9373</w:t>
        </w:r>
      </w:hyperlink>
    </w:p>
    <w:p>
      <w:pPr>
        <w:spacing w:before="0" w:after="120"/>
      </w:pPr>
      <w:r>
        <w:rPr>
          <w:b/>
        </w:rPr>
        <w:t xml:space="preserve">Notes: </w:t>
      </w:r>
      <w:r>
        <w:t>abstract_source=crossref</w:t>
      </w:r>
    </w:p>
    <w:p>
      <w:pPr>
        <w:spacing w:before="0" w:after="80" w:lineRule="auto" w:line="276"/>
      </w:pPr>
      <w:r>
        <w:rPr>
          <w:b/>
        </w:rPr>
        <w:t xml:space="preserve">摘要（ZH）: </w:t>
      </w:r>
      <w:r>
        <w:t>编辑精选当前科学文献</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[435] </w:t>
      </w:r>
      <w:hyperlink r:id="rId1073">
        <w:r>
          <w:rPr>
            <w:color w:val="1155CC"/>
            <w:u w:val="single"/>
          </w:rPr>
          <w:t>Lariat RNA 脱支可防止植物中有害的 siRNA 爆发</w:t>
        </w:r>
      </w:hyperlink>
    </w:p>
    <w:p>
      <w:pPr>
        <w:spacing w:before="0" w:after="80"/>
      </w:pPr>
      <w:r>
        <w:rPr>
          <w:i/>
          <w:sz w:val="20"/>
        </w:rPr>
        <w:t>EN: Lariat RNA debranching prevents harmful siRNA burst in plants</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74">
        <w:r>
          <w:rPr>
            <w:color w:val="1155CC"/>
            <w:u w:val="single"/>
          </w:rPr>
          <w:t>10.1126/science.aeb4938</w:t>
        </w:r>
      </w:hyperlink>
    </w:p>
    <w:p>
      <w:pPr>
        <w:spacing w:before="0" w:after="120"/>
      </w:pPr>
      <w:r>
        <w:rPr>
          <w:b/>
        </w:rPr>
        <w:t xml:space="preserve">Notes: </w:t>
      </w:r>
      <w:r>
        <w:t>abstract_source=crossref</w:t>
      </w:r>
    </w:p>
    <w:p>
      <w:pPr>
        <w:spacing w:before="0" w:after="80" w:lineRule="auto" w:line="276"/>
      </w:pPr>
      <w:r>
        <w:rPr>
          <w:b/>
        </w:rPr>
        <w:t xml:space="preserve">摘要（ZH）: </w:t>
      </w:r>
      <w:r>
        <w:t>套索 RNA 是在前信使 RNA 剪接过程中由内含子形成的，之后它们被脱支酶 DBR1 降解。 DBR1 受损会导致发育停滞，但其机制仍不清楚。在这项研究中，我们发现套索RNA的脱支可以阻止21和22核苷酸套索衍生的小干扰RNA（lasiRNA）的产生，从而导致外显子siRNA的爆发，从而保障发育和防御反应。 LasiRNA 的生物发生依赖于 RNA 依赖性 RNA 聚合酶和 Dicer 样蛋白 (DCL)。当病原体感染和 DBR1 功能障碍时，许多套索 RNA 被 DCL4 和 DCL2 劫持，并加工成专门针对免疫基因的 siRNA，最终破坏植物的防御反应。总的来说，DBR1 介导的套索 RNA 去除可作为一种保护机制，防止植物中基于小 RNA 的防御系统的激活。</w:t>
      </w:r>
    </w:p>
    <w:p>
      <w:pPr>
        <w:spacing w:before="0" w:after="200" w:lineRule="auto" w:line="276"/>
      </w:pPr>
      <w:r>
        <w:rPr>
          <w:b/>
        </w:rPr>
        <w:t xml:space="preserve">Abstract (EN): </w:t>
      </w:r>
      <w:r>
        <w:t>Lariat RNAs are formed from introns during pre–messenger RNA splicing, after which they are degraded by the debranching enzyme DBR1. Impairment of DBR1 leads to developmental arrest, yet the mechanism remains unclear. In this study, we found that debranching of lariat RNA prevents production of 21- and 22-nucleotide lariat-derived small interfering RNAs (lasiRNAs), which causes a burst of exonic siRNAs, thereby safeguarding development and defense response. LasiRNA biogenesis relied on RNA-dependent RNA polymerases and Dicer-like proteins (DCLs). Upon pathogen infection and dysfunction of DBR1, many lariat RNAs were hijacked by DCL4 and DCL2 and processed into siRNAs that particularly target immunity genes, ultimately disrupting plant defense responses. Collectively, DBR1-mediated lariat RNA removal serves as a protective mechanism to prevent the activation of a small RNA–based defense system in plants.</w:t>
      </w:r>
    </w:p>
    <w:p>
      <w:pPr>
        <w:spacing w:before="120" w:after="120"/>
      </w:pPr>
      <w:r>
        <w:rPr>
          <w:sz w:val="18"/>
        </w:rPr>
        <w:t>——————————————————————————————————————————————————————————————————————</w:t>
      </w:r>
    </w:p>
    <w:p>
      <w:pPr>
        <w:spacing w:before="160" w:after="40" w:line="240" w:lineRule="auto"/>
      </w:pPr>
      <w:r>
        <w:rPr>
          <w:b/>
        </w:rPr>
        <w:t xml:space="preserve">[436] </w:t>
      </w:r>
      <w:hyperlink r:id="rId1075">
        <w:r>
          <w:rPr>
            <w:color w:val="1155CC"/>
            <w:u w:val="single"/>
          </w:rPr>
          <w:t>单个表面吸附分子的纳电子伏傅里叶极限跃迁</w:t>
        </w:r>
      </w:hyperlink>
    </w:p>
    <w:p>
      <w:pPr>
        <w:spacing w:before="0" w:after="80"/>
      </w:pPr>
      <w:r>
        <w:rPr>
          <w:i/>
          <w:sz w:val="20"/>
        </w:rPr>
        <w:t>EN: Nano–electron volt Fourier-limited transition of a single surface-adsorbed molecule</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76">
        <w:r>
          <w:rPr>
            <w:color w:val="1155CC"/>
            <w:u w:val="single"/>
          </w:rPr>
          <w:t>10.1126/science.aeg5014</w:t>
        </w:r>
      </w:hyperlink>
    </w:p>
    <w:p>
      <w:pPr>
        <w:spacing w:before="0" w:after="120"/>
      </w:pPr>
      <w:r>
        <w:rPr>
          <w:b/>
        </w:rPr>
        <w:t xml:space="preserve">Notes: </w:t>
      </w:r>
      <w:r>
        <w:t>abstract_source=crossref</w:t>
      </w:r>
    </w:p>
    <w:p>
      <w:pPr>
        <w:spacing w:before="0" w:after="80" w:lineRule="auto" w:line="276"/>
      </w:pPr>
      <w:r>
        <w:rPr>
          <w:b/>
        </w:rPr>
        <w:t xml:space="preserve">摘要（ZH）: </w:t>
      </w:r>
      <w:r>
        <w:t>高分辨率光谱可以探测弱相互作用和微妙的现象。尽管此类测量通常在气相和晶体材料中进行，但之前对表面吸附物质的研究未能达到最终的光谱分辨率，其中消除了相移，并且跃迁线宽由激发态寿命决定。在这项工作中，我们设计了一种表面准备和沉积方法，可以获取有机晶体表面单分子中的傅里叶限制电子跃迁。通过在液氦温度下进行光谱和超分辨率显微镜，我们揭示了吸附物质的光谱和空间特征。我们的结果为固态物理学的研究铺平了道路，其中埃空间分辨率可以与高分辨率激光光谱相结合。</w:t>
      </w:r>
    </w:p>
    <w:p>
      <w:pPr>
        <w:spacing w:before="0" w:after="200" w:lineRule="auto" w:line="276"/>
      </w:pPr>
      <w:r>
        <w:rPr>
          <w:b/>
        </w:rPr>
        <w:t xml:space="preserve">Abstract (EN): </w:t>
      </w:r>
      <w:r>
        <w:t>High-resolution spectroscopy allows the probing of weak interactions and subtle phenomena. Although such measurements are routinely performed in the gas phase and in crystalline materials, studies of adsorbed species on surfaces have previously fallen short of the ultimate spectral resolution, where dephasing is eliminated and the transition linewidth is determined by the excited-state lifetime. In this work, we devise an approach to surface preparation and deposition that provides access to Fourier-limited electronic transitions in single molecules on the surface of an organic crystal. By performing spectroscopy and super-resolution microscopy at liquid helium temperature, we shed light on the spectral and spatial features of the adsorbed species. Our results pave the way for investigations in solid-state physics, where angstrom spatial resolution can be combined with high-resolution laser spectroscopy.</w:t>
      </w:r>
    </w:p>
    <w:p>
      <w:pPr>
        <w:spacing w:before="120" w:after="120"/>
      </w:pPr>
      <w:r>
        <w:rPr>
          <w:sz w:val="18"/>
        </w:rPr>
        <w:t>——————————————————————————————————————————————————————————————————————</w:t>
      </w:r>
    </w:p>
    <w:p>
      <w:pPr>
        <w:spacing w:before="160" w:after="40" w:line="240" w:lineRule="auto"/>
      </w:pPr>
      <w:r>
        <w:rPr>
          <w:b/>
        </w:rPr>
        <w:t xml:space="preserve">[437] </w:t>
      </w:r>
      <w:hyperlink r:id="rId1077">
        <w:r>
          <w:rPr>
            <w:color w:val="1155CC"/>
            <w:u w:val="single"/>
          </w:rPr>
          <w:t>小鼠模型中自噬的可逆抑制揭示了神经元的弹性</w:t>
        </w:r>
      </w:hyperlink>
    </w:p>
    <w:p>
      <w:pPr>
        <w:spacing w:before="0" w:after="80"/>
      </w:pPr>
      <w:r>
        <w:rPr>
          <w:i/>
          <w:sz w:val="20"/>
        </w:rPr>
        <w:t>EN: Reversible suppression of autophagy in a mouse model reveals neuronal resilience</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78">
        <w:r>
          <w:rPr>
            <w:color w:val="1155CC"/>
            <w:u w:val="single"/>
          </w:rPr>
          <w:t>10.1126/science.ady3911</w:t>
        </w:r>
      </w:hyperlink>
    </w:p>
    <w:p>
      <w:pPr>
        <w:spacing w:before="0" w:after="120"/>
      </w:pPr>
      <w:r>
        <w:rPr>
          <w:b/>
        </w:rPr>
        <w:t xml:space="preserve">Notes: </w:t>
      </w:r>
      <w:r>
        <w:t>abstract_source=crossref</w:t>
      </w:r>
    </w:p>
    <w:p>
      <w:pPr>
        <w:spacing w:before="0" w:after="80" w:lineRule="auto" w:line="276"/>
      </w:pPr>
      <w:r>
        <w:rPr>
          <w:b/>
        </w:rPr>
        <w:t xml:space="preserve">摘要（ZH）: </w:t>
      </w:r>
      <w:r>
        <w:t>细胞内质量控制机制（包括自噬）的损伤会影响神经元的完整性和功能。尽管有大量研究旨在减缓神经元退化，但仍不清楚神经元功能和细胞内质量一旦受损是否可以恢复。我们开发了一种可以快速、可逆地调节自噬的小鼠模型，以研究此类缺陷的可逆性。抑制自噬导致蛋白质组和转录组变化、包涵体积累和轴突肿胀，所有这些在自噬恢复后都得到了很大程度的改善。与这些细胞异常一致，自噬抑制引起运动和认知功能障碍，这在自噬恢复时也被逆转。我们的研究结果阐明了细胞内清除所带来的神经元功能和质量的潜在弹性。</w:t>
      </w:r>
    </w:p>
    <w:p>
      <w:pPr>
        <w:spacing w:before="0" w:after="200" w:lineRule="auto" w:line="276"/>
      </w:pPr>
      <w:r>
        <w:rPr>
          <w:b/>
        </w:rPr>
        <w:t xml:space="preserve">Abstract (EN): </w:t>
      </w:r>
      <w:r>
        <w:t>Impairments in intracellular quality-control mechanisms, including autophagy, affect neuronal integrity and function. Despite numerous studies aimed at slowing neuronal deterioration, it remains unclear whether neuronal function and intracellular quality can be restored once impaired. We developed a mouse model in which autophagy could be rapidly and reversibly regulated to investigate the reversibility of such defects. Suppressing autophagy led to proteome and transcriptome changes, inclusion body accumulation, and axonal swelling, all of which were largely ameliorated after autophagy restoration. Consistent with these cellular abnormalities, autophagy suppression induced motor and cognitive dysfunction, which was also reversed on autophagy restoration. Our findings elucidate the potential resilience of neuronal function and quality enabled by intracellular clearance.</w:t>
      </w:r>
    </w:p>
    <w:p>
      <w:pPr>
        <w:spacing w:before="120" w:after="120"/>
      </w:pPr>
      <w:r>
        <w:rPr>
          <w:sz w:val="18"/>
        </w:rPr>
        <w:t>——————————————————————————————————————————————————————————————————————</w:t>
      </w:r>
    </w:p>
    <w:p>
      <w:pPr>
        <w:spacing w:before="160" w:after="40" w:line="240" w:lineRule="auto"/>
      </w:pPr>
      <w:r>
        <w:rPr>
          <w:b/>
        </w:rPr>
        <w:t xml:space="preserve">[438] </w:t>
      </w:r>
      <w:hyperlink r:id="rId1079">
        <w:r>
          <w:rPr>
            <w:color w:val="1155CC"/>
            <w:u w:val="single"/>
          </w:rPr>
          <w:t>冲击加热和隐藏的冥古宙</w:t>
        </w:r>
      </w:hyperlink>
    </w:p>
    <w:p>
      <w:pPr>
        <w:spacing w:before="0" w:after="80"/>
      </w:pPr>
      <w:r>
        <w:rPr>
          <w:i/>
          <w:sz w:val="20"/>
        </w:rPr>
        <w:t>EN: Impact heating and the hidden Hadean</w:t>
      </w:r>
    </w:p>
    <w:p>
      <w:pPr>
        <w:spacing w:before="0" w:after="120"/>
      </w:pPr>
      <w:r>
        <w:rPr>
          <w:b/>
        </w:rPr>
        <w:t xml:space="preserve">Source: </w:t>
      </w:r>
      <w:r>
        <w:t>AAAS: Science: Table of Contents</w:t>
      </w:r>
      <w:r>
        <w:t xml:space="preserve">    </w:t>
      </w:r>
      <w:r>
        <w:rPr>
          <w:b/>
        </w:rPr>
        <w:t xml:space="preserve">Pub date: </w:t>
      </w:r>
      <w:r>
        <w:t>2026-06-25 06:00:09+00:00</w:t>
      </w:r>
      <w:r>
        <w:t xml:space="preserve">    </w:t>
      </w:r>
      <w:r>
        <w:rPr>
          <w:b/>
        </w:rPr>
        <w:t xml:space="preserve">DOI: </w:t>
      </w:r>
      <w:hyperlink r:id="rId1080">
        <w:r>
          <w:rPr>
            <w:color w:val="1155CC"/>
            <w:u w:val="single"/>
          </w:rPr>
          <w:t>10.1126/science.aeb5402</w:t>
        </w:r>
      </w:hyperlink>
    </w:p>
    <w:p>
      <w:pPr>
        <w:spacing w:before="0" w:after="120"/>
      </w:pPr>
      <w:r>
        <w:rPr>
          <w:b/>
        </w:rPr>
        <w:t xml:space="preserve">Notes: </w:t>
      </w:r>
      <w:r>
        <w:t>abstract_source=crossref</w:t>
      </w:r>
    </w:p>
    <w:p>
      <w:pPr>
        <w:spacing w:before="0" w:after="80" w:lineRule="auto" w:line="276"/>
      </w:pPr>
      <w:r>
        <w:rPr>
          <w:b/>
        </w:rPr>
        <w:t xml:space="preserve">摘要（ZH）: </w:t>
      </w:r>
      <w:r>
        <w:t>冥古宙[≥40.3亿年前（Ga）]期间地壳的性质尚不确定。早期地球动力学的数值模型强调地幔温度的控制，但通常只考虑内部产生的热量，尽管经验证据表明存在强烈的冥宙冲击通量。使用该通量的随机模型，我们表明，由于撞击而产生的时间积分热量将使整个冥古宙内部产生的热量相形见绌。地球的冥古宙地壳在几公里以下的深度可能已经广泛熔化，导致致密、富含铁和镁的物质发生重力偏析，并导致平均地壳成分变得越来越富含二氧化硅。从全球范围来看，3.9 Ga 之后，撞击加热将变得不那么重要，从而使地壳变厚。大约在这个时候出现的持久大陆地壳很可能不是巧合。</w:t>
      </w:r>
    </w:p>
    <w:p>
      <w:pPr>
        <w:spacing w:before="0" w:after="200" w:lineRule="auto" w:line="276"/>
      </w:pPr>
      <w:r>
        <w:rPr>
          <w:b/>
        </w:rPr>
        <w:t xml:space="preserve">Abstract (EN): </w:t>
      </w:r>
      <w:r>
        <w:t>The nature of Earth’s crust during the Hadean eon [≥4.03 billion years ago (Ga)] is uncertain. Numerical models of early Earth geodynamics emphasize the control of mantle temperature but generally consider only internally derived heat, despite empirical evidence for an intense Hadean impact flux. Using a stochastic model of that flux, we show that the time-integrated heat due to impacts would have dwarfed that produced internally throughout the Hadean. Earth’s Hadean crust would have been extensively molten at depths below a few kilometers, causing gravitational segregation of dense, iron- and magnesium-rich material and driving average crustal compositions to become increasingly silica rich. Globally, impact heating would have become much less important after 3.9 Ga, allowing the crust to thicken. That enduring continental crust appeared around this time is likely not a coincidence.</w:t>
      </w:r>
    </w:p>
    <w:p>
      <w:pPr>
        <w:spacing w:before="120" w:after="120"/>
      </w:pPr>
      <w:r>
        <w:rPr>
          <w:sz w:val="18"/>
        </w:rPr>
        <w:t>——————————————————————————————————————————————————————————————————————</w:t>
      </w:r>
    </w:p>
    <w:p>
      <w:pPr>
        <w:spacing w:before="160" w:after="40" w:line="240" w:lineRule="auto"/>
      </w:pPr>
      <w:r>
        <w:rPr>
          <w:b/>
        </w:rPr>
        <w:t xml:space="preserve">[439] </w:t>
      </w:r>
      <w:hyperlink r:id="rId1081">
        <w:r>
          <w:rPr>
            <w:color w:val="1155CC"/>
            <w:u w:val="single"/>
          </w:rPr>
          <w:t>阐明人类日光视觉的分子基础</w:t>
        </w:r>
      </w:hyperlink>
    </w:p>
    <w:p>
      <w:pPr>
        <w:spacing w:before="0" w:after="80"/>
      </w:pPr>
      <w:r>
        <w:rPr>
          <w:i/>
          <w:sz w:val="20"/>
        </w:rPr>
        <w:t>EN: Illuminating the molecular basis of human daylight vision</w:t>
      </w:r>
    </w:p>
    <w:p>
      <w:pPr>
        <w:spacing w:before="0" w:after="120"/>
      </w:pPr>
      <w:r>
        <w:rPr>
          <w:b/>
        </w:rPr>
        <w:t xml:space="preserve">Source: </w:t>
      </w:r>
      <w:r>
        <w:t>AAAS: Science: Table of Contents</w:t>
      </w:r>
      <w:r>
        <w:t xml:space="preserve">    </w:t>
      </w:r>
      <w:r>
        <w:rPr>
          <w:b/>
        </w:rPr>
        <w:t xml:space="preserve">Pub date: </w:t>
      </w:r>
      <w:r>
        <w:t>2026-06-25 07:00:00+00:00</w:t>
      </w:r>
      <w:r>
        <w:t xml:space="preserve">    </w:t>
      </w:r>
      <w:r>
        <w:rPr>
          <w:b/>
        </w:rPr>
        <w:t xml:space="preserve">DOI: </w:t>
      </w:r>
      <w:hyperlink r:id="rId1082">
        <w:r>
          <w:rPr>
            <w:color w:val="1155CC"/>
            <w:u w:val="single"/>
          </w:rPr>
          <w:t>10.1126/science.adz3624</w:t>
        </w:r>
      </w:hyperlink>
    </w:p>
    <w:p>
      <w:pPr>
        <w:spacing w:before="0" w:after="120"/>
      </w:pPr>
      <w:r>
        <w:rPr>
          <w:b/>
        </w:rPr>
        <w:t xml:space="preserve">Notes: </w:t>
      </w:r>
      <w:r>
        <w:t>abstract_source=crossref</w:t>
      </w:r>
    </w:p>
    <w:p>
      <w:pPr>
        <w:spacing w:before="0" w:after="80" w:lineRule="auto" w:line="276"/>
      </w:pPr>
      <w:r>
        <w:rPr>
          <w:b/>
        </w:rPr>
        <w:t xml:space="preserve">摘要（ZH）: </w:t>
      </w:r>
      <w:r>
        <w:t>明视觉，包括日光下的快速运动和颜色感知，是由视锥蛋白、特殊的 G 蛋白偶联受体 (GPCR) 介导的。尽管共享相同的发色团，但这三种受体亚型吸收可见光谱不同波长的光。控制其光谱特性和异常快速响应的分子机制仍然很大程度上未知。我们报告了人类蓝敏感 (OPN1SW) 和绿敏感 (OPN1MW) 锥体视蛋白在暗适应状态下的冷冻电子显微镜结构，并结合飞秒分辨率光谱、功能测定和高级模拟。这些数据揭示了人类视觉视蛋白中不同的发色团稳定机制以及 GPCR 微开关基序中的特定序列适应，强调了它们的结构可塑性和独特的激活机制。这些发现描绘了满足日光视觉需求的进化改进的分子基础。</w:t>
      </w:r>
    </w:p>
    <w:p>
      <w:pPr>
        <w:spacing w:before="0" w:after="200" w:lineRule="auto" w:line="276"/>
      </w:pPr>
      <w:r>
        <w:rPr>
          <w:b/>
        </w:rPr>
        <w:t xml:space="preserve">Abstract (EN): </w:t>
      </w:r>
      <w:r>
        <w:t>Photopic vision, including fast motion and color perception in daylight, is mediated by cone opsins, specialized G protein–coupled receptors (GPCRs). Despite sharing the same chromophore, the three receptor subtypes absorb light at different wavelengths of the visible spectrum. The molecular mechanisms governing their spectral properties and exceptionally rapid responses remain largely unknown. We report cryo–electron microscopy structures of the human blue-sensitive (OPN1SW) and green-sensitive (OPN1MW) cone opsins in their dark-adapted states, combined with femtosecond-resolution spectroscopy, functional assays, and advanced simulations. The data reveal distinct chromophore stabilization mechanisms across human visual opsins and specific sequence adaptations in the GPCR microswitch motifs, underlining their structural plasticity and distinct activation mechanisms. These findings delineate the molecular basis of the evolutionary refinements fulfilling the needs of vision in daylight.</w:t>
      </w:r>
    </w:p>
    <w:p>
      <w:pPr>
        <w:spacing w:before="120" w:after="120"/>
      </w:pPr>
      <w:r>
        <w:rPr>
          <w:sz w:val="18"/>
        </w:rPr>
        <w:t>——————————————————————————————————————————————————————————————————————</w:t>
      </w:r>
    </w:p>
    <w:p>
      <w:pPr>
        <w:spacing w:before="160" w:after="40" w:line="240" w:lineRule="auto"/>
      </w:pPr>
      <w:r>
        <w:rPr>
          <w:b/>
        </w:rPr>
        <w:t xml:space="preserve">[440] </w:t>
      </w:r>
      <w:hyperlink r:id="rId1083">
        <w:r>
          <w:rPr>
            <w:color w:val="1155CC"/>
            <w:u w:val="single"/>
          </w:rPr>
          <w:t>通过管状鞭毛体的高分辨率冷冻电镜分析揭示结构 N- 和 O-聚糖</w:t>
        </w:r>
      </w:hyperlink>
    </w:p>
    <w:p>
      <w:pPr>
        <w:spacing w:before="0" w:after="80"/>
      </w:pPr>
      <w:r>
        <w:rPr>
          <w:i/>
          <w:sz w:val="20"/>
        </w:rPr>
        <w:t>EN: Structural N- and O-glycans revealed by high-resolution cryo-EM analysis of tubular mastigonemes</w:t>
      </w:r>
    </w:p>
    <w:p>
      <w:pPr>
        <w:spacing w:before="0" w:after="120"/>
      </w:pPr>
      <w:r>
        <w:rPr>
          <w:b/>
        </w:rPr>
        <w:t xml:space="preserve">Source: </w:t>
      </w:r>
      <w:r>
        <w:t>AAAS: Science: Table of Contents</w:t>
      </w:r>
      <w:r>
        <w:t xml:space="preserve">    </w:t>
      </w:r>
      <w:r>
        <w:rPr>
          <w:b/>
        </w:rPr>
        <w:t xml:space="preserve">Pub date: </w:t>
      </w:r>
      <w:r>
        <w:t>2026-06-25 07:00:00+00:00</w:t>
      </w:r>
      <w:r>
        <w:t xml:space="preserve">    </w:t>
      </w:r>
      <w:r>
        <w:rPr>
          <w:b/>
        </w:rPr>
        <w:t xml:space="preserve">DOI: </w:t>
      </w:r>
      <w:hyperlink r:id="rId1084">
        <w:r>
          <w:rPr>
            <w:color w:val="1155CC"/>
            <w:u w:val="single"/>
          </w:rPr>
          <w:t>10.1126/science.aef4958</w:t>
        </w:r>
      </w:hyperlink>
    </w:p>
    <w:p>
      <w:pPr>
        <w:spacing w:before="0" w:after="120"/>
      </w:pPr>
      <w:r>
        <w:rPr>
          <w:b/>
        </w:rPr>
        <w:t xml:space="preserve">Notes: </w:t>
      </w:r>
      <w:r>
        <w:t>abstract_source=crossref</w:t>
      </w:r>
    </w:p>
    <w:p>
      <w:pPr>
        <w:spacing w:before="0" w:after="80" w:lineRule="auto" w:line="276"/>
      </w:pPr>
      <w:r>
        <w:rPr>
          <w:b/>
        </w:rPr>
        <w:t xml:space="preserve">摘要（ZH）: </w:t>
      </w:r>
      <w:r>
        <w:t>聚糖的化学复杂性和非模板生物合成对建立序列-结构关系提出了相当大的挑战。在这里，我们报告了来自金藻物种的管状鞭毛体的冷冻电子显微镜结构，</w:t>
      </w:r>
      <w:r>
        <w:t xml:space="preserve"> </w:t>
      </w:r>
      <w:r>
        <w:t>丹麦红单胞菌</w:t>
      </w:r>
      <w:r>
        <w:t xml:space="preserve"> </w:t>
      </w:r>
      <w:r>
        <w:t>，其中大量 N- 和 O- 聚糖以 1.8 至 2.2 埃的分辨率进行解析。除了高甘露糖和复杂的 N-聚糖之外，我们还在 Ala-Asn-Asp (AND) 基序上鉴定出一种非规范的 N-聚糖。表面刺突包含密集的 O-聚糖涂层 PSXX 四肽重复序列，每个重复序列有两个聚糖连接在三羟基脯氨酸上，一个聚糖连接在丝氨酸上。除了各种类型的糖及其共价修饰剂之外，水分子（&gt; 解析体积的 10%）和阳离子也被清晰地解析并介导结构组装。我们的研究建立了一个研究高阶生物组装中聚糖折叠的框架。</w:t>
      </w:r>
    </w:p>
    <w:p>
      <w:pPr>
        <w:spacing w:before="0" w:after="200" w:lineRule="auto" w:line="276"/>
      </w:pPr>
      <w:r>
        <w:rPr>
          <w:b/>
        </w:rPr>
        <w:t xml:space="preserve">Abstract (EN): </w:t>
      </w:r>
      <w:r>
        <w:t>The chemical complexity and nontemplated biosynthesis of glycans have posed considerable challenges for establishing sequence-structure relationships. Here we report cryo–electron microscopy structures of tubular mastigonemes from a golden alga species,</w:t>
      </w:r>
      <w:r>
        <w:t xml:space="preserve"> </w:t>
      </w:r>
      <w:r>
        <w:t>Ochromonas danica</w:t>
      </w:r>
      <w:r>
        <w:t xml:space="preserve"> </w:t>
      </w:r>
      <w:r>
        <w:t>, in which a large number of N- and O-glycans are resolved at 1.8- to 2.2-angstrom resolution. Beyond high-mannose and complex N-glycans, we identify a noncanonical N-glycan on the Ala-Asn-Asp (AND) motif. The surface spikes comprise dense O-glycans coating PSXX tetrapeptide repeats, with two glycans linked on trihydroxylated proline and one on serine per repeat. In addition to various types of sugars and their covalent modifiers, water molecules (&amp;gt;10% of resolved volume) and cations are clearly resolved and mediate the structural assembly. Our study establishes a framework for investigating glycan folding in high-order biological assemblies.</w:t>
      </w:r>
    </w:p>
    <w:p>
      <w:pPr>
        <w:spacing w:before="120" w:after="120"/>
      </w:pPr>
      <w:r>
        <w:rPr>
          <w:sz w:val="18"/>
        </w:rPr>
        <w:t>——————————————————————————————————————————————————————————————————————</w:t>
      </w:r>
    </w:p>
    <w:p>
      <w:pPr>
        <w:spacing w:before="160" w:after="40" w:line="240" w:lineRule="auto"/>
      </w:pPr>
      <w:r>
        <w:rPr>
          <w:b/>
        </w:rPr>
        <w:t xml:space="preserve">[441] </w:t>
      </w:r>
      <w:hyperlink r:id="rId1085">
        <w:r>
          <w:rPr>
            <w:color w:val="1155CC"/>
            <w:u w:val="single"/>
          </w:rPr>
          <w:t>不死模型和笼罩黑洞</w:t>
        </w:r>
      </w:hyperlink>
    </w:p>
    <w:p>
      <w:pPr>
        <w:spacing w:before="0" w:after="80"/>
      </w:pPr>
      <w:r>
        <w:rPr>
          <w:i/>
          <w:sz w:val="20"/>
        </w:rPr>
        <w:t>EN: Undead models and shrouded black holes</w:t>
      </w:r>
    </w:p>
    <w:p>
      <w:pPr>
        <w:spacing w:before="0" w:after="120"/>
      </w:pPr>
      <w:r>
        <w:rPr>
          <w:b/>
        </w:rPr>
        <w:t xml:space="preserve">Source: </w:t>
      </w:r>
      <w:r>
        <w:t>AAAS: Science: Table of Contents</w:t>
      </w:r>
      <w:r>
        <w:t xml:space="preserve">    </w:t>
      </w:r>
      <w:r>
        <w:rPr>
          <w:b/>
        </w:rPr>
        <w:t xml:space="preserve">Pub date: </w:t>
      </w:r>
      <w:r>
        <w:t>2026-06-25 07:00:00+00:00</w:t>
      </w:r>
      <w:r>
        <w:t xml:space="preserve">    </w:t>
      </w:r>
      <w:r>
        <w:rPr>
          <w:b/>
        </w:rPr>
        <w:t xml:space="preserve">DOI: </w:t>
      </w:r>
      <w:hyperlink r:id="rId1086">
        <w:r>
          <w:rPr>
            <w:color w:val="1155CC"/>
            <w:u w:val="single"/>
          </w:rPr>
          <w:t>10.1126/science.aei7838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[442] </w:t>
      </w:r>
      <w:hyperlink r:id="rId1087">
        <w:r>
          <w:rPr>
            <w:color w:val="1155CC"/>
            <w:u w:val="single"/>
          </w:rPr>
          <w:t>铁催化的活性脂质过氧化物驱动开花藻类的超快集体细胞死亡</w:t>
        </w:r>
      </w:hyperlink>
    </w:p>
    <w:p>
      <w:pPr>
        <w:spacing w:before="0" w:after="80"/>
      </w:pPr>
      <w:r>
        <w:rPr>
          <w:i/>
          <w:sz w:val="20"/>
        </w:rPr>
        <w:t>EN: Iron-catalyzed active lipid peroxides drive ultrafast collective cell death in blooming algae</w:t>
      </w:r>
    </w:p>
    <w:p>
      <w:pPr>
        <w:spacing w:before="0" w:after="120"/>
      </w:pPr>
      <w:r>
        <w:rPr>
          <w:b/>
        </w:rPr>
        <w:t xml:space="preserve">Source: </w:t>
      </w:r>
      <w:r>
        <w:t>AAAS: Science: Table of Contents</w:t>
      </w:r>
      <w:r>
        <w:t xml:space="preserve">    </w:t>
      </w:r>
      <w:r>
        <w:rPr>
          <w:b/>
        </w:rPr>
        <w:t xml:space="preserve">Pub date: </w:t>
      </w:r>
      <w:r>
        <w:t>2026-06-25 07:00:00+00:00</w:t>
      </w:r>
      <w:r>
        <w:t xml:space="preserve">    </w:t>
      </w:r>
      <w:r>
        <w:rPr>
          <w:b/>
        </w:rPr>
        <w:t xml:space="preserve">DOI: </w:t>
      </w:r>
      <w:hyperlink r:id="rId1088">
        <w:r>
          <w:rPr>
            <w:color w:val="1155CC"/>
            <w:u w:val="single"/>
          </w:rPr>
          <w:t>10.1126/science.aed3823</w:t>
        </w:r>
      </w:hyperlink>
    </w:p>
    <w:p>
      <w:pPr>
        <w:spacing w:before="0" w:after="120"/>
      </w:pPr>
      <w:r>
        <w:rPr>
          <w:b/>
        </w:rPr>
        <w:t xml:space="preserve">Notes: </w:t>
      </w:r>
      <w:r>
        <w:t>abstract_source=crossref</w:t>
      </w:r>
    </w:p>
    <w:p>
      <w:pPr>
        <w:spacing w:before="0" w:after="80" w:lineRule="auto" w:line="276"/>
      </w:pPr>
      <w:r>
        <w:rPr>
          <w:b/>
        </w:rPr>
        <w:t xml:space="preserve">摘要（ZH）: </w:t>
      </w:r>
      <w:r>
        <w:t>有害藻华是全球最严重的生态危害，几天之内就会突然终止。在这项工作中，我们发现铁催化的活性脂质过氧化物主要引发单个细胞铁死亡并导致大量蓝细菌的种群崩溃。我们揭示了不稳定铁爆发、氧化应激、脂质过氧化和细胞死亡的时间顺序</w:t>
      </w:r>
      <w:r>
        <w:t xml:space="preserve"> </w:t>
      </w:r>
      <w:r>
        <w:t>微囊藻属</w:t>
      </w:r>
      <w:r>
        <w:t xml:space="preserve"> </w:t>
      </w:r>
      <w:r>
        <w:t>绽放消亡事件。死细胞在集落内表现出非随机的空间分布。由细胞不稳定铁催化的强化脂质过氧化作用产生截短的磷脂，其具有带有烷基的缩短的脂肪酰基链。这些活性脂质过氧化物使质膜不稳定并诱导纳米级膜孔形成，导致单个细胞铁死亡和裂解。铁死亡细胞也会释放氧化脂质，将脂质过氧化传播到邻近细胞，从而在整个群体中传播死亡。</w:t>
      </w:r>
    </w:p>
    <w:p>
      <w:pPr>
        <w:spacing w:before="0" w:after="200" w:lineRule="auto" w:line="276"/>
      </w:pPr>
      <w:r>
        <w:rPr>
          <w:b/>
        </w:rPr>
        <w:t xml:space="preserve">Abstract (EN): </w:t>
      </w:r>
      <w:r>
        <w:t>Harmful algal blooms, the most severe ecological hazards worldwide, terminate abruptly within a few days. In this work, we identified that iron-catalyzed active lipid peroxides predominantly trigger individual cell ferroptosis and drive the population collapse of blooming cyanobacteria. We reveal the chronological sequence of labile iron burst, oxidative stress, lipid peroxidation, and cell death during a</w:t>
      </w:r>
      <w:r>
        <w:t xml:space="preserve"> </w:t>
      </w:r>
      <w:r>
        <w:t>Microcystis</w:t>
      </w:r>
      <w:r>
        <w:t xml:space="preserve"> </w:t>
      </w:r>
      <w:r>
        <w:t>bloom demise event. Dead cells exhibit a nonrandom spatial distribution within colonies. Intensifying lipid peroxidation catalyzed by cellular labile iron generates truncated phospholipids with shortened fatty acyl chains bearing alkyl groups. These active lipid peroxides destabilize plasma membranes and induce nanoscale membrane pore formation, resulting in individual cell ferroptosis and lysis. Oxidized lipids are also released from ferroptotic cells, propagating lipid peroxidation to neighboring cells, thereby spreading death throughout the population.</w:t>
      </w:r>
    </w:p>
    <w:p>
      <w:pPr>
        <w:spacing w:before="120" w:after="120"/>
      </w:pPr>
      <w:r>
        <w:rPr>
          <w:sz w:val="18"/>
        </w:rPr>
        <w:t>——————————————————————————————————————————————————————————————————————</w:t>
      </w:r>
    </w:p>
    <w:p>
      <w:pPr>
        <w:spacing w:before="160" w:after="40" w:line="240" w:lineRule="auto"/>
      </w:pPr>
      <w:r>
        <w:rPr>
          <w:b/>
        </w:rPr>
        <w:t xml:space="preserve">[443] </w:t>
      </w:r>
      <w:hyperlink r:id="rId1089">
        <w:r>
          <w:rPr>
            <w:color w:val="1155CC"/>
            <w:u w:val="single"/>
          </w:rPr>
          <w:t>泛素样蛋白 NEDD8 和 SUMO2 控制上皮稳态、再生和炎症</w:t>
        </w:r>
      </w:hyperlink>
    </w:p>
    <w:p>
      <w:pPr>
        <w:spacing w:before="0" w:after="80"/>
      </w:pPr>
      <w:r>
        <w:rPr>
          <w:i/>
          <w:sz w:val="20"/>
        </w:rPr>
        <w:t>EN: Ubiquitin-like proteins NEDD8 and SUMO2 control epithelial homeostasis, regeneration, and inflammation</w:t>
      </w:r>
    </w:p>
    <w:p>
      <w:pPr>
        <w:spacing w:before="0" w:after="120"/>
      </w:pPr>
      <w:r>
        <w:rPr>
          <w:b/>
        </w:rPr>
        <w:t xml:space="preserve">Source: </w:t>
      </w:r>
      <w:r>
        <w:t>AAAS: Science: Table of Contents</w:t>
      </w:r>
      <w:r>
        <w:t xml:space="preserve">    </w:t>
      </w:r>
      <w:r>
        <w:rPr>
          <w:b/>
        </w:rPr>
        <w:t xml:space="preserve">Pub date: </w:t>
      </w:r>
      <w:r>
        <w:t>2026-06-25 07:00:00+00:00</w:t>
      </w:r>
      <w:r>
        <w:t xml:space="preserve">    </w:t>
      </w:r>
      <w:r>
        <w:rPr>
          <w:b/>
        </w:rPr>
        <w:t xml:space="preserve">DOI: </w:t>
      </w:r>
      <w:hyperlink r:id="rId1090">
        <w:r>
          <w:rPr>
            <w:color w:val="1155CC"/>
            <w:u w:val="single"/>
          </w:rPr>
          <w:t>10.1126/science.aeb3900</w:t>
        </w:r>
      </w:hyperlink>
    </w:p>
    <w:p>
      <w:pPr>
        <w:spacing w:before="0" w:after="120"/>
      </w:pPr>
      <w:r>
        <w:rPr>
          <w:b/>
        </w:rPr>
        <w:t xml:space="preserve">Notes: </w:t>
      </w:r>
      <w:r>
        <w:t>abstract_source=crossref</w:t>
      </w:r>
    </w:p>
    <w:p>
      <w:pPr>
        <w:spacing w:before="0" w:after="80" w:lineRule="auto" w:line="276"/>
      </w:pPr>
      <w:r>
        <w:rPr>
          <w:b/>
        </w:rPr>
        <w:t xml:space="preserve">摘要（ZH）: </w:t>
      </w:r>
      <w:r>
        <w:t>分层上皮分化涉及转录和蛋白质组重塑。在这里，多组学分析表明泛素和相关的翻译后网络参与分化动态。对原代人角质形成细胞中泛素样机制的系统性扰动，揭示了神经前体细胞表达的发育下调 8 (NEDD8) 和小泛素相关修饰物 2 (SUMO2) 的相反功能。条件敲除小鼠的产生确立了 NEDD8 在祖细胞维持、皮肤再生和炎症中的重要作用，而 SUMO2 是分化所必需的。除了泛素-蛋白酶体一致的变化之外，NEDD8 还指导与 RNA 丰度相关的蛋白质组调控。免疫沉淀-质谱与全基因组抑制筛选的整合揭示了上下文特异性的 NEDDylation 依赖性。在效应子中，异质核核糖核蛋白 U (HNRNPU) 作为上皮细胞状态的转录后调节因子出现，其 RNA 结合库受到 NEDDylation 的调节。因此，NEDD8 和 SUMO2 在上皮稳态、再生和炎症中发挥相反的作用，证明了泛素样网络控制组织稳态的多种方式。</w:t>
      </w:r>
    </w:p>
    <w:p>
      <w:pPr>
        <w:spacing w:before="0" w:after="200" w:lineRule="auto" w:line="276"/>
      </w:pPr>
      <w:r>
        <w:rPr>
          <w:b/>
        </w:rPr>
        <w:t xml:space="preserve">Abstract (EN): </w:t>
      </w:r>
      <w:r>
        <w:t>Stratified epithelial differentiation involves transcriptional and proteomic remodeling. Here, multiomic profiling implicated ubiquitin and related posttranslational networks in differentiation dynamics. Systematic perturbation of ubiquitin-like machinery in primary human keratinocytes which uncovered opposite functions of neural-precursor-cell–expressed, developmentally down-regulated 8 (NEDD8) and small ubiquitin-related modifier 2 (SUMO2). Generation of conditional knockout mice established essential roles for NEDD8 in progenitor maintenance, skin regeneration, and inflammation, whereas SUMO2 was required for differentiation. Beyond ubiquitin-proteasome-concordant changes, NEDD8 directed proteomic regulation correlated with RNA abundance. Integration of immunoprecipitation– mass spectrometry with genome-wide suppressor screening revealed context-specific NEDDylation dependencies. Among effectors, heterogeneous nuclear ribonucleoprotein U (HNRNPU) emerged as a posttranscriptional regulator of epithelial cell state whose RNA binding repertoire was modulated by NEDDylation. Thus, NEDD8 and SUMO2 play opposite roles in epithelial homeostasis, regeneration, and inflammation, demonstrating multiple ways ubiquitin-like networks govern tissue homeostasis.</w:t>
      </w:r>
    </w:p>
    <w:p>
      <w:pPr>
        <w:spacing w:before="120" w:after="120"/>
      </w:pPr>
      <w:r>
        <w:rPr>
          <w:sz w:val="18"/>
        </w:rPr>
        <w:t>——————————————————————————————————————————————————————————————————————</w:t>
      </w:r>
    </w:p>
    <w:p>
      <w:pPr>
        <w:spacing w:before="160" w:after="40" w:line="240" w:lineRule="auto"/>
      </w:pPr>
      <w:r>
        <w:rPr>
          <w:b/>
        </w:rPr>
        <w:t xml:space="preserve">[444] </w:t>
      </w:r>
      <w:hyperlink r:id="rId1091">
        <w:r>
          <w:rPr>
            <w:color w:val="1155CC"/>
            <w:u w:val="single"/>
          </w:rPr>
          <w:t>人类视锥细胞视色素的冷冻电子显微镜结构</w:t>
        </w:r>
      </w:hyperlink>
    </w:p>
    <w:p>
      <w:pPr>
        <w:spacing w:before="0" w:after="80"/>
      </w:pPr>
      <w:r>
        <w:rPr>
          <w:i/>
          <w:sz w:val="20"/>
        </w:rPr>
        <w:t>EN: Cryo–electron microscopy structures of human cone visual pigments</w:t>
      </w:r>
    </w:p>
    <w:p>
      <w:pPr>
        <w:spacing w:before="0" w:after="120"/>
      </w:pPr>
      <w:r>
        <w:rPr>
          <w:b/>
        </w:rPr>
        <w:t xml:space="preserve">Source: </w:t>
      </w:r>
      <w:r>
        <w:t>AAAS: Science: Table of Contents</w:t>
      </w:r>
      <w:r>
        <w:t xml:space="preserve">    </w:t>
      </w:r>
      <w:r>
        <w:rPr>
          <w:b/>
        </w:rPr>
        <w:t xml:space="preserve">Pub date: </w:t>
      </w:r>
      <w:r>
        <w:t>2026-06-25 07:00:00+00:00</w:t>
      </w:r>
      <w:r>
        <w:t xml:space="preserve">    </w:t>
      </w:r>
      <w:r>
        <w:rPr>
          <w:b/>
        </w:rPr>
        <w:t xml:space="preserve">DOI: </w:t>
      </w:r>
      <w:hyperlink r:id="rId1092">
        <w:r>
          <w:rPr>
            <w:color w:val="1155CC"/>
            <w:u w:val="single"/>
          </w:rPr>
          <w:t>10.1126/science.adz8141</w:t>
        </w:r>
      </w:hyperlink>
    </w:p>
    <w:p>
      <w:pPr>
        <w:spacing w:before="0" w:after="120"/>
      </w:pPr>
      <w:r>
        <w:rPr>
          <w:b/>
        </w:rPr>
        <w:t xml:space="preserve">Notes: </w:t>
      </w:r>
      <w:r>
        <w:t>abstract_source=crossref</w:t>
      </w:r>
    </w:p>
    <w:p>
      <w:pPr>
        <w:spacing w:before="0" w:after="80" w:lineRule="auto" w:line="276"/>
      </w:pPr>
      <w:r>
        <w:rPr>
          <w:b/>
        </w:rPr>
        <w:t xml:space="preserve">摘要（ZH）: </w:t>
      </w:r>
      <w:r>
        <w:t>人类三色视觉依赖于三种视锥细胞视蛋白[长波、中波和短波敏感视蛋白（分别为LWS-、MWS-和SWS-视蛋白）]，而暗视杆视觉则由视紫红质介导。尽管视紫红质的结构在20多年前就已被解决，但视锥细胞视蛋白的结构一直缺乏。在这里，我们展示了三种人类视锥细胞视蛋白的冷冻电子显微镜结构，每种视蛋白都与 G 蛋白结合，并且全部-</w:t>
      </w:r>
      <w:r>
        <w:t>反式</w:t>
      </w:r>
      <w:r>
        <w:t xml:space="preserve"> </w:t>
      </w:r>
      <w:r>
        <w:t>视网膜处于假定的活跃状态。所有三种视锥细胞视蛋白都与视紫红质显着不同。在视网膜结合袋内，我们确定了一个独特的抗衡离子位点（LWS-和MWS-视蛋白）和视网膜周围的丝氨酸环（SWS-视蛋白）。活性视锥细胞视蛋白结构解释了氨基酸取代如何微调光谱灵敏度，并有助于阐明色觉缺陷的分子基础以及视杆细胞与视锥细胞激活的关键差异。</w:t>
      </w:r>
    </w:p>
    <w:p>
      <w:pPr>
        <w:spacing w:before="0" w:after="200" w:lineRule="auto" w:line="276"/>
      </w:pPr>
      <w:r>
        <w:rPr>
          <w:b/>
        </w:rPr>
        <w:t xml:space="preserve">Abstract (EN): </w:t>
      </w:r>
      <w:r>
        <w:t>Human trichromatic color vision relies on three cone opsins [long-, middle-, and short-wavelength-sensitive opsins (LWS-, MWS-, and SWS-opsins, respectively)], whereas scotopic rod vision is mediated by rhodopsin. Although the structure of rhodopsin was solved more than 20 years ago, cone opsin structures have been lacking. Here, we present cryo–electron microscopy structures of the three human cone opsins, each bound to a G protein and all-</w:t>
      </w:r>
      <w:r>
        <w:t>trans</w:t>
      </w:r>
      <w:r>
        <w:t xml:space="preserve"> </w:t>
      </w:r>
      <w:r>
        <w:t>retinal in the presumed active state. All three cone opsins differ markedly from rhodopsin. Within the retinal binding pocket, we identified a distinct counterion site (LWS- and MWS-opsins) and a ring of serines around the retinal (SWS-opsin). The active cone opsin structures explain how amino acid substitutions fine-tune spectral sensitivity and help clarify the molecular basis of color vision deficiencies and key differences in rod versus cone activation.</w:t>
      </w:r>
    </w:p>
    <w:p>
      <w:pPr>
        <w:spacing w:before="120" w:after="120"/>
      </w:pPr>
      <w:r>
        <w:rPr>
          <w:sz w:val="18"/>
        </w:rPr>
        <w:t>——————————————————————————————————————————————————————————————————————</w:t>
      </w:r>
    </w:p>
    <w:p>
      <w:pPr>
        <w:spacing w:before="160" w:after="40" w:line="240" w:lineRule="auto"/>
      </w:pPr>
      <w:r>
        <w:rPr>
          <w:b/>
        </w:rPr>
        <w:t xml:space="preserve">[445] </w:t>
      </w:r>
      <w:hyperlink r:id="rId1093">
        <w:r>
          <w:rPr>
            <w:color w:val="1155CC"/>
            <w:u w:val="single"/>
          </w:rPr>
          <w:t>锥视色素光谱调谐和视网膜交换的结构见解</w:t>
        </w:r>
      </w:hyperlink>
    </w:p>
    <w:p>
      <w:pPr>
        <w:spacing w:before="0" w:after="80"/>
      </w:pPr>
      <w:r>
        <w:rPr>
          <w:i/>
          <w:sz w:val="20"/>
        </w:rPr>
        <w:t>EN: Structural insights into spectral tuning and retinal exchange in cone visual pigments</w:t>
      </w:r>
    </w:p>
    <w:p>
      <w:pPr>
        <w:spacing w:before="0" w:after="120"/>
      </w:pPr>
      <w:r>
        <w:rPr>
          <w:b/>
        </w:rPr>
        <w:t xml:space="preserve">Source: </w:t>
      </w:r>
      <w:r>
        <w:t>AAAS: Science: Table of Contents</w:t>
      </w:r>
      <w:r>
        <w:t xml:space="preserve">    </w:t>
      </w:r>
      <w:r>
        <w:rPr>
          <w:b/>
        </w:rPr>
        <w:t xml:space="preserve">Pub date: </w:t>
      </w:r>
      <w:r>
        <w:t>2026-06-25 07:00:00+00:00</w:t>
      </w:r>
      <w:r>
        <w:t xml:space="preserve">    </w:t>
      </w:r>
      <w:r>
        <w:rPr>
          <w:b/>
        </w:rPr>
        <w:t xml:space="preserve">DOI: </w:t>
      </w:r>
      <w:hyperlink r:id="rId1094">
        <w:r>
          <w:rPr>
            <w:color w:val="1155CC"/>
            <w:u w:val="single"/>
          </w:rPr>
          <w:t>10.1126/science.adz3996</w:t>
        </w:r>
      </w:hyperlink>
    </w:p>
    <w:p>
      <w:pPr>
        <w:spacing w:before="0" w:after="120"/>
      </w:pPr>
      <w:r>
        <w:rPr>
          <w:b/>
        </w:rPr>
        <w:t xml:space="preserve">Notes: </w:t>
      </w:r>
      <w:r>
        <w:t>abstract_source=crossref</w:t>
      </w:r>
    </w:p>
    <w:p>
      <w:pPr>
        <w:spacing w:before="0" w:after="80" w:lineRule="auto" w:line="276"/>
      </w:pPr>
      <w:r>
        <w:rPr>
          <w:b/>
        </w:rPr>
        <w:t xml:space="preserve">摘要（ZH）: </w:t>
      </w:r>
      <w:r>
        <w:t>卡他灵长类动物的色觉依赖于对红色、绿色和蓝色敏感的视锥色素，它们共享 11-</w:t>
      </w:r>
      <w:r>
        <w:t>顺式</w:t>
      </w:r>
      <w:r>
        <w:t xml:space="preserve"> </w:t>
      </w:r>
      <w:r>
        <w:t>-视网膜发色团，但吸收最大值不同。红色和绿色色素是由最近的基因复制产生的，并且仅在几个残基上有所不同。在这里，我们报告了食蟹猴红色和绿色锥体色素的冷冻电子显微镜结构（</w:t>
      </w:r>
      <w:r>
        <w:t xml:space="preserve"> </w:t>
      </w:r>
      <w:r>
        <w:t>食蟹猴</w:t>
      </w:r>
      <w:r>
        <w:t xml:space="preserve"> </w:t>
      </w:r>
      <w:r>
        <w:t>）与低温振动光谱以及量子力学和分子力学建模相结合。红绿光谱位移主要由苏氨酸 285 主导，其羟基偶极子调节发色团静电，而空间效应则显得温和。我们还在视锥色素中发现了面向膜的侧向开口，但在非活性视紫红质中没有发现。与活性状态结构的比较表明激活依赖性门控，突变和光谱分析支持该开放在视网膜摄取和快速色素再生中的作用。</w:t>
      </w:r>
    </w:p>
    <w:p>
      <w:pPr>
        <w:spacing w:before="0" w:after="200" w:lineRule="auto" w:line="276"/>
      </w:pPr>
      <w:r>
        <w:rPr>
          <w:b/>
        </w:rPr>
        <w:t xml:space="preserve">Abstract (EN): </w:t>
      </w:r>
      <w:r>
        <w:t>Color vision in catarrhine primates relies on red-, green-, and blue-sensitive cone pigments that share an 11-</w:t>
      </w:r>
      <w:r>
        <w:t>cis</w:t>
      </w:r>
      <w:r>
        <w:t xml:space="preserve"> </w:t>
      </w:r>
      <w:r>
        <w:t>-retinal chromophore but differ in absorption maxima. Red and green pigments arose by recent gene duplication and differ at only a few residues. Here, we report cryo–electron microscopy structures of red and green cone pigments from the cynomolgus macaque (</w:t>
      </w:r>
      <w:r>
        <w:t xml:space="preserve"> </w:t>
      </w:r>
      <w:r>
        <w:t>Macaca fascicularis</w:t>
      </w:r>
      <w:r>
        <w:t xml:space="preserve"> </w:t>
      </w:r>
      <w:r>
        <w:t>) integrated with low-temperature vibrational spectroscopy and quantum mechanical and molecular mechanical modeling. The red-green spectral shift is dominated by threonine 285, the hydroxyl dipole of which modulates chromophore electrostatics, whereas steric effects appear modest. We also identified membrane-facing lateral openings in cone pigments but not in inactive rhodopsin. Comparisons with active-state structures suggest activation-dependent gating, and mutational and spectroscopic analyses support a role for this opening in retinal uptake and rapid pigment regeneration.</w:t>
      </w:r>
    </w:p>
    <w:p>
      <w:pPr>
        <w:spacing w:before="120" w:after="120"/>
      </w:pPr>
      <w:r>
        <w:rPr>
          <w:sz w:val="18"/>
        </w:rPr>
        <w:t>——————————————————————————————————————————————————————————————————————</w:t>
      </w:r>
    </w:p>
    <w:p>
      <w:pPr>
        <w:spacing w:before="160" w:after="40" w:line="240" w:lineRule="auto"/>
      </w:pPr>
      <w:r>
        <w:rPr>
          <w:b/>
        </w:rPr>
        <w:t xml:space="preserve">[446] </w:t>
      </w:r>
      <w:hyperlink r:id="rId1095">
        <w:r>
          <w:rPr>
            <w:color w:val="1155CC"/>
            <w:u w:val="single"/>
          </w:rPr>
          <w:t>PRDM9引导重组热点的起源</w:t>
        </w:r>
      </w:hyperlink>
    </w:p>
    <w:p>
      <w:pPr>
        <w:spacing w:before="0" w:after="80"/>
      </w:pPr>
      <w:r>
        <w:rPr>
          <w:i/>
          <w:sz w:val="20"/>
        </w:rPr>
        <w:t>EN: On the origin of PRDM9-guided recombination hotspots</w:t>
      </w:r>
    </w:p>
    <w:p>
      <w:pPr>
        <w:spacing w:before="0" w:after="120"/>
      </w:pPr>
      <w:r>
        <w:rPr>
          <w:b/>
        </w:rPr>
        <w:t xml:space="preserve">Source: </w:t>
      </w:r>
      <w:r>
        <w:t>Proceedings of the National Academy of Sciences: Keyword search for query</w:t>
      </w:r>
      <w:r>
        <w:t xml:space="preserve">    </w:t>
      </w:r>
      <w:r>
        <w:rPr>
          <w:b/>
        </w:rPr>
        <w:t xml:space="preserve">Pub date: </w:t>
      </w:r>
      <w:r>
        <w:t>2026-06-25 07:00:00+00:00</w:t>
      </w:r>
      <w:r>
        <w:t xml:space="preserve">    </w:t>
      </w:r>
      <w:r>
        <w:rPr>
          <w:b/>
        </w:rPr>
        <w:t xml:space="preserve">DOI: </w:t>
      </w:r>
      <w:hyperlink r:id="rId1096">
        <w:r>
          <w:rPr>
            <w:color w:val="1155CC"/>
            <w:u w:val="single"/>
          </w:rPr>
          <w:t>10.1073/pnas.2535682123</w:t>
        </w:r>
      </w:hyperlink>
    </w:p>
    <w:p>
      <w:pPr>
        <w:spacing w:before="0" w:after="120"/>
      </w:pPr>
      <w:r>
        <w:rPr>
          <w:b/>
        </w:rPr>
        <w:t xml:space="preserve">Notes: </w:t>
      </w:r>
      <w:r>
        <w:t>abstract_source=crossref</w:t>
      </w:r>
    </w:p>
    <w:p>
      <w:pPr>
        <w:spacing w:before="0" w:after="80" w:lineRule="auto" w:line="276"/>
      </w:pPr>
      <w:r>
        <w:rPr>
          <w:b/>
        </w:rPr>
        <w:t xml:space="preserve">摘要（ZH）: </w:t>
      </w:r>
      <w:r>
        <w:t>减数分裂重组在脊椎动物中高度保守，在确保染色体分割和产生基因组变异方面发挥着重要作用。然而，物种采用两种截然不同的机制来引导重组。在大多数哺乳动物中，重组热点位置由蛋白质 PRDM9 决定，该蛋白质结合特定的 DNA 序列基序。这些基序会被有偏见的基因转换迅速侵蚀，使这种机制具有自我毁灭性和进化短暂性。相比之下，鸟类在独立于序列基序的开放染色质区域启动重组，产生自我保护和进化稳定的重组热点。有些物种同时使用两种类型的热点，这就提出了一个尚未解决的问题：为什么 PRDM9 引导的热点与强大的替代方案一起存在。在这里，我们使用群体遗传模型来解决这个问题，该模型明确考虑了 PRDM9 引导和非 PRDM9 引导的重组热点之间的竞争。我们表明，非 PRDM9 引导的热点通常受到青睐，因为缺乏序列特异性，它们会产生正确染色体分离所需的更多交叉。然而，当两个同源染色体的同时结合（对称结合）比单个同源染色体的结合（不对称结合）更有可能解析为交叉时，PRDM9引导的热点可以克服这个缺点。尽管 PRDM9 降低了总体交叉率，但其序列特异性增加了热点内对称结合的概率，从而产生了一种在特定条件下有利于 PRDM9 的权衡。</w:t>
      </w:r>
    </w:p>
    <w:p>
      <w:pPr>
        <w:spacing w:before="0" w:after="200" w:lineRule="auto" w:line="276"/>
      </w:pPr>
      <w:r>
        <w:rPr>
          <w:b/>
        </w:rPr>
        <w:t xml:space="preserve">Abstract (EN): </w:t>
      </w:r>
      <w:r>
        <w:t>Meiotic recombination is highly conserved across vertebrates and plays an essential role in ensuring chromosomal segmentation and generating genomic variation. However, species employ two strikingly different mechanisms to guide recombination. In most mammals, recombination hotspot locations are determined by the protein PRDM9, which binds specific DNA sequence motifs. These motifs are rapidly eroded by biased gene conversion, rendering this mechanism self-destructive and evolutionarily transient. In contrast, birds initiate recombination at open chromatin regions independently of sequence motifs, producing self-preserving and evolutionarily stable recombination hotspots. Some species use both types of hotspots simultaneously, raising the unresolved question of why PRDM9-guided hotspots persist alongside a robust alternative. Here, we address this problem using a population genetic model that explicitly considers competition between PRDM9-guided and non-PRDM9-guided recombination hotspots. We show that non-PRDM9-guided hotspots are generally favored because, lacking sequence specificity, they generate more crossovers required for proper chromosome segregation. However, PRDM9-guided hotspots can overcome this disadvantage when simultaneous binding of both homologous chromosomes (symmetric binding) is more likely to resolve as crossovers than binding of a single homolog (asymmetric binding). Although PRDM9 reduces overall crossover rate, its sequence specificity increases the probability of symmetric binding within hotspots, creating a trade-off that can favor PRDM9 under specific selection regimes. Our model predicts that PRDM9-dependent species are particularly sensitive to disruptions of symmetric binding, whereas species lacking PRDM9 are more vulnerable to complete crossover failure. Intermediate regimes allow stable coexistence of both hotspot types.</w:t>
      </w:r>
    </w:p>
    <w:p>
      <w:pPr>
        <w:spacing w:before="120" w:after="120"/>
      </w:pPr>
      <w:r>
        <w:rPr>
          <w:sz w:val="18"/>
        </w:rPr>
        <w:t>——————————————————————————————————————————————————————————————————————</w:t>
      </w:r>
    </w:p>
    <w:p>
      <w:pPr>
        <w:spacing w:before="160" w:after="40" w:line="240" w:lineRule="auto"/>
      </w:pPr>
      <w:r>
        <w:rPr>
          <w:b/>
        </w:rPr>
        <w:t xml:space="preserve">[447] </w:t>
      </w:r>
      <w:hyperlink r:id="rId1097">
        <w:r>
          <w:rPr>
            <w:color w:val="1155CC"/>
            <w:u w:val="single"/>
          </w:rPr>
          <w:t>流变学对巨型逆冲地震深度依赖性的控制</w:t>
        </w:r>
      </w:hyperlink>
    </w:p>
    <w:p>
      <w:pPr>
        <w:spacing w:before="0" w:after="80"/>
      </w:pPr>
      <w:r>
        <w:rPr>
          <w:i/>
          <w:sz w:val="20"/>
        </w:rPr>
        <w:t>EN: Rheologic controls on the depth dependence of megathrust earthquakes</w:t>
      </w:r>
    </w:p>
    <w:p>
      <w:pPr>
        <w:spacing w:before="0" w:after="120"/>
      </w:pPr>
      <w:r>
        <w:rPr>
          <w:b/>
        </w:rPr>
        <w:t xml:space="preserve">Source: </w:t>
      </w:r>
      <w:r>
        <w:t>Proceedings of the National Academy of Sciences: Keyword search for query</w:t>
      </w:r>
      <w:r>
        <w:t xml:space="preserve">    </w:t>
      </w:r>
      <w:r>
        <w:rPr>
          <w:b/>
        </w:rPr>
        <w:t xml:space="preserve">Pub date: </w:t>
      </w:r>
      <w:r>
        <w:t>2026-06-25 07:00:00+00:00</w:t>
      </w:r>
      <w:r>
        <w:t xml:space="preserve">    </w:t>
      </w:r>
      <w:r>
        <w:rPr>
          <w:b/>
        </w:rPr>
        <w:t xml:space="preserve">DOI: </w:t>
      </w:r>
      <w:hyperlink r:id="rId1098">
        <w:r>
          <w:rPr>
            <w:color w:val="1155CC"/>
            <w:u w:val="single"/>
          </w:rPr>
          <w:t>10.1073/pnas.2535447123</w:t>
        </w:r>
      </w:hyperlink>
    </w:p>
    <w:p>
      <w:pPr>
        <w:spacing w:before="0" w:after="120"/>
      </w:pPr>
      <w:r>
        <w:rPr>
          <w:b/>
        </w:rPr>
        <w:t xml:space="preserve">Notes: </w:t>
      </w:r>
      <w:r>
        <w:t>abstract_source=crossref</w:t>
      </w:r>
    </w:p>
    <w:p>
      <w:pPr>
        <w:spacing w:before="0" w:after="80" w:lineRule="auto" w:line="276"/>
      </w:pPr>
      <w:r>
        <w:rPr>
          <w:b/>
        </w:rPr>
        <w:t xml:space="preserve">摘要（ZH）: </w:t>
      </w:r>
      <w:r>
        <w:t>俯冲巨型逆冲断层的各种滑动行为，包括致命的巨型逆冲断层地震，都与深度有关。然而，我们不知道是什么导致了这种深度依赖性，部分原因是俯冲带热结构和岩性输入之间的变化。在这里，我们研究了对大地震成核深度的控制（Mw</w:t>
      </w:r>
      <w:r>
        <w:t xml:space="preserve"> </w:t>
      </w:r>
      <w:r>
        <w:t>≳</w:t>
      </w:r>
      <w:r>
        <w:t xml:space="preserve"> </w:t>
      </w:r>
      <w:r>
        <w:t>8）地震发生的更深程度。为此，我们使用已发布的俯冲岩性本构关系和区域热模型为六个俯冲带创建流变强度包络线。然后我们将强度包络线与当地板块界面地震深度进行比较。我们的综合表明，俯冲沉积物在附近经历了从摩擦变形到主要是粘性变形的转变。</w:t>
      </w:r>
      <w:r>
        <w:t xml:space="preserve"> </w:t>
      </w:r>
      <w:r>
        <w:rPr>
          <w:vertAlign w:val="subscript"/>
        </w:rPr>
        <w:t>300</w:t>
      </w:r>
      <w:r>
        <w:t>±</w:t>
      </w:r>
      <w:r>
        <w:rPr>
          <w:vertAlign w:val="subscript"/>
        </w:rPr>
        <w:t>60</w:t>
      </w:r>
      <w:r>
        <w:t xml:space="preserve"> </w:t>
      </w:r>
      <w:r>
        <w:t>°</w:t>
      </w:r>
      <w:r>
        <w:t xml:space="preserve"> </w:t>
      </w:r>
      <w:r>
        <w:t>C 与 20 至 30 公里大地震最大成核深度相关的转变。然而，较小的板块界面地震（</w:t>
      </w:r>
      <w:r>
        <w:t xml:space="preserve"> </w:t>
      </w:r>
      <w:r>
        <w:rPr>
          <w:vertAlign w:val="subscript"/>
        </w:rPr>
        <w:t>5</w:t>
      </w:r>
      <w:r>
        <w:t>≤</w:t>
      </w:r>
    </w:p>
    <w:p>
      <w:pPr>
        <w:spacing w:before="0" w:after="200" w:lineRule="auto" w:line="276"/>
      </w:pPr>
      <w:r>
        <w:rPr>
          <w:b/>
        </w:rPr>
        <w:t xml:space="preserve">Abstract (EN): </w:t>
      </w:r>
      <w:r>
        <w:t>The various slip behaviors of the subduction megathrust fault, including deadly megathrust earthquakes, are depth-dependent. Yet, we do not know what causes this depth dependence, in part due to variability between subduction zone thermal structures and lithological inputs. Here, we investigate controls on the nucleation depths of great earthquakes (Mw</w:t>
      </w:r>
      <w:r>
        <w:t xml:space="preserve"> </w:t>
      </w:r>
      <w:r>
        <w:t>≳</w:t>
      </w:r>
      <w:r>
        <w:t xml:space="preserve"> </w:t>
      </w:r>
      <w:r>
        <w:t>8) and the deeper extent of seismogenesis. To do so, we create rheologic strength envelopes for six subduction zones using published constitutive relations for subducting lithologies and regional thermal models. We then compare the strength envelopes to local plate interface earthquake depths. Our synthesis shows that subducted sediments undergo a transition from frictional to predominantly viscous deformation near</w:t>
      </w:r>
      <w:r>
        <w:t xml:space="preserve"> </w:t>
      </w:r>
      <w:r>
        <w:rPr>
          <w:vertAlign w:val="subscript"/>
        </w:rPr>
        <w:t>300</w:t>
      </w:r>
      <w:r>
        <w:t>±</w:t>
      </w:r>
      <w:r>
        <w:rPr>
          <w:vertAlign w:val="subscript"/>
        </w:rPr>
        <w:t>60</w:t>
      </w:r>
      <w:r>
        <w:t xml:space="preserve"> </w:t>
      </w:r>
      <w:r>
        <w:t>°</w:t>
      </w:r>
      <w:r>
        <w:t xml:space="preserve"> </w:t>
      </w:r>
      <w:r>
        <w:t>C a transition that correlates with the maximum nucleation depths of great earthquakes at 20 to 30 km. However, smaller plate interface earthquakes (</w:t>
      </w:r>
      <w:r>
        <w:t xml:space="preserve"> </w:t>
      </w:r>
      <w:r>
        <w:rPr>
          <w:vertAlign w:val="subscript"/>
        </w:rPr>
        <w:t>5</w:t>
      </w:r>
      <w:r>
        <w:t>≤</w:t>
      </w:r>
      <w:r>
        <w:t xml:space="preserve"> </w:t>
      </w:r>
      <w:r>
        <w:t>Mw</w:t>
      </w:r>
      <w:r>
        <w:t xml:space="preserve"> </w:t>
      </w:r>
      <w:r>
        <w:t>&amp;lt;</w:t>
      </w:r>
      <w:r>
        <w:t xml:space="preserve"> </w:t>
      </w:r>
      <w:r>
        <w:t>8) continue to nucleate below this depth, and the maximum earthquake size decreases until the base of the seismogenic zone at 40 to 60 km depth and</w:t>
      </w:r>
      <w:r>
        <w:t xml:space="preserve"> </w:t>
      </w:r>
      <w:r>
        <w:t>∼</w:t>
      </w:r>
      <w:r>
        <w:t xml:space="preserve"> </w:t>
      </w:r>
      <w:r>
        <w:t>500 °C. We evaluate potential causes of seismicity below the onset of viscous deformation in these now metasediments, and conclude that the presence of lithologic heterogeneities that are loaded to frictional failure by viscously deforming metasediments is most plausible. Thus, we propose that great earthquakes can nucleate and grow into large events where all lithologies are frictional. However, the base of the seismogenic zone is deeper than the onset of viscous deformation in metasediments, which limits the growth of earthquakes into large events, and here seismicity reflects the existence and size of heterogeneity along the plate interface.</w:t>
      </w:r>
    </w:p>
    <w:p>
      <w:pPr>
        <w:spacing w:before="120" w:after="120"/>
      </w:pPr>
      <w:r>
        <w:rPr>
          <w:sz w:val="18"/>
        </w:rPr>
        <w:t>——————————————————————————————————————————————————————————————————————</w:t>
      </w:r>
    </w:p>
    <w:p>
      <w:pPr>
        <w:spacing w:before="160" w:after="40" w:line="240" w:lineRule="auto"/>
      </w:pPr>
      <w:r>
        <w:rPr>
          <w:b/>
        </w:rPr>
        <w:t xml:space="preserve">[448] </w:t>
      </w:r>
      <w:hyperlink r:id="rId1099">
        <w:r>
          <w:rPr>
            <w:color w:val="1155CC"/>
            <w:u w:val="single"/>
          </w:rPr>
          <w:t>探索记忆效应：媒介传播疾病的稀疏识别</w:t>
        </w:r>
      </w:hyperlink>
    </w:p>
    <w:p>
      <w:pPr>
        <w:spacing w:before="0" w:after="80"/>
      </w:pPr>
      <w:r>
        <w:rPr>
          <w:i/>
          <w:sz w:val="20"/>
        </w:rPr>
        <w:t>EN: Exploring memory effects: Sparse identification in vector-borne diseases</w:t>
      </w:r>
    </w:p>
    <w:p>
      <w:pPr>
        <w:spacing w:before="0" w:after="120"/>
      </w:pPr>
      <w:r>
        <w:rPr>
          <w:b/>
        </w:rPr>
        <w:t xml:space="preserve">Source: </w:t>
      </w:r>
      <w:r>
        <w:t>Proceedings of the National Academy of Sciences: Keyword search for query</w:t>
      </w:r>
      <w:r>
        <w:t xml:space="preserve">    </w:t>
      </w:r>
      <w:r>
        <w:rPr>
          <w:b/>
        </w:rPr>
        <w:t xml:space="preserve">Pub date: </w:t>
      </w:r>
      <w:r>
        <w:t>2026-06-25 07:00:00+00:00</w:t>
      </w:r>
      <w:r>
        <w:t xml:space="preserve">    </w:t>
      </w:r>
      <w:r>
        <w:rPr>
          <w:b/>
        </w:rPr>
        <w:t xml:space="preserve">DOI: </w:t>
      </w:r>
      <w:hyperlink r:id="rId1100">
        <w:r>
          <w:rPr>
            <w:color w:val="1155CC"/>
            <w:u w:val="single"/>
          </w:rPr>
          <w:t>10.1073/pnas.2601074123</w:t>
        </w:r>
      </w:hyperlink>
    </w:p>
    <w:p>
      <w:pPr>
        <w:spacing w:before="0" w:after="120"/>
      </w:pPr>
      <w:r>
        <w:rPr>
          <w:b/>
        </w:rPr>
        <w:t xml:space="preserve">Notes: </w:t>
      </w:r>
      <w:r>
        <w:t>abstract_source=crossref</w:t>
      </w:r>
    </w:p>
    <w:p>
      <w:pPr>
        <w:spacing w:before="0" w:after="80" w:lineRule="auto" w:line="276"/>
      </w:pPr>
      <w:r>
        <w:rPr>
          <w:b/>
        </w:rPr>
        <w:t xml:space="preserve">摘要（ZH）: </w:t>
      </w:r>
      <w:r>
        <w:t>根据有限的监测数据预测媒介传播疾病对人类的负担仍然是一项重大挑战，特别是在存在非线性传播动力学以及媒介生态和人类行为引起的延迟效应的情况下。我们开发了一个数据驱动框架，该框架基于将非线性动力学稀疏识别扩展到具有分布式内存的系统，从而能够直接从时间序列数据中发现传输机制。以严重发烧伴血小板减少综合征为案例研究，我们表明，这种方法可以仅使用人类发病率和当地温度数据来揭示蜱传疾病动态的关键特征，而无需对人类病例报告强加预定义的假设。我们通过将恢复的发病温度模型与机械推导的蜱宿主协变量相结合，进一步确定了恢复的发病温度模型的稳健性，表明预测能力没有提高。这表明所提出的核心数据驱动模型已经提供了强有力的预测。该框架还允许对内存内核和行为参数进行系统的敏感性分析。尽管该方法优先考虑预测准确性而不是机械透明度，但它产生了适合流行病学预测的稀疏、可解释的积分表示。该方法提供了一种可扩展的策略，用于预测媒介传播疾病风险并为数据限制下的公共卫生决策提供信息。</w:t>
      </w:r>
    </w:p>
    <w:p>
      <w:pPr>
        <w:spacing w:before="0" w:after="200" w:lineRule="auto" w:line="276"/>
      </w:pPr>
      <w:r>
        <w:rPr>
          <w:b/>
        </w:rPr>
        <w:t xml:space="preserve">Abstract (EN): </w:t>
      </w:r>
      <w:r>
        <w:t>Predicting the human burden of vector-borne diseases from limited surveillance data remains a major challenge, particularly in the presence of nonlinear transmission dynamics and delayed effects arising from vector ecology and human behavior. We develop a data-driven framework based on an extension of Sparse Identification of Nonlinear Dynamics to systems with distributed memory, enabling discovery of transmission mechanisms directly from time series data. Using severe fever with thrombocytopenia syndrome as a case study, we show that this approach can uncover key features of tick-borne disease dynamics using only human incidence and local temperature data, without imposing predefined assumptions on human case reporting. We further ascertain the robustness of the recovered incidence-temperature model by integrating it with mechanistically derived tick–host covariates, showing that the forecasting ability does not improve. This suggests that the proposed core data-driven model already delivers strong predictions. The framework also allows for systematic sensitivity analysis of memory kernels and behavioral parameters. Although the approach prioritizes predictive accuracy over mechanistic transparency, it yields sparse, interpretable integral representations suitable for epidemiological forecasting. This methodology provides a scalable strategy for forecasting vector-borne disease risk and informing public health decision-making under data limitations.</w:t>
      </w:r>
    </w:p>
    <w:p>
      <w:pPr>
        <w:spacing w:before="120" w:after="120"/>
      </w:pPr>
      <w:r>
        <w:rPr>
          <w:sz w:val="18"/>
        </w:rPr>
        <w:t>——————————————————————————————————————————————————————————————————————</w:t>
      </w:r>
    </w:p>
    <w:p>
      <w:pPr>
        <w:spacing w:before="160" w:after="40" w:line="240" w:lineRule="auto"/>
      </w:pPr>
      <w:r>
        <w:rPr>
          <w:b/>
        </w:rPr>
        <w:t xml:space="preserve">[449] </w:t>
      </w:r>
      <w:hyperlink r:id="rId1101">
        <w:r>
          <w:rPr>
            <w:color w:val="1155CC"/>
            <w:u w:val="single"/>
          </w:rPr>
          <w:t>神经元激活的单细胞多组学揭示了脑部疾病的背景特异性遗传学</w:t>
        </w:r>
      </w:hyperlink>
    </w:p>
    <w:p>
      <w:pPr>
        <w:spacing w:before="0" w:after="80"/>
      </w:pPr>
      <w:r>
        <w:rPr>
          <w:i/>
          <w:sz w:val="20"/>
        </w:rPr>
        <w:t>EN: Single-cell multiomics of neuron activation reveals context-specific genetics of brain disorders</w:t>
      </w:r>
    </w:p>
    <w:p>
      <w:pPr>
        <w:spacing w:before="0" w:after="120"/>
      </w:pPr>
      <w:r>
        <w:rPr>
          <w:b/>
        </w:rPr>
        <w:t xml:space="preserve">Source: </w:t>
      </w:r>
      <w:r>
        <w:t>AAAS: Science: Table of Contents</w:t>
      </w:r>
      <w:r>
        <w:t xml:space="preserve">    </w:t>
      </w:r>
      <w:r>
        <w:rPr>
          <w:b/>
        </w:rPr>
        <w:t xml:space="preserve">Pub date: </w:t>
      </w:r>
      <w:r>
        <w:t>2026-06-25 07:00:00+00:00</w:t>
      </w:r>
      <w:r>
        <w:t xml:space="preserve">    </w:t>
      </w:r>
      <w:r>
        <w:rPr>
          <w:b/>
        </w:rPr>
        <w:t xml:space="preserve">DOI: </w:t>
      </w:r>
      <w:hyperlink r:id="rId1102">
        <w:r>
          <w:rPr>
            <w:color w:val="1155CC"/>
            <w:u w:val="single"/>
          </w:rPr>
          <w:t>10.1126/science.adw3949</w:t>
        </w:r>
      </w:hyperlink>
    </w:p>
    <w:p>
      <w:pPr>
        <w:spacing w:before="0" w:after="120"/>
      </w:pPr>
      <w:r>
        <w:rPr>
          <w:b/>
        </w:rPr>
        <w:t xml:space="preserve">Notes: </w:t>
      </w:r>
      <w:r>
        <w:t>abstract_source=crossref</w:t>
      </w:r>
    </w:p>
    <w:p>
      <w:pPr>
        <w:spacing w:before="0" w:after="80" w:lineRule="auto" w:line="276"/>
      </w:pPr>
      <w:r>
        <w:rPr>
          <w:b/>
        </w:rPr>
        <w:t xml:space="preserve">摘要（ZH）: </w:t>
      </w:r>
      <w:r>
        <w:t>神经精神疾病 (NPD) 的大多数致病变异仍然未知。一个主要障碍是疾病变异可能在特定情况下起作用，例如在神经元激活期间，这很难在群体水平上进行体内研究。我们对来自 100 个供体的人类诱导多能干细胞衍生神经元的单核神经元激活多组学进行了分析，揭示了神经元激活的 NPD 相关转录组和表观基因组景观。我们发现了与活性依赖性基因表达和染色质可及性相关的丰富遗传变异，后者解释了较大比例的 NPD 遗传力。将多组学数据与全基因组关联研究相结合，进一步揭示了 NPD 风险变异和仅在刺激时才检测到影响的基因，例如活动依赖性胆固醇代谢。我们的工作强调了细胞刺激揭示特定环境“隐藏”遗传效应的力量。</w:t>
      </w:r>
    </w:p>
    <w:p>
      <w:pPr>
        <w:spacing w:before="0" w:after="200" w:lineRule="auto" w:line="276"/>
      </w:pPr>
      <w:r>
        <w:rPr>
          <w:b/>
        </w:rPr>
        <w:t xml:space="preserve">Abstract (EN): </w:t>
      </w:r>
      <w:r>
        <w:t>Most causal variants for neuropsychiatric disorders (NPD) remain unknown. A major hurdle is that disease variants may act in specific contexts, such as during neuronal activation, which is difficult to study in vivo at the population level. We profiled single-nucleus neuron-activation multiomics in human induced pluripotent stem cell–derived neurons from 100 donors, revealing the NPD-relevant transcriptomic and epigenomic landscape of neuronal activation. We identified abundant genetic variants associated with activity-dependent gene expression and chromatin accessibility, the latter explaining larger proportions of NPD heritability. Integrating multiomics data with genome-wide association studies further revealed NPD risk variants and genes with effects detected only upon stimulation, such as activity-dependent cholesterol metabolism. Our work highlights the power of cell stimulation to reveal context-specific “hidden” genetic effects.</w:t>
      </w:r>
    </w:p>
    <w:p>
      <w:pPr>
        <w:spacing w:before="120" w:after="120"/>
      </w:pPr>
      <w:r>
        <w:rPr>
          <w:sz w:val="18"/>
        </w:rPr>
        <w:t>——————————————————————————————————————————————————————————————————————</w:t>
      </w:r>
    </w:p>
    <w:p>
      <w:pPr>
        <w:spacing w:before="160" w:after="40" w:line="240" w:lineRule="auto"/>
      </w:pPr>
      <w:r>
        <w:rPr>
          <w:b/>
        </w:rPr>
        <w:t xml:space="preserve">[450] </w:t>
      </w:r>
      <w:hyperlink r:id="rId1103">
        <w:r>
          <w:rPr>
            <w:color w:val="1155CC"/>
            <w:u w:val="single"/>
          </w:rPr>
          <w:t>HDAC 抑制通过转录机制的整体重新分布使胰腺肿瘤对 DNA 损伤敏感</w:t>
        </w:r>
      </w:hyperlink>
    </w:p>
    <w:p>
      <w:pPr>
        <w:spacing w:before="0" w:after="80"/>
      </w:pPr>
      <w:r>
        <w:rPr>
          <w:i/>
          <w:sz w:val="20"/>
        </w:rPr>
        <w:t>EN: HDAC inhibition sensitizes pancreatic tumors to DNA damage by global redistribution of the transcriptional machinery</w:t>
      </w:r>
    </w:p>
    <w:p>
      <w:pPr>
        <w:spacing w:before="0" w:after="120"/>
      </w:pPr>
      <w:r>
        <w:rPr>
          <w:b/>
        </w:rPr>
        <w:t xml:space="preserve">Source: </w:t>
      </w:r>
      <w:r>
        <w:t>Proceedings of the National Academy of Sciences: Keyword search for query</w:t>
      </w:r>
      <w:r>
        <w:t xml:space="preserve">    </w:t>
      </w:r>
      <w:r>
        <w:rPr>
          <w:b/>
        </w:rPr>
        <w:t xml:space="preserve">Pub date: </w:t>
      </w:r>
      <w:r>
        <w:t>2026-06-25 07:00:00+00:00</w:t>
      </w:r>
      <w:r>
        <w:t xml:space="preserve">    </w:t>
      </w:r>
      <w:r>
        <w:rPr>
          <w:b/>
        </w:rPr>
        <w:t xml:space="preserve">DOI: </w:t>
      </w:r>
      <w:hyperlink r:id="rId1104">
        <w:r>
          <w:rPr>
            <w:color w:val="1155CC"/>
            <w:u w:val="single"/>
          </w:rPr>
          <w:t>10.1073/pnas.2536040123</w:t>
        </w:r>
      </w:hyperlink>
    </w:p>
    <w:p>
      <w:pPr>
        <w:spacing w:before="0" w:after="120"/>
      </w:pPr>
      <w:r>
        <w:rPr>
          <w:b/>
        </w:rPr>
        <w:t xml:space="preserve">Notes: </w:t>
      </w:r>
      <w:r>
        <w:t>abstract_source=crossref</w:t>
      </w:r>
    </w:p>
    <w:p>
      <w:pPr>
        <w:spacing w:before="0" w:after="80" w:lineRule="auto" w:line="276"/>
      </w:pPr>
      <w:r>
        <w:rPr>
          <w:b/>
        </w:rPr>
        <w:t xml:space="preserve">摘要（ZH）: </w:t>
      </w:r>
      <w:r>
        <w:t>DNA 损伤反应 (DDR) 对于胰腺导管腺癌 (PDAC) 的发展和治疗反应（包括对基因毒性药物的反应）至关重要。虽然表观遗传调节剂已被证明有助于 DDR，但染色质调控如何决定 PDAC 中 DNA 损伤的反应仍不完全清楚。在这里，我们将 I 类组蛋白脱乙酰酶 (HDAC) 确定为 DDR 的关键调节因子。 HDAC1/2 指导 H3K27ac 的基因组分布，确保 DDR 基因启动子上有足够的 BRD4 和 RNA 聚合酶 II (Pol II) 占据。恩替司他抑制 HDAC 会优先将 H3K27 乙酰化的平衡转向基因间区域，将 BRD4 和 Pol II 从启动子转移，从而抑制 DDR 基因表达。与此相一致的是，HDAC 抑制会加剧 DNA 损伤，并使 PDAC 对多种 DNA 损伤剂和 DDR 靶向剂敏感。由于 HDAC 抑制剂的临床开发受到全身毒性的限制，我们开发了用于肿瘤选择性恩替司他递送的瓶刷前药 (BPD) 纳米颗粒。 Entinostat-BPD 实现了肿瘤特异性 HDAC 抑制，同时显示出有效的功效并降低了全身毒性。这些发现揭示了 HDAC 依赖性 DDR 的脆弱性，并提供了组合和精确的靶向策略，以促进临床转化并改善 PDAC 患者的治疗结果。</w:t>
      </w:r>
    </w:p>
    <w:p>
      <w:pPr>
        <w:spacing w:before="0" w:after="200" w:lineRule="auto" w:line="276"/>
      </w:pPr>
      <w:r>
        <w:rPr>
          <w:b/>
        </w:rPr>
        <w:t xml:space="preserve">Abstract (EN): </w:t>
      </w:r>
      <w:r>
        <w:t>The DNA damage response (DDR) is critical for pancreatic ductal adenocarcinoma (PDAC) development and therapeutic responses, including to genotoxic agents. While epigenetic modulators have been shown to contribute to the DDR, how chromatin regulation dictates responses to DNA damage in PDAC remains incompletely understood. Here, we identify Class I histone deacetylases (HDACs) as critical regulators of the DDR. HDAC1/2 direct the genomic distribution of H3K27ac, ensuring sufficient BRD4 and RNA polymerase II (Pol II) occupancy at DDR gene promoters. HDAC inhibition by entinostat shifts the balance of H3K27 acetylation preferentially toward intergenic regions, diverting BRD4 and Pol II from promoters, thereby suppressing DDR gene expression. In line with this, HDAC inhibition heightens DNA damage and sensitizes PDAC to diverse DNA-damaging and DDR-targeting agents. Since the clinical development of HDAC inhibitors has been limited by systemic toxicity, we developed bottlebrush prodrug (BPD) nanoparticles for tumor-selective entinostat delivery. Entinostat-BPD achieved tumor-specific HDAC inhibition while displaying potent efficacy and reduced systemic toxicity. These findings reveal an HDAC-dependent DDR vulnerability and offer combinational and precision targeting strategies to facilitate clinical translation and improve PDAC patient outcomes.</w:t>
      </w:r>
    </w:p>
    <w:p>
      <w:pPr>
        <w:spacing w:before="120" w:after="120"/>
      </w:pPr>
      <w:r>
        <w:rPr>
          <w:sz w:val="18"/>
        </w:rPr>
        <w:t>——————————————————————————————————————————————————————————————————————</w:t>
      </w:r>
    </w:p>
    <w:p>
      <w:pPr>
        <w:spacing w:before="160" w:after="40" w:line="240" w:lineRule="auto"/>
      </w:pPr>
      <w:r>
        <w:rPr>
          <w:b/>
        </w:rPr>
        <w:t xml:space="preserve">[451] </w:t>
      </w:r>
      <w:hyperlink r:id="rId1105">
        <w:r>
          <w:rPr>
            <w:color w:val="1155CC"/>
            <w:u w:val="single"/>
          </w:rPr>
          <w:t>随着国家城市化，大城市失去增长优势</w:t>
        </w:r>
      </w:hyperlink>
    </w:p>
    <w:p>
      <w:pPr>
        <w:spacing w:before="0" w:after="80"/>
      </w:pPr>
      <w:r>
        <w:rPr>
          <w:i/>
          <w:sz w:val="20"/>
        </w:rPr>
        <w:t>EN: Large cities lose their growth advantage as countries urbanize</w:t>
      </w:r>
    </w:p>
    <w:p>
      <w:pPr>
        <w:spacing w:before="0" w:after="120"/>
      </w:pPr>
      <w:r>
        <w:rPr>
          <w:b/>
        </w:rPr>
        <w:t xml:space="preserve">Source: </w:t>
      </w:r>
      <w:r>
        <w:t>Proceedings of the National Academy of Sciences: Keyword search for query</w:t>
      </w:r>
      <w:r>
        <w:t xml:space="preserve">    </w:t>
      </w:r>
      <w:r>
        <w:rPr>
          <w:b/>
        </w:rPr>
        <w:t xml:space="preserve">Pub date: </w:t>
      </w:r>
      <w:r>
        <w:t>2026-06-25 07:00:00+00:00</w:t>
      </w:r>
      <w:r>
        <w:t xml:space="preserve">    </w:t>
      </w:r>
      <w:r>
        <w:rPr>
          <w:b/>
        </w:rPr>
        <w:t xml:space="preserve">DOI: </w:t>
      </w:r>
      <w:hyperlink r:id="rId1106">
        <w:r>
          <w:rPr>
            <w:color w:val="1155CC"/>
            <w:u w:val="single"/>
          </w:rPr>
          <w:t>10.1073/pnas.2529430123</w:t>
        </w:r>
      </w:hyperlink>
    </w:p>
    <w:p>
      <w:pPr>
        <w:spacing w:before="0" w:after="120"/>
      </w:pPr>
      <w:r>
        <w:rPr>
          <w:b/>
        </w:rPr>
        <w:t xml:space="preserve">Notes: </w:t>
      </w:r>
      <w:r>
        <w:t>abstract_source=crossref</w:t>
      </w:r>
    </w:p>
    <w:p>
      <w:pPr>
        <w:spacing w:before="0" w:after="80" w:lineRule="auto" w:line="276"/>
      </w:pPr>
      <w:r>
        <w:rPr>
          <w:b/>
        </w:rPr>
        <w:t xml:space="preserve">摘要（ZH）: </w:t>
      </w:r>
      <w:r>
        <w:t>居住在人口超过 100 万的城市的世界人口比例从 1975 年的 11% 上升到 2025 年的 24%（我们的估计）。这种向大城市集中的趋势会持续还是趋于平稳？我们引入了两个新的城市人口数据集，它们在不同国家和不同时期使用一致的城市定义。第一个使用卫星图像覆盖 1975 年至 2025 年间的世界。第二个涵盖 1850 年至 2020 年间的美国，使用人口普查微观数据。我们发现城市增长遵循特定的生命周期。在一个国家城市化进程的早期阶段，大城市的发展速度快于小城市。在后期阶段，不同规模的增长率趋于平衡。我们利用这个生命周期来预测大城市未来的人口集中度。我们的预测表明，到 2100 年，世界人口的 38% 将居住在人口超过 100 万的城市。这一估计高于著名的比例增长理论所暗示的 33%，但低于根据当前趋势推断得出的 42%。</w:t>
      </w:r>
    </w:p>
    <w:p>
      <w:pPr>
        <w:spacing w:before="0" w:after="200" w:lineRule="auto" w:line="276"/>
      </w:pPr>
      <w:r>
        <w:rPr>
          <w:b/>
        </w:rPr>
        <w:t xml:space="preserve">Abstract (EN): </w:t>
      </w:r>
      <w:r>
        <w:t>The share of the world population living in cities with more than one million people rose from 11% in 1975 to 24% in 2025 (our estimates). Will this trend toward greater concentration in large cities continue or level off? We introduce two new city population datasets that use consistent city definitions across countries and over time. The first covers the world between 1975 and 2025, using satellite imagery. The second covers the United States between 1850 and 2020, using census microdata. We find that urban growth follows a characteristic life cycle. In the early stages of a country’s urbanization process, large cities grow faster than smaller ones. At later stages, growth rates equalize across sizes. We use this life cycle to project future population concentration in large cities. Our projections suggest that 38% of the world population will be living in cities with more than one million people by 2100. This estimate is higher than the 33% implied by the well-known theory of proportional growth, but lower than the 42% obtained by extrapolating current trends.</w:t>
      </w:r>
    </w:p>
    <w:p>
      <w:pPr>
        <w:spacing w:before="120" w:after="120"/>
      </w:pPr>
      <w:r>
        <w:rPr>
          <w:sz w:val="18"/>
        </w:rPr>
        <w:t>——————————————————————————————————————————————————————————————————————</w:t>
      </w:r>
    </w:p>
    <w:p>
      <w:pPr>
        <w:spacing w:before="160" w:after="40" w:line="240" w:lineRule="auto"/>
      </w:pPr>
      <w:r>
        <w:rPr>
          <w:b/>
        </w:rPr>
        <w:t xml:space="preserve">[452] </w:t>
      </w:r>
      <w:hyperlink r:id="rId1107">
        <w:r>
          <w:rPr>
            <w:color w:val="1155CC"/>
            <w:u w:val="single"/>
          </w:rPr>
          <w:t>C. Jia 等人的报告“具有稳定和可逆光开关电导率的共价键合单分子结”的勘误。</w:t>
        </w:r>
      </w:hyperlink>
    </w:p>
    <w:p>
      <w:pPr>
        <w:spacing w:before="0" w:after="80"/>
      </w:pPr>
      <w:r>
        <w:rPr>
          <w:i/>
          <w:sz w:val="20"/>
        </w:rPr>
        <w:t>EN: Erratum for the Report “Covalently bonded single-molecule junctions with stable and reversible photoswitched conductivity” by C. Jia et al.</w:t>
      </w:r>
    </w:p>
    <w:p>
      <w:pPr>
        <w:spacing w:before="0" w:after="120"/>
      </w:pPr>
      <w:r>
        <w:rPr>
          <w:b/>
        </w:rPr>
        <w:t xml:space="preserve">Source: </w:t>
      </w:r>
      <w:r>
        <w:t>AAAS: Science: Table of Contents</w:t>
      </w:r>
      <w:r>
        <w:t xml:space="preserve">    </w:t>
      </w:r>
      <w:r>
        <w:rPr>
          <w:b/>
        </w:rPr>
        <w:t xml:space="preserve">Pub date: </w:t>
      </w:r>
      <w:r>
        <w:t>2026-06-25 07:00:00+00:00</w:t>
      </w:r>
      <w:r>
        <w:t xml:space="preserve">    </w:t>
      </w:r>
      <w:r>
        <w:rPr>
          <w:b/>
        </w:rPr>
        <w:t xml:space="preserve">DOI: </w:t>
      </w:r>
      <w:hyperlink r:id="rId1108">
        <w:r>
          <w:rPr>
            <w:color w:val="1155CC"/>
            <w:u w:val="single"/>
          </w:rPr>
          <w:t>10.1126/science.aej5835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[453] </w:t>
      </w:r>
      <w:hyperlink r:id="rId1109">
        <w:r>
          <w:rPr>
            <w:color w:val="1155CC"/>
            <w:u w:val="single"/>
          </w:rPr>
          <w:t>抗生素刺激蛋白质转移至持续细胞</w:t>
        </w:r>
      </w:hyperlink>
    </w:p>
    <w:p>
      <w:pPr>
        <w:spacing w:before="0" w:after="80"/>
      </w:pPr>
      <w:r>
        <w:rPr>
          <w:i/>
          <w:sz w:val="20"/>
        </w:rPr>
        <w:t>EN: Antibiotics stimulate protein transfer to persister cells</w:t>
      </w:r>
    </w:p>
    <w:p>
      <w:pPr>
        <w:spacing w:before="0" w:after="120"/>
      </w:pPr>
      <w:r>
        <w:rPr>
          <w:b/>
        </w:rPr>
        <w:t xml:space="preserve">Source: </w:t>
      </w:r>
      <w:r>
        <w:t>AAAS: Science: Table of Contents</w:t>
      </w:r>
      <w:r>
        <w:t xml:space="preserve">    </w:t>
      </w:r>
      <w:r>
        <w:rPr>
          <w:b/>
        </w:rPr>
        <w:t xml:space="preserve">Pub date: </w:t>
      </w:r>
      <w:r>
        <w:t>2026-06-25 07:00:00+00:00</w:t>
      </w:r>
      <w:r>
        <w:t xml:space="preserve">    </w:t>
      </w:r>
      <w:r>
        <w:rPr>
          <w:b/>
        </w:rPr>
        <w:t xml:space="preserve">DOI: </w:t>
      </w:r>
      <w:hyperlink r:id="rId1110">
        <w:r>
          <w:rPr>
            <w:color w:val="1155CC"/>
            <w:u w:val="single"/>
          </w:rPr>
          <w:t>10.1126/science.adx3972</w:t>
        </w:r>
      </w:hyperlink>
    </w:p>
    <w:p>
      <w:pPr>
        <w:spacing w:before="0" w:after="120"/>
      </w:pPr>
      <w:r>
        <w:rPr>
          <w:b/>
        </w:rPr>
        <w:t xml:space="preserve">Notes: </w:t>
      </w:r>
      <w:r>
        <w:t>abstract_source=crossref</w:t>
      </w:r>
    </w:p>
    <w:p>
      <w:pPr>
        <w:spacing w:before="0" w:after="80" w:lineRule="auto" w:line="276"/>
      </w:pPr>
      <w:r>
        <w:rPr>
          <w:b/>
        </w:rPr>
        <w:t xml:space="preserve">摘要（ZH）: </w:t>
      </w:r>
      <w:r>
        <w:t>细菌细胞之间的生物物质交换推动了适应和进化。然而，细菌是否可以交换功能蛋白仍不清楚。在这项工作中，我们发现抗生素治疗可以诱导囊泡介导的细菌物种内部和细菌物种之间的水平蛋白质转移。我们开发了一个遗传系统</w:t>
      </w:r>
      <w:r>
        <w:t xml:space="preserve"> </w:t>
      </w:r>
      <w:r>
        <w:t>大肠杆菌</w:t>
      </w:r>
      <w:r>
        <w:t xml:space="preserve"> </w:t>
      </w:r>
      <w:r>
        <w:t>跟踪转移事件并对同基因细菌群体进行单细胞转录组分析。抗生素刺激这个同基因群体分化成不同的细胞状态：供体细胞激活膜应激反应以释放含蛋白质的囊泡，而受体细胞则抑制这种反应以从邻近细胞获取蛋白质。蛋白质的摄取增强了受体细胞的抗生素持久性，表明囊泡交换促进了抗生素治疗期间细菌的存活。</w:t>
      </w:r>
    </w:p>
    <w:p>
      <w:pPr>
        <w:spacing w:before="0" w:after="200" w:lineRule="auto" w:line="276"/>
      </w:pPr>
      <w:r>
        <w:rPr>
          <w:b/>
        </w:rPr>
        <w:t xml:space="preserve">Abstract (EN): </w:t>
      </w:r>
      <w:r>
        <w:t>The exchange of biological matter between bacterial cells drives adaptation and evolution. However, whether bacteria can exchange functional proteins remains unclear. In this work, we found that antibiotic treatment can induce vesicle-mediated horizontal protein transfer within and between bacterial species. We developed a genetic system in</w:t>
      </w:r>
      <w:r>
        <w:t xml:space="preserve"> </w:t>
      </w:r>
      <w:r>
        <w:t>Escherichia coli</w:t>
      </w:r>
      <w:r>
        <w:t xml:space="preserve"> </w:t>
      </w:r>
      <w:r>
        <w:t>to track transfer events and performed single-cell transcriptomic profiling on an isogenic population of bacteria. Antibiotics stimulated the differentiation of this isogenic population into distinct cell states: donor cells that activated a membrane stress response to release protein-containing vesicles and recipient cells that suppressed this response to acquire protein from their neighbors. Protein uptake enhanced the antibiotic persistence of recipient cells, revealing that vesicle exchange promotes bacterial survival during antibiotic treatment.</w:t>
      </w:r>
    </w:p>
    <w:p>
      <w:pPr>
        <w:spacing w:before="120" w:after="120"/>
      </w:pPr>
      <w:r>
        <w:rPr>
          <w:sz w:val="18"/>
        </w:rPr>
        <w:t>——————————————————————————————————————————————————————————————————————</w:t>
      </w:r>
    </w:p>
    <w:p>
      <w:pPr>
        <w:spacing w:before="160" w:after="40" w:line="240" w:lineRule="auto"/>
      </w:pPr>
      <w:r>
        <w:rPr>
          <w:b/>
        </w:rPr>
        <w:t xml:space="preserve">[454] </w:t>
      </w:r>
      <w:hyperlink r:id="rId1111">
        <w:r>
          <w:rPr>
            <w:color w:val="1155CC"/>
            <w:u w:val="single"/>
          </w:rPr>
          <w:t>曲率感应磁振子频率梳</w:t>
        </w:r>
      </w:hyperlink>
    </w:p>
    <w:p>
      <w:pPr>
        <w:spacing w:before="0" w:after="80"/>
      </w:pPr>
      <w:r>
        <w:rPr>
          <w:i/>
          <w:sz w:val="20"/>
        </w:rPr>
        <w:t>EN: Curvature-Induced Magnon Frequency Combs</w:t>
      </w:r>
    </w:p>
    <w:p>
      <w:pPr>
        <w:spacing w:before="0" w:after="120"/>
      </w:pPr>
      <w:r>
        <w:rPr>
          <w:b/>
        </w:rPr>
        <w:t xml:space="preserve">Source: </w:t>
      </w:r>
      <w:r>
        <w:t>Recent Articles in Phys. Rev. Lett.</w:t>
      </w:r>
      <w:r>
        <w:t xml:space="preserve">    </w:t>
      </w:r>
      <w:r>
        <w:rPr>
          <w:b/>
        </w:rPr>
        <w:t xml:space="preserve">Pub date: </w:t>
      </w:r>
      <w:r>
        <w:t>2026-06-25 10:00:00+00:00</w:t>
      </w:r>
      <w:r>
        <w:t xml:space="preserve">    </w:t>
      </w:r>
      <w:r>
        <w:rPr>
          <w:b/>
        </w:rPr>
        <w:t xml:space="preserve">DOI: </w:t>
      </w:r>
      <w:hyperlink r:id="rId1112">
        <w:r>
          <w:rPr>
            <w:color w:val="1155CC"/>
            <w:u w:val="single"/>
          </w:rPr>
          <w:t>10.1103/v6pf-rgv8</w:t>
        </w:r>
      </w:hyperlink>
    </w:p>
    <w:p>
      <w:pPr>
        <w:spacing w:before="0" w:after="120"/>
      </w:pPr>
      <w:r>
        <w:rPr>
          <w:b/>
        </w:rPr>
        <w:t xml:space="preserve">Notes: </w:t>
      </w:r>
      <w:r>
        <w:t>abstract_source=rss_description</w:t>
      </w:r>
    </w:p>
    <w:p>
      <w:pPr>
        <w:spacing w:before="0" w:after="80" w:lineRule="auto" w:line="276"/>
      </w:pPr>
      <w:r>
        <w:rPr>
          <w:b/>
        </w:rPr>
        <w:t xml:space="preserve">摘要（ZH）: </w:t>
      </w:r>
      <w:r>
        <w:t>作者：赵浩、郑千军和彭岩暴露在微波下的磁性薄膜中的微小凸起可以产生具有精确间隔频率的自旋波。莱特牧师。 136, 256708] 发布于 2026 年 6 月 25 日星期四</w:t>
      </w:r>
    </w:p>
    <w:p>
      <w:pPr>
        <w:spacing w:before="0" w:after="200" w:lineRule="auto" w:line="276"/>
      </w:pPr>
      <w:r>
        <w:rPr>
          <w:b/>
        </w:rPr>
        <w:t xml:space="preserve">Abstract (EN): </w:t>
      </w:r>
      <w:r>
        <w:t>Author(s): Hao Zhao, Qianjun Zheng, and Peng YanA tiny bump in a magnetic film exposed to microwaves can engender spin waves with precisely spaced frequencies.[Phys. Rev. Lett. 136, 256708] Published Thu Jun 25, 2026</w:t>
      </w:r>
    </w:p>
    <w:p>
      <w:pPr>
        <w:spacing w:before="120" w:after="120"/>
      </w:pPr>
      <w:r>
        <w:rPr>
          <w:sz w:val="18"/>
        </w:rPr>
        <w:t>——————————————————————————————————————————————————————————————————————</w:t>
      </w:r>
    </w:p>
    <w:p>
      <w:pPr>
        <w:spacing w:before="160" w:after="40" w:line="240" w:lineRule="auto"/>
      </w:pPr>
      <w:r>
        <w:rPr>
          <w:b/>
        </w:rPr>
        <w:t xml:space="preserve">[455] </w:t>
      </w:r>
      <w:hyperlink r:id="rId1113">
        <w:r>
          <w:rPr>
            <w:color w:val="1155CC"/>
            <w:u w:val="single"/>
          </w:rPr>
          <w:t>反铁轴交变磁性</w:t>
        </w:r>
      </w:hyperlink>
    </w:p>
    <w:p>
      <w:pPr>
        <w:spacing w:before="0" w:after="80"/>
      </w:pPr>
      <w:r>
        <w:rPr>
          <w:i/>
          <w:sz w:val="20"/>
        </w:rPr>
        <w:t>EN: Antiferroaxial Altermagnetism</w:t>
      </w:r>
    </w:p>
    <w:p>
      <w:pPr>
        <w:spacing w:before="0" w:after="120"/>
      </w:pPr>
      <w:r>
        <w:rPr>
          <w:b/>
        </w:rPr>
        <w:t xml:space="preserve">Source: </w:t>
      </w:r>
      <w:r>
        <w:t>Recent Articles in Phys. Rev. Lett.</w:t>
      </w:r>
      <w:r>
        <w:t xml:space="preserve">    </w:t>
      </w:r>
      <w:r>
        <w:rPr>
          <w:b/>
        </w:rPr>
        <w:t xml:space="preserve">Pub date: </w:t>
      </w:r>
      <w:r>
        <w:t>2026-06-25 10:00:00+00:00</w:t>
      </w:r>
      <w:r>
        <w:t xml:space="preserve">    </w:t>
      </w:r>
      <w:r>
        <w:rPr>
          <w:b/>
        </w:rPr>
        <w:t xml:space="preserve">DOI: </w:t>
      </w:r>
      <w:hyperlink r:id="rId1114">
        <w:r>
          <w:rPr>
            <w:color w:val="1155CC"/>
            <w:u w:val="single"/>
          </w:rPr>
          <w:t>10.1103/21z4-c9p2</w:t>
        </w:r>
      </w:hyperlink>
    </w:p>
    <w:p>
      <w:pPr>
        <w:spacing w:before="0" w:after="120"/>
      </w:pPr>
      <w:r>
        <w:rPr>
          <w:b/>
        </w:rPr>
        <w:t xml:space="preserve">Notes: </w:t>
      </w:r>
      <w:r>
        <w:t>abstract_source=rss_description</w:t>
      </w:r>
    </w:p>
    <w:p>
      <w:pPr>
        <w:spacing w:before="0" w:after="80" w:lineRule="auto" w:line="276"/>
      </w:pPr>
      <w:r>
        <w:rPr>
          <w:b/>
        </w:rPr>
        <w:t xml:space="preserve">摘要（ZH）: </w:t>
      </w:r>
      <w:r>
        <w:t>作者：刘一尘和刘成成反铁轴态正在成为凝聚态物质系统中重要的铁序。在这里，我们将反铁轴交变磁性建立为一种广泛流行的、通用的、微观基础的多铁性机制，其中反铁轴反向旋转扭曲都会引起改变……[物理。莱特牧师。 136, 256709] 发布于 2026 年 6 月 25 日星期四</w:t>
      </w:r>
    </w:p>
    <w:p>
      <w:pPr>
        <w:spacing w:before="0" w:after="200" w:lineRule="auto" w:line="276"/>
      </w:pPr>
      <w:r>
        <w:rPr>
          <w:b/>
        </w:rPr>
        <w:t xml:space="preserve">Abstract (EN): </w:t>
      </w:r>
      <w:r>
        <w:t>Author(s): Yichen Liu and Cheng-Cheng LiuThe antiferroaxial state is emerging as an important ferroic order in condensed matter systems. Here, we establish antiferroaxial altermagnetism as a broadly prevalent, generic, and microscopically grounded multiferroic mechanism, in which antiferroaxial counterrotating distortions both induce alter…[Phys. Rev. Lett. 136, 256709] Published Thu Jun 25, 2026</w:t>
      </w:r>
    </w:p>
    <w:p>
      <w:pPr>
        <w:spacing w:before="120" w:after="120"/>
      </w:pPr>
      <w:r>
        <w:rPr>
          <w:sz w:val="18"/>
        </w:rPr>
        <w:t>——————————————————————————————————————————————————————————————————————</w:t>
      </w:r>
    </w:p>
    <w:p>
      <w:pPr>
        <w:spacing w:before="160" w:after="40" w:line="240" w:lineRule="auto"/>
      </w:pPr>
      <w:r>
        <w:rPr>
          <w:b/>
        </w:rPr>
        <w:t xml:space="preserve">[456] </w:t>
      </w:r>
      <w:hyperlink r:id="rId1115">
        <w:r>
          <w:rPr>
            <w:color w:val="1155CC"/>
            <w:u w:val="single"/>
          </w:rPr>
          <w:t>重新审视 $1T\text{−}{\text{TiSe}}_{2}$ 的电荷密度波超晶格</w:t>
        </w:r>
      </w:hyperlink>
    </w:p>
    <w:p>
      <w:pPr>
        <w:spacing w:before="0" w:after="80"/>
      </w:pPr>
      <w:r>
        <w:rPr>
          <w:i/>
          <w:sz w:val="20"/>
        </w:rPr>
        <w:t>EN: Revisiting the Charge-Density-Wave Superlattice of $1T\text{−}{\text{TiSe}}_{2}$</w:t>
      </w:r>
    </w:p>
    <w:p>
      <w:pPr>
        <w:spacing w:before="0" w:after="120"/>
      </w:pPr>
      <w:r>
        <w:rPr>
          <w:b/>
        </w:rPr>
        <w:t xml:space="preserve">Source: </w:t>
      </w:r>
      <w:r>
        <w:t>Recent Articles in Phys. Rev. Lett.</w:t>
      </w:r>
      <w:r>
        <w:t xml:space="preserve">    </w:t>
      </w:r>
      <w:r>
        <w:rPr>
          <w:b/>
        </w:rPr>
        <w:t xml:space="preserve">Pub date: </w:t>
      </w:r>
      <w:r>
        <w:t>2026-06-25 10:00:00+00:00</w:t>
      </w:r>
      <w:r>
        <w:t xml:space="preserve">    </w:t>
      </w:r>
      <w:r>
        <w:rPr>
          <w:b/>
        </w:rPr>
        <w:t xml:space="preserve">DOI: </w:t>
      </w:r>
      <w:hyperlink r:id="rId1116">
        <w:r>
          <w:rPr>
            <w:color w:val="1155CC"/>
            <w:u w:val="single"/>
          </w:rPr>
          <w:t>10.1103/btvb-ngy5</w:t>
        </w:r>
      </w:hyperlink>
    </w:p>
    <w:p>
      <w:pPr>
        <w:spacing w:before="0" w:after="120"/>
      </w:pPr>
      <w:r>
        <w:rPr>
          <w:b/>
        </w:rPr>
        <w:t xml:space="preserve">Notes: </w:t>
      </w:r>
      <w:r>
        <w:t>abstract_source=rss_description</w:t>
      </w:r>
    </w:p>
    <w:p>
      <w:pPr>
        <w:spacing w:before="0" w:after="80" w:lineRule="auto" w:line="276"/>
      </w:pPr>
      <w:r>
        <w:rPr>
          <w:b/>
        </w:rPr>
        <w:t xml:space="preserve">摘要（ZH）: </w:t>
      </w:r>
      <w:r>
        <w:t>作者：Wei Wang、Patrick Liu、Lijun Wu、Jing Tao、Genda Gu、Binghai Yan、Alfred Zong 和 Yimei Zhu 在层状过渡金属二硫化物 $1T\text{−}{\mathrm{TiSe}}_{2}$ 中，人们提出了许多有趣的现象，包括激子凝聚、轨道排序和手性的出现，伴随着电荷密度波 (CDW) 的形成。解释这些影响依赖于知识……[物理。莱特牧师。 136, 256101] 发布于 2026 年 6 月 25 日星期四</w:t>
      </w:r>
    </w:p>
    <w:p>
      <w:pPr>
        <w:spacing w:before="0" w:after="200" w:lineRule="auto" w:line="276"/>
      </w:pPr>
      <w:r>
        <w:rPr>
          <w:b/>
        </w:rPr>
        <w:t xml:space="preserve">Abstract (EN): </w:t>
      </w:r>
      <w:r>
        <w:t>Author(s): Wei Wang, Patrick Liu, Lijun Wu, Jing Tao, Genda Gu, Binghai Yan, Alfred Zong, and Yimei ZhuA number of intriguing phenomena, including exciton condensation, orbital ordering, and emergence of chirality, have been proposed to accompany charge-density-wave (CDW) formation in the layered transition metal dichalcogenide $1T\text{−}{\mathrm{TiSe}}_{2}$. Explaining these effects relies on knowl…[Phys. Rev. Lett. 136, 256101] Published Thu Jun 25, 2026</w:t>
      </w:r>
    </w:p>
    <w:p>
      <w:pPr>
        <w:spacing w:before="120" w:after="120"/>
      </w:pPr>
      <w:r>
        <w:rPr>
          <w:sz w:val="18"/>
        </w:rPr>
        <w:t>——————————————————————————————————————————————————————————————————————</w:t>
      </w:r>
    </w:p>
    <w:p>
      <w:pPr>
        <w:spacing w:before="160" w:after="40" w:line="240" w:lineRule="auto"/>
      </w:pPr>
      <w:r>
        <w:rPr>
          <w:b/>
        </w:rPr>
        <w:t xml:space="preserve">[457] </w:t>
      </w:r>
      <w:hyperlink r:id="rId1117">
        <w:r>
          <w:rPr>
            <w:color w:val="1155CC"/>
            <w:u w:val="single"/>
          </w:rPr>
          <w:t>勘误：与角动量 $j=9/2$ 壳中四个费米子状态的角动量零空间的属性的关系意外地发现对于任何旋转不变的两体相互作用都是静止的 [Phys.修订版 C 106, 024308 (2022)]</w:t>
        </w:r>
      </w:hyperlink>
    </w:p>
    <w:p>
      <w:pPr>
        <w:spacing w:before="0" w:after="80"/>
      </w:pPr>
      <w:r>
        <w:rPr>
          <w:i/>
          <w:sz w:val="20"/>
        </w:rPr>
        <w:t>EN: Erratum: Relation to a property of the angular-momentum-zero space of states of four fermions in an angular momentum $j=9/2$ shell unexpectedly found to be stationary for any rotationally invariant two-body interaction [Phys. Rev. C 106, 024308 (2022)]</w:t>
      </w:r>
    </w:p>
    <w:p>
      <w:pPr>
        <w:spacing w:before="0" w:after="120"/>
      </w:pPr>
      <w:r>
        <w:rPr>
          <w:b/>
        </w:rPr>
        <w:t xml:space="preserve">Source: </w:t>
      </w:r>
      <w:r>
        <w:t>Recent Articles in Phys. Rev. C</w:t>
      </w:r>
      <w:r>
        <w:t xml:space="preserve">    </w:t>
      </w:r>
      <w:r>
        <w:rPr>
          <w:b/>
        </w:rPr>
        <w:t xml:space="preserve">Pub date: </w:t>
      </w:r>
      <w:r>
        <w:t>2026-06-25 10:00:00+00:00</w:t>
      </w:r>
      <w:r>
        <w:t xml:space="preserve">    </w:t>
      </w:r>
      <w:r>
        <w:rPr>
          <w:b/>
        </w:rPr>
        <w:t xml:space="preserve">DOI: </w:t>
      </w:r>
      <w:hyperlink r:id="rId1118">
        <w:r>
          <w:rPr>
            <w:color w:val="1155CC"/>
            <w:u w:val="single"/>
          </w:rPr>
          <w:t>10.1103/gxgl-1wyf</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[458] </w:t>
      </w:r>
      <w:hyperlink r:id="rId1119">
        <w:r>
          <w:rPr>
            <w:color w:val="1155CC"/>
            <w:u w:val="single"/>
          </w:rPr>
          <w:t>寻找行星大气中暗物质引起的气辉</w:t>
        </w:r>
      </w:hyperlink>
    </w:p>
    <w:p>
      <w:pPr>
        <w:spacing w:before="0" w:after="80"/>
      </w:pPr>
      <w:r>
        <w:rPr>
          <w:i/>
          <w:sz w:val="20"/>
        </w:rPr>
        <w:t>EN: Search for Dark Matter Induced Airglow in Planetary Atmospheres</w:t>
      </w:r>
    </w:p>
    <w:p>
      <w:pPr>
        <w:spacing w:before="0" w:after="120"/>
      </w:pPr>
      <w:r>
        <w:rPr>
          <w:b/>
        </w:rPr>
        <w:t xml:space="preserve">Source: </w:t>
      </w:r>
      <w:r>
        <w:t>Recent Articles in Phys. Rev. Lett.</w:t>
      </w:r>
      <w:r>
        <w:t xml:space="preserve">    </w:t>
      </w:r>
      <w:r>
        <w:rPr>
          <w:b/>
        </w:rPr>
        <w:t xml:space="preserve">Pub date: </w:t>
      </w:r>
      <w:r>
        <w:t>2026-06-25 10:00:00+00:00</w:t>
      </w:r>
      <w:r>
        <w:t xml:space="preserve">    </w:t>
      </w:r>
      <w:r>
        <w:rPr>
          <w:b/>
        </w:rPr>
        <w:t xml:space="preserve">DOI: </w:t>
      </w:r>
      <w:hyperlink r:id="rId1120">
        <w:r>
          <w:rPr>
            <w:color w:val="1155CC"/>
            <w:u w:val="single"/>
          </w:rPr>
          <w:t>10.1103/g53c-cvnh</w:t>
        </w:r>
      </w:hyperlink>
    </w:p>
    <w:p>
      <w:pPr>
        <w:spacing w:before="0" w:after="120"/>
      </w:pPr>
      <w:r>
        <w:rPr>
          <w:b/>
        </w:rPr>
        <w:t xml:space="preserve">Notes: </w:t>
      </w:r>
      <w:r>
        <w:t>abstract_source=rss_description</w:t>
      </w:r>
    </w:p>
    <w:p>
      <w:pPr>
        <w:spacing w:before="0" w:after="80" w:lineRule="auto" w:line="276"/>
      </w:pPr>
      <w:r>
        <w:rPr>
          <w:b/>
        </w:rPr>
        <w:t xml:space="preserve">摘要（ZH）: </w:t>
      </w:r>
      <w:r>
        <w:t>作者：Carlos Blanco、Rebecca K. Leane、Marianne Moore 和 Joshua Tong 我们指出，暗物质 (DM) 可以通过紫外线气辉照亮行星天空。暗物质湮灭产物可以激发氢分子，然后氢分子去激发，产生莱曼和维尔纳波段的紫外线发射。我们通过分析夜间紫外线来寻找这种新效应……[Phys.莱特牧师。 136, 251001] 发布于 2026 年 6 月 25 日星期四</w:t>
      </w:r>
    </w:p>
    <w:p>
      <w:pPr>
        <w:spacing w:before="0" w:after="200" w:lineRule="auto" w:line="276"/>
      </w:pPr>
      <w:r>
        <w:rPr>
          <w:b/>
        </w:rPr>
        <w:t xml:space="preserve">Abstract (EN): </w:t>
      </w:r>
      <w:r>
        <w:t>Author(s): Carlos Blanco, Rebecca K. Leane, Marianne Moore, and Joshua TongWe point out that dark matter (DM) can illuminate planetary skies via ultraviolet airglow. Dark matter annihilation products can excite molecular hydrogen, which then deexcites to produce ultraviolet emission in the Lyman and Werner bands. We search for this new effect by analyzing nightside ultravi…[Phys. Rev. Lett. 136, 251001] Published Thu Jun 25, 2026</w:t>
      </w:r>
    </w:p>
    <w:p>
      <w:pPr>
        <w:spacing w:before="120" w:after="120"/>
      </w:pPr>
      <w:r>
        <w:rPr>
          <w:sz w:val="18"/>
        </w:rPr>
        <w:t>——————————————————————————————————————————————————————————————————————</w:t>
      </w:r>
    </w:p>
    <w:p>
      <w:pPr>
        <w:spacing w:before="160" w:after="40" w:line="240" w:lineRule="auto"/>
      </w:pPr>
      <w:r>
        <w:rPr>
          <w:b/>
        </w:rPr>
        <w:t xml:space="preserve">[459] </w:t>
      </w:r>
      <w:hyperlink r:id="rId1121">
        <w:r>
          <w:rPr>
            <w:color w:val="1155CC"/>
            <w:u w:val="single"/>
          </w:rPr>
          <w:t>波状膜上生长的活性凝胶的曲率不稳定性</w:t>
        </w:r>
      </w:hyperlink>
    </w:p>
    <w:p>
      <w:pPr>
        <w:spacing w:before="0" w:after="80"/>
      </w:pPr>
      <w:r>
        <w:rPr>
          <w:i/>
          <w:sz w:val="20"/>
        </w:rPr>
        <w:t>EN: Curvature Instability of an Active Gel Growing on a Wavy Membrane</w:t>
      </w:r>
    </w:p>
    <w:p>
      <w:pPr>
        <w:spacing w:before="0" w:after="120"/>
      </w:pPr>
      <w:r>
        <w:rPr>
          <w:b/>
        </w:rPr>
        <w:t xml:space="preserve">Source: </w:t>
      </w:r>
      <w:r>
        <w:t>Recent Articles in Phys. Rev. Lett.</w:t>
      </w:r>
      <w:r>
        <w:t xml:space="preserve">    </w:t>
      </w:r>
      <w:r>
        <w:rPr>
          <w:b/>
        </w:rPr>
        <w:t xml:space="preserve">Pub date: </w:t>
      </w:r>
      <w:r>
        <w:t>2026-06-25 10:00:00+00:00</w:t>
      </w:r>
      <w:r>
        <w:t xml:space="preserve">    </w:t>
      </w:r>
      <w:r>
        <w:rPr>
          <w:b/>
        </w:rPr>
        <w:t xml:space="preserve">DOI: </w:t>
      </w:r>
      <w:hyperlink r:id="rId1122">
        <w:r>
          <w:rPr>
            <w:color w:val="1155CC"/>
            <w:u w:val="single"/>
          </w:rPr>
          <w:t>10.1103/xzkp-f581</w:t>
        </w:r>
      </w:hyperlink>
    </w:p>
    <w:p>
      <w:pPr>
        <w:spacing w:before="0" w:after="120"/>
      </w:pPr>
      <w:r>
        <w:rPr>
          <w:b/>
        </w:rPr>
        <w:t xml:space="preserve">Notes: </w:t>
      </w:r>
      <w:r>
        <w:t>abstract_source=rss_description</w:t>
      </w:r>
    </w:p>
    <w:p>
      <w:pPr>
        <w:spacing w:before="0" w:after="80" w:lineRule="auto" w:line="276"/>
      </w:pPr>
      <w:r>
        <w:rPr>
          <w:b/>
        </w:rPr>
        <w:t xml:space="preserve">摘要（ZH）: </w:t>
      </w:r>
      <w:r>
        <w:t>作者：Kristiana Mihali、Dennis Wörthmüller 和 Pierre SensCell 形状变化很大程度上由肌动蛋白细胞骨架控制，肌动蛋白细胞骨架是质膜下的动态丝网络。几种细胞类型可以形成不受细胞外基质或基质支撑的延伸的独立突起，并受到对细胞膜敏感的蛋白质的调节……[Phys。莱特牧师。 136, 258401] 发布于 2026 年 6 月 25 日星期四</w:t>
      </w:r>
    </w:p>
    <w:p>
      <w:pPr>
        <w:spacing w:before="0" w:after="200" w:lineRule="auto" w:line="276"/>
      </w:pPr>
      <w:r>
        <w:rPr>
          <w:b/>
        </w:rPr>
        <w:t xml:space="preserve">Abstract (EN): </w:t>
      </w:r>
      <w:r>
        <w:t>Author(s): Kristiana Mihali, Dennis Wörthmüller, and Pierre SensCell shape changes are largely controlled by the actin cytoskeleton, a dynamic filament network beneath the plasma membrane. Several cell types can form extended freestanding protrusions not supported by an extracellular substrate or matrix, and regulated by proteins sensitive to the cell membrane c…[Phys. Rev. Lett. 136, 258401] Published Thu Jun 25, 2026</w:t>
      </w:r>
    </w:p>
    <w:p>
      <w:pPr>
        <w:spacing w:before="120" w:after="120"/>
      </w:pPr>
      <w:r>
        <w:rPr>
          <w:sz w:val="18"/>
        </w:rPr>
        <w:t>——————————————————————————————————————————————————————————————————————</w:t>
      </w:r>
    </w:p>
    <w:p>
      <w:pPr>
        <w:spacing w:before="160" w:after="40" w:line="240" w:lineRule="auto"/>
      </w:pPr>
      <w:r>
        <w:rPr>
          <w:b/>
        </w:rPr>
        <w:t xml:space="preserve">[460] </w:t>
      </w:r>
      <w:hyperlink r:id="rId1123">
        <w:r>
          <w:rPr>
            <w:color w:val="1155CC"/>
            <w:u w:val="single"/>
          </w:rPr>
          <w:t>三维反德西特空间中的短弦：从弱耦合到强耦合</w:t>
        </w:r>
      </w:hyperlink>
    </w:p>
    <w:p>
      <w:pPr>
        <w:spacing w:before="0" w:after="80"/>
      </w:pPr>
      <w:r>
        <w:rPr>
          <w:i/>
          <w:sz w:val="20"/>
        </w:rPr>
        <w:t>EN: Short Strings in Three-Dimensional Anti-de Sitter Space: From Weak to Strong Coupling</w:t>
      </w:r>
    </w:p>
    <w:p>
      <w:pPr>
        <w:spacing w:before="0" w:after="120"/>
      </w:pPr>
      <w:r>
        <w:rPr>
          <w:b/>
        </w:rPr>
        <w:t xml:space="preserve">Source: </w:t>
      </w:r>
      <w:r>
        <w:t>Recent Articles in Phys. Rev. Lett.</w:t>
      </w:r>
      <w:r>
        <w:t xml:space="preserve">    </w:t>
      </w:r>
      <w:r>
        <w:rPr>
          <w:b/>
        </w:rPr>
        <w:t xml:space="preserve">Pub date: </w:t>
      </w:r>
      <w:r>
        <w:t>2026-06-25 10:00:00+00:00</w:t>
      </w:r>
      <w:r>
        <w:t xml:space="preserve">    </w:t>
      </w:r>
      <w:r>
        <w:rPr>
          <w:b/>
        </w:rPr>
        <w:t xml:space="preserve">DOI: </w:t>
      </w:r>
      <w:hyperlink r:id="rId1124">
        <w:r>
          <w:rPr>
            <w:color w:val="1155CC"/>
            <w:u w:val="single"/>
          </w:rPr>
          <w:t>10.1103/3kxd-wjvs</w:t>
        </w:r>
      </w:hyperlink>
    </w:p>
    <w:p>
      <w:pPr>
        <w:spacing w:before="0" w:after="120"/>
      </w:pPr>
      <w:r>
        <w:rPr>
          <w:b/>
        </w:rPr>
        <w:t xml:space="preserve">Notes: </w:t>
      </w:r>
      <w:r>
        <w:t>abstract_source=rss_description</w:t>
      </w:r>
    </w:p>
    <w:p>
      <w:pPr>
        <w:spacing w:before="0" w:after="80" w:lineRule="auto" w:line="276"/>
      </w:pPr>
      <w:r>
        <w:rPr>
          <w:b/>
        </w:rPr>
        <w:t xml:space="preserve">摘要（ZH）: </w:t>
      </w:r>
      <w:r>
        <w:t>作者：Simon Ekhammar、Nikolay Gromov、Bogdan Stefański, Jr. 和 Charles Thull 我们用 Ramond-Ramond 电荷从弱耦合到强耦合，数值求解 ${\mathrm{AdS}}_{3}×{\mathrm{S}}^{3}×\text{ }{\mathrm{T}}^{4}$ 上弦的猜想量子谱曲线。在强耦合下，频谱组织成具有通用平方根的平坦空间弦质量水平……[物理。莱特牧师。 136, 251603] 发布于 2026 年 6 月 25 日星期四</w:t>
      </w:r>
    </w:p>
    <w:p>
      <w:pPr>
        <w:spacing w:before="0" w:after="200" w:lineRule="auto" w:line="276"/>
      </w:pPr>
      <w:r>
        <w:rPr>
          <w:b/>
        </w:rPr>
        <w:t xml:space="preserve">Abstract (EN): </w:t>
      </w:r>
      <w:r>
        <w:t>Author(s): Simon Ekhammar, Nikolay Gromov, Bogdan Stefański, Jr., and Charles ThullWe numerically solve the conjectured quantum spectral curve for strings on ${\mathrm{AdS}}_{3}×{\mathrm{S}}^{3}×\text{ }{\mathrm{T}}^{4}$ with Ramond-Ramond charge from weak to strong coupling. At strong coupling, the spectrum organizes into flat-space string mass levels with universal square-root s…[Phys. Rev. Lett. 136, 251603] Published Thu Jun 25, 2026</w:t>
      </w:r>
    </w:p>
    <w:p>
      <w:pPr>
        <w:spacing w:before="120" w:after="120"/>
      </w:pPr>
      <w:r>
        <w:rPr>
          <w:sz w:val="18"/>
        </w:rPr>
        <w:t>——————————————————————————————————————————————————————————————————————</w:t>
      </w:r>
    </w:p>
    <w:p>
      <w:pPr>
        <w:spacing w:before="160" w:after="40" w:line="240" w:lineRule="auto"/>
      </w:pPr>
      <w:r>
        <w:rPr>
          <w:b/>
        </w:rPr>
        <w:t xml:space="preserve">[461] </w:t>
      </w:r>
      <w:hyperlink r:id="rId1125">
        <w:r>
          <w:rPr>
            <w:color w:val="1155CC"/>
            <w:u w:val="single"/>
          </w:rPr>
          <w:t>通过手性钙钛矿材料中的自旋分裂和应变相互作用延长热载流子寿命</w:t>
        </w:r>
      </w:hyperlink>
    </w:p>
    <w:p>
      <w:pPr>
        <w:spacing w:before="0" w:after="80"/>
      </w:pPr>
      <w:r>
        <w:rPr>
          <w:i/>
          <w:sz w:val="20"/>
        </w:rPr>
        <w:t>EN: Enhancing Hot-Carrier Lifetime through Spin Splitting and Strain Interaction in Chiral Perovskite Materials</w:t>
      </w:r>
    </w:p>
    <w:p>
      <w:pPr>
        <w:spacing w:before="0" w:after="120"/>
      </w:pPr>
      <w:r>
        <w:rPr>
          <w:b/>
        </w:rPr>
        <w:t xml:space="preserve">Source: </w:t>
      </w:r>
      <w:r>
        <w:t>Recent Articles in Phys. Rev. Lett.</w:t>
      </w:r>
      <w:r>
        <w:t xml:space="preserve">    </w:t>
      </w:r>
      <w:r>
        <w:rPr>
          <w:b/>
        </w:rPr>
        <w:t xml:space="preserve">Pub date: </w:t>
      </w:r>
      <w:r>
        <w:t>2026-06-25 10:00:00+00:00</w:t>
      </w:r>
      <w:r>
        <w:t xml:space="preserve">    </w:t>
      </w:r>
      <w:r>
        <w:rPr>
          <w:b/>
        </w:rPr>
        <w:t xml:space="preserve">DOI: </w:t>
      </w:r>
      <w:hyperlink r:id="rId1126">
        <w:r>
          <w:rPr>
            <w:color w:val="1155CC"/>
            <w:u w:val="single"/>
          </w:rPr>
          <w:t>10.1103/9tfy-gp2t</w:t>
        </w:r>
      </w:hyperlink>
    </w:p>
    <w:p>
      <w:pPr>
        <w:spacing w:before="0" w:after="120"/>
      </w:pPr>
      <w:r>
        <w:rPr>
          <w:b/>
        </w:rPr>
        <w:t xml:space="preserve">Notes: </w:t>
      </w:r>
      <w:r>
        <w:t>abstract_source=rss_description</w:t>
      </w:r>
    </w:p>
    <w:p>
      <w:pPr>
        <w:spacing w:before="0" w:after="80" w:lineRule="auto" w:line="276"/>
      </w:pPr>
      <w:r>
        <w:rPr>
          <w:b/>
        </w:rPr>
        <w:t xml:space="preserve">摘要（ZH）: </w:t>
      </w:r>
      <w:r>
        <w:t>作者：黄玉玲、罗晓峰、龚少宽、薛杰、陆海鹏、赵金柱和陈希瀚电子特性的动态控制是凝聚态物理研究的一个关键领域。在这里，我们展示了手性二维钙钛矿中载流子应变介导的自旋分裂巨大增强（100 meV）的全光学控制。超快圆二色性测量和......[物理。莱特牧师。 136, 256902] 发布于 2026 年 6 月 25 日星期四</w:t>
      </w:r>
    </w:p>
    <w:p>
      <w:pPr>
        <w:spacing w:before="0" w:after="200" w:lineRule="auto" w:line="276"/>
      </w:pPr>
      <w:r>
        <w:rPr>
          <w:b/>
        </w:rPr>
        <w:t xml:space="preserve">Abstract (EN): </w:t>
      </w:r>
      <w:r>
        <w:t>Author(s): Yuling Huang, Xiao-Feng Luo, Shaokuan Gong, Jie Xue, Haipeng Lu, Jin-Zhu Zhao, and Xihan ChenThe dynamical control over electronic properties represents a key area of research in condensed-matter physics. Here, we demonstrate all-optical control of carrier-strain-mediated giant enhancement of spin splitting (100 meV) in a chiral 2D perovskite. Ultrafast circular dichroism measurements and a…[Phys. Rev. Lett. 136, 256902] Published Thu Jun 25,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09207?dgcid=rss_sd_all" TargetMode="External"/><Relationship Id="rId10" Type="http://schemas.openxmlformats.org/officeDocument/2006/relationships/hyperlink" Target="https://www.sciencedirect.com/science/article/pii/S0306261926008640?dgcid=rss_sd_all" TargetMode="External"/><Relationship Id="rId11" Type="http://schemas.openxmlformats.org/officeDocument/2006/relationships/hyperlink" Target="https://advanced.onlinelibrary.wiley.com/doi/10.1002/adma.73628?af=R" TargetMode="External"/><Relationship Id="rId12" Type="http://schemas.openxmlformats.org/officeDocument/2006/relationships/hyperlink" Target="https://doi.org/10.1002/adma.73628" TargetMode="External"/><Relationship Id="rId13" Type="http://schemas.openxmlformats.org/officeDocument/2006/relationships/hyperlink" Target="https://onlinelibrary.wiley.com/doi/10.1002/anie.5779751?af=R" TargetMode="External"/><Relationship Id="rId14" Type="http://schemas.openxmlformats.org/officeDocument/2006/relationships/hyperlink" Target="https://doi.org/10.1002/anie.5779751" TargetMode="External"/><Relationship Id="rId15" Type="http://schemas.openxmlformats.org/officeDocument/2006/relationships/hyperlink" Target="https://www.sciencedirect.com/science/article/pii/S0306261926008822?dgcid=rss_sd_all" TargetMode="External"/><Relationship Id="rId16" Type="http://schemas.openxmlformats.org/officeDocument/2006/relationships/hyperlink" Target="https://www.sciencedirect.com/science/article/pii/S0306261926009347?dgcid=rss_sd_all" TargetMode="External"/><Relationship Id="rId17" Type="http://schemas.openxmlformats.org/officeDocument/2006/relationships/hyperlink" Target="https://www.sciencedirect.com/science/article/pii/S0306261926008676?dgcid=rss_sd_all" TargetMode="External"/><Relationship Id="rId18" Type="http://schemas.openxmlformats.org/officeDocument/2006/relationships/hyperlink" Target="https://www.sciencedirect.com/science/article/pii/S0306261926008664?dgcid=rss_sd_all" TargetMode="External"/><Relationship Id="rId19" Type="http://schemas.openxmlformats.org/officeDocument/2006/relationships/hyperlink" Target="http://pubs.rsc.org/en/Content/ArticleLanding/2026/EE/D6EE01222A" TargetMode="External"/><Relationship Id="rId20" Type="http://schemas.openxmlformats.org/officeDocument/2006/relationships/hyperlink" Target="https://www.cell.com/joule/fulltext/S2542-4351(26)00211-4?rss=yes" TargetMode="External"/><Relationship Id="rId21" Type="http://schemas.openxmlformats.org/officeDocument/2006/relationships/hyperlink" Target="https://doi.org/10.1016/j.joule.2026.102527" TargetMode="External"/><Relationship Id="rId22" Type="http://schemas.openxmlformats.org/officeDocument/2006/relationships/hyperlink" Target="https://www.pnas.org/doi/abs/10.1073/pnas.2602252123?mi=eymic2&amp;af=R&amp;access=on&amp;content=articlesChapters&amp;publication=pnas&amp;sortBy=Earliest&amp;target=default" TargetMode="External"/><Relationship Id="rId23" Type="http://schemas.openxmlformats.org/officeDocument/2006/relationships/hyperlink" Target="https://doi.org/10.1073/pnas.2602252123" TargetMode="External"/><Relationship Id="rId24" Type="http://schemas.openxmlformats.org/officeDocument/2006/relationships/hyperlink" Target="https://www.nature.com/articles/s41557-026-02186-7" TargetMode="External"/><Relationship Id="rId25" Type="http://schemas.openxmlformats.org/officeDocument/2006/relationships/hyperlink" Target="https://doi.org/10.1038/s41557-026-02186-7" TargetMode="External"/><Relationship Id="rId26" Type="http://schemas.openxmlformats.org/officeDocument/2006/relationships/hyperlink" Target="https://www.nature.com/articles/s41928-026-01624-1" TargetMode="External"/><Relationship Id="rId27" Type="http://schemas.openxmlformats.org/officeDocument/2006/relationships/hyperlink" Target="https://doi.org/10.1038/s41928-026-01624-1" TargetMode="External"/><Relationship Id="rId28" Type="http://schemas.openxmlformats.org/officeDocument/2006/relationships/hyperlink" Target="https://www.nature.com/articles/s41565-026-02201-5" TargetMode="External"/><Relationship Id="rId29" Type="http://schemas.openxmlformats.org/officeDocument/2006/relationships/hyperlink" Target="https://doi.org/10.1038/s41565-026-02201-5" TargetMode="External"/><Relationship Id="rId30" Type="http://schemas.openxmlformats.org/officeDocument/2006/relationships/hyperlink" Target="https://advanced.onlinelibrary.wiley.com/doi/10.1002/adma.73825?af=R" TargetMode="External"/><Relationship Id="rId31" Type="http://schemas.openxmlformats.org/officeDocument/2006/relationships/hyperlink" Target="https://doi.org/10.1002/adma.73825" TargetMode="External"/><Relationship Id="rId32" Type="http://schemas.openxmlformats.org/officeDocument/2006/relationships/hyperlink" Target="https://advanced.onlinelibrary.wiley.com/doi/10.1002/adma.73741?af=R" TargetMode="External"/><Relationship Id="rId33" Type="http://schemas.openxmlformats.org/officeDocument/2006/relationships/hyperlink" Target="https://doi.org/10.1002/adma.73741" TargetMode="External"/><Relationship Id="rId34" Type="http://schemas.openxmlformats.org/officeDocument/2006/relationships/hyperlink" Target="https://advanced.onlinelibrary.wiley.com/doi/10.1002/adma.73788?af=R" TargetMode="External"/><Relationship Id="rId35" Type="http://schemas.openxmlformats.org/officeDocument/2006/relationships/hyperlink" Target="https://doi.org/10.1002/adma.73788" TargetMode="External"/><Relationship Id="rId36" Type="http://schemas.openxmlformats.org/officeDocument/2006/relationships/hyperlink" Target="https://www.cell.com/joule/fulltext/S2542-4351(26)00222-9?rss=yes" TargetMode="External"/><Relationship Id="rId37" Type="http://schemas.openxmlformats.org/officeDocument/2006/relationships/hyperlink" Target="https://doi.org/10.1016/j.joule.2026.102538" TargetMode="External"/><Relationship Id="rId38" Type="http://schemas.openxmlformats.org/officeDocument/2006/relationships/hyperlink" Target="https://www.nature.com/articles/s41560-026-02099-2" TargetMode="External"/><Relationship Id="rId39" Type="http://schemas.openxmlformats.org/officeDocument/2006/relationships/hyperlink" Target="https://doi.org/10.1038/s41560-026-02099-2" TargetMode="External"/><Relationship Id="rId40" Type="http://schemas.openxmlformats.org/officeDocument/2006/relationships/hyperlink" Target="https://advanced.onlinelibrary.wiley.com/doi/10.1002/aenm.71222?af=R" TargetMode="External"/><Relationship Id="rId41" Type="http://schemas.openxmlformats.org/officeDocument/2006/relationships/hyperlink" Target="https://doi.org/10.1002/aenm.71222" TargetMode="External"/><Relationship Id="rId42" Type="http://schemas.openxmlformats.org/officeDocument/2006/relationships/hyperlink" Target="https://www.nature.com/articles/s41560-026-02088-5" TargetMode="External"/><Relationship Id="rId43" Type="http://schemas.openxmlformats.org/officeDocument/2006/relationships/hyperlink" Target="https://doi.org/10.1038/s41560-026-02088-5" TargetMode="External"/><Relationship Id="rId44" Type="http://schemas.openxmlformats.org/officeDocument/2006/relationships/hyperlink" Target="https://advanced.onlinelibrary.wiley.com/doi/10.1002/adma.73761?af=R" TargetMode="External"/><Relationship Id="rId45" Type="http://schemas.openxmlformats.org/officeDocument/2006/relationships/hyperlink" Target="https://doi.org/10.1002/adma.73761" TargetMode="External"/><Relationship Id="rId46" Type="http://schemas.openxmlformats.org/officeDocument/2006/relationships/hyperlink" Target="https://advanced.onlinelibrary.wiley.com/doi/10.1002/aenm.71225?af=R" TargetMode="External"/><Relationship Id="rId47" Type="http://schemas.openxmlformats.org/officeDocument/2006/relationships/hyperlink" Target="https://doi.org/10.1002/aenm.71225" TargetMode="External"/><Relationship Id="rId48" Type="http://schemas.openxmlformats.org/officeDocument/2006/relationships/hyperlink" Target="https://onlinelibrary.wiley.com/doi/10.1002/anie.5004922?af=R" TargetMode="External"/><Relationship Id="rId49" Type="http://schemas.openxmlformats.org/officeDocument/2006/relationships/hyperlink" Target="https://doi.org/10.1002/anie.5004922" TargetMode="External"/><Relationship Id="rId50" Type="http://schemas.openxmlformats.org/officeDocument/2006/relationships/hyperlink" Target="https://onlinelibrary.wiley.com/doi/10.1002/anie.3350796?af=R" TargetMode="External"/><Relationship Id="rId51" Type="http://schemas.openxmlformats.org/officeDocument/2006/relationships/hyperlink" Target="https://doi.org/10.1002/anie.3350796" TargetMode="External"/><Relationship Id="rId52" Type="http://schemas.openxmlformats.org/officeDocument/2006/relationships/hyperlink" Target="https://onlinelibrary.wiley.com/doi/10.1002/anie.6487495?af=R" TargetMode="External"/><Relationship Id="rId53" Type="http://schemas.openxmlformats.org/officeDocument/2006/relationships/hyperlink" Target="https://doi.org/10.1002/anie.6487495" TargetMode="External"/><Relationship Id="rId54" Type="http://schemas.openxmlformats.org/officeDocument/2006/relationships/hyperlink" Target="https://advanced.onlinelibrary.wiley.com/doi/10.1002/adma.73706?af=R" TargetMode="External"/><Relationship Id="rId55" Type="http://schemas.openxmlformats.org/officeDocument/2006/relationships/hyperlink" Target="https://doi.org/10.1002/adma.73706" TargetMode="External"/><Relationship Id="rId56" Type="http://schemas.openxmlformats.org/officeDocument/2006/relationships/hyperlink" Target="https://onlinelibrary.wiley.com/doi/10.1002/anie.7580996?af=R" TargetMode="External"/><Relationship Id="rId57" Type="http://schemas.openxmlformats.org/officeDocument/2006/relationships/hyperlink" Target="https://doi.org/10.1002/anie.7580996" TargetMode="External"/><Relationship Id="rId58" Type="http://schemas.openxmlformats.org/officeDocument/2006/relationships/hyperlink" Target="https://www.nature.com/articles/s41467-026-74573-0" TargetMode="External"/><Relationship Id="rId59" Type="http://schemas.openxmlformats.org/officeDocument/2006/relationships/hyperlink" Target="https://advanced.onlinelibrary.wiley.com/doi/10.1002/aenm.71154?af=R" TargetMode="External"/><Relationship Id="rId60" Type="http://schemas.openxmlformats.org/officeDocument/2006/relationships/hyperlink" Target="https://doi.org/10.1002/aenm.71154" TargetMode="External"/><Relationship Id="rId61" Type="http://schemas.openxmlformats.org/officeDocument/2006/relationships/hyperlink" Target="https://onlinelibrary.wiley.com/doi/10.1002/anie.5674026?af=R" TargetMode="External"/><Relationship Id="rId62" Type="http://schemas.openxmlformats.org/officeDocument/2006/relationships/hyperlink" Target="https://doi.org/10.1002/anie.5674026" TargetMode="External"/><Relationship Id="rId63" Type="http://schemas.openxmlformats.org/officeDocument/2006/relationships/hyperlink" Target="https://onlinelibrary.wiley.com/doi/10.1002/anie.6921317?af=R" TargetMode="External"/><Relationship Id="rId64" Type="http://schemas.openxmlformats.org/officeDocument/2006/relationships/hyperlink" Target="https://doi.org/10.1002/anie.6921317" TargetMode="External"/><Relationship Id="rId65" Type="http://schemas.openxmlformats.org/officeDocument/2006/relationships/hyperlink" Target="https://advanced.onlinelibrary.wiley.com/doi/10.1002/adma.202522657?af=R" TargetMode="External"/><Relationship Id="rId66" Type="http://schemas.openxmlformats.org/officeDocument/2006/relationships/hyperlink" Target="https://doi.org/10.1002/adma.202522657" TargetMode="External"/><Relationship Id="rId67" Type="http://schemas.openxmlformats.org/officeDocument/2006/relationships/hyperlink" Target="http://pubs.rsc.org/en/Content/ArticleLanding/2026/EE/D6EE02337A" TargetMode="External"/><Relationship Id="rId68" Type="http://schemas.openxmlformats.org/officeDocument/2006/relationships/hyperlink" Target="https://www.cell.com/joule/fulltext/S2542-4351(26)00216-3?rss=yes" TargetMode="External"/><Relationship Id="rId69" Type="http://schemas.openxmlformats.org/officeDocument/2006/relationships/hyperlink" Target="https://doi.org/10.1016/j.joule.2026.102532" TargetMode="External"/><Relationship Id="rId70" Type="http://schemas.openxmlformats.org/officeDocument/2006/relationships/hyperlink" Target="https://www.cell.com/joule/fulltext/S2542-4351(26)00215-1?rss=yes" TargetMode="External"/><Relationship Id="rId71" Type="http://schemas.openxmlformats.org/officeDocument/2006/relationships/hyperlink" Target="https://doi.org/10.1016/j.joule.2026.102531" TargetMode="External"/><Relationship Id="rId72" Type="http://schemas.openxmlformats.org/officeDocument/2006/relationships/hyperlink" Target="https://academic.oup.com/nsr/advance-article/doi/10.1093/nsr/nwag385/8714992?rss=1" TargetMode="External"/><Relationship Id="rId73" Type="http://schemas.openxmlformats.org/officeDocument/2006/relationships/hyperlink" Target="https://doi.org/10.1093/nsr/nwag385" TargetMode="External"/><Relationship Id="rId74" Type="http://schemas.openxmlformats.org/officeDocument/2006/relationships/hyperlink" Target="https://onlinelibrary.wiley.com/doi/10.1002/anie.1957487?af=R" TargetMode="External"/><Relationship Id="rId75" Type="http://schemas.openxmlformats.org/officeDocument/2006/relationships/hyperlink" Target="https://doi.org/10.1002/anie.1957487" TargetMode="External"/><Relationship Id="rId76" Type="http://schemas.openxmlformats.org/officeDocument/2006/relationships/hyperlink" Target="https://advanced.onlinelibrary.wiley.com/doi/10.1002/adma.73726?af=R" TargetMode="External"/><Relationship Id="rId77" Type="http://schemas.openxmlformats.org/officeDocument/2006/relationships/hyperlink" Target="https://doi.org/10.1002/adma.73726" TargetMode="External"/><Relationship Id="rId78" Type="http://schemas.openxmlformats.org/officeDocument/2006/relationships/hyperlink" Target="https://advanced.onlinelibrary.wiley.com/doi/10.1002/adma.73814?af=R" TargetMode="External"/><Relationship Id="rId79" Type="http://schemas.openxmlformats.org/officeDocument/2006/relationships/hyperlink" Target="https://doi.org/10.1002/adma.73814" TargetMode="External"/><Relationship Id="rId80" Type="http://schemas.openxmlformats.org/officeDocument/2006/relationships/hyperlink" Target="https://onlinelibrary.wiley.com/doi/10.1002/anie.6048136?af=R" TargetMode="External"/><Relationship Id="rId81" Type="http://schemas.openxmlformats.org/officeDocument/2006/relationships/hyperlink" Target="https://doi.org/10.1002/anie.6048136" TargetMode="External"/><Relationship Id="rId82" Type="http://schemas.openxmlformats.org/officeDocument/2006/relationships/hyperlink" Target="https://advanced.onlinelibrary.wiley.com/doi/10.1002/aenm.71211?af=R" TargetMode="External"/><Relationship Id="rId83" Type="http://schemas.openxmlformats.org/officeDocument/2006/relationships/hyperlink" Target="https://doi.org/10.1002/aenm.71211" TargetMode="External"/><Relationship Id="rId84" Type="http://schemas.openxmlformats.org/officeDocument/2006/relationships/hyperlink" Target="https://www.cell.com/joule/fulltext/S2542-4351(26)00223-0?rss=yes" TargetMode="External"/><Relationship Id="rId85" Type="http://schemas.openxmlformats.org/officeDocument/2006/relationships/hyperlink" Target="https://doi.org/10.1016/j.joule.2026.102539" TargetMode="External"/><Relationship Id="rId86" Type="http://schemas.openxmlformats.org/officeDocument/2006/relationships/hyperlink" Target="https://onlinelibrary.wiley.com/doi/10.1002/anie.4266547?af=R" TargetMode="External"/><Relationship Id="rId87" Type="http://schemas.openxmlformats.org/officeDocument/2006/relationships/hyperlink" Target="https://doi.org/10.1002/anie.4266547" TargetMode="External"/><Relationship Id="rId88" Type="http://schemas.openxmlformats.org/officeDocument/2006/relationships/hyperlink" Target="https://onlinelibrary.wiley.com/doi/10.1002/anie.5955844?af=R" TargetMode="External"/><Relationship Id="rId89" Type="http://schemas.openxmlformats.org/officeDocument/2006/relationships/hyperlink" Target="https://doi.org/10.1002/anie.5955844" TargetMode="External"/><Relationship Id="rId90" Type="http://schemas.openxmlformats.org/officeDocument/2006/relationships/hyperlink" Target="https://www.nature.com/articles/s41893-026-01871-2" TargetMode="External"/><Relationship Id="rId91" Type="http://schemas.openxmlformats.org/officeDocument/2006/relationships/hyperlink" Target="https://doi.org/10.1038/s41893-026-01871-2" TargetMode="External"/><Relationship Id="rId92" Type="http://schemas.openxmlformats.org/officeDocument/2006/relationships/hyperlink" Target="https://onlinelibrary.wiley.com/doi/10.1002/anie.3143736?af=R" TargetMode="External"/><Relationship Id="rId93" Type="http://schemas.openxmlformats.org/officeDocument/2006/relationships/hyperlink" Target="https://doi.org/10.1002/anie.3143736" TargetMode="External"/><Relationship Id="rId94" Type="http://schemas.openxmlformats.org/officeDocument/2006/relationships/hyperlink" Target="https://onlinelibrary.wiley.com/doi/10.1002/anie.1940410?af=R" TargetMode="External"/><Relationship Id="rId95" Type="http://schemas.openxmlformats.org/officeDocument/2006/relationships/hyperlink" Target="https://doi.org/10.1002/anie.1940410" TargetMode="External"/><Relationship Id="rId96" Type="http://schemas.openxmlformats.org/officeDocument/2006/relationships/hyperlink" Target="https://advanced.onlinelibrary.wiley.com/doi/10.1002/adma.73790?af=R" TargetMode="External"/><Relationship Id="rId97" Type="http://schemas.openxmlformats.org/officeDocument/2006/relationships/hyperlink" Target="https://doi.org/10.1002/adma.73790" TargetMode="External"/><Relationship Id="rId98" Type="http://schemas.openxmlformats.org/officeDocument/2006/relationships/hyperlink" Target="https://advanced.onlinelibrary.wiley.com/doi/10.1002/adma.73836?af=R" TargetMode="External"/><Relationship Id="rId99" Type="http://schemas.openxmlformats.org/officeDocument/2006/relationships/hyperlink" Target="https://doi.org/10.1002/adma.73836" TargetMode="External"/><Relationship Id="rId100" Type="http://schemas.openxmlformats.org/officeDocument/2006/relationships/hyperlink" Target="https://www.science.org/doi/abs/10.1126/sciadv.aed5972?af=R" TargetMode="External"/><Relationship Id="rId101" Type="http://schemas.openxmlformats.org/officeDocument/2006/relationships/hyperlink" Target="https://doi.org/10.1126/sciadv.aed5972" TargetMode="External"/><Relationship Id="rId102" Type="http://schemas.openxmlformats.org/officeDocument/2006/relationships/hyperlink" Target="https://advanced.onlinelibrary.wiley.com/doi/10.1002/adma.73768?af=R" TargetMode="External"/><Relationship Id="rId103" Type="http://schemas.openxmlformats.org/officeDocument/2006/relationships/hyperlink" Target="https://doi.org/10.1002/adma.73768" TargetMode="External"/><Relationship Id="rId104" Type="http://schemas.openxmlformats.org/officeDocument/2006/relationships/hyperlink" Target="https://onlinelibrary.wiley.com/doi/10.1002/anie.3303191?af=R" TargetMode="External"/><Relationship Id="rId105" Type="http://schemas.openxmlformats.org/officeDocument/2006/relationships/hyperlink" Target="https://doi.org/10.1002/anie.3303191" TargetMode="External"/><Relationship Id="rId106" Type="http://schemas.openxmlformats.org/officeDocument/2006/relationships/hyperlink" Target="https://onlinelibrary.wiley.com/doi/10.1002/anie.1279221?af=R" TargetMode="External"/><Relationship Id="rId107" Type="http://schemas.openxmlformats.org/officeDocument/2006/relationships/hyperlink" Target="https://doi.org/10.1002/anie.1279221" TargetMode="External"/><Relationship Id="rId108" Type="http://schemas.openxmlformats.org/officeDocument/2006/relationships/hyperlink" Target="https://www.sciencedirect.com/science/article/pii/S0306261926008263?dgcid=rss_sd_all" TargetMode="External"/><Relationship Id="rId109" Type="http://schemas.openxmlformats.org/officeDocument/2006/relationships/hyperlink" Target="https://www.sciencedirect.com/science/article/pii/S0306261926008962?dgcid=rss_sd_all" TargetMode="External"/><Relationship Id="rId110" Type="http://schemas.openxmlformats.org/officeDocument/2006/relationships/hyperlink" Target="https://www.sciencedirect.com/science/article/pii/S0306261926009037?dgcid=rss_sd_all" TargetMode="External"/><Relationship Id="rId111" Type="http://schemas.openxmlformats.org/officeDocument/2006/relationships/hyperlink" Target="https://www.sciencedirect.com/science/article/pii/S030626192600886X?dgcid=rss_sd_all" TargetMode="External"/><Relationship Id="rId112" Type="http://schemas.openxmlformats.org/officeDocument/2006/relationships/hyperlink" Target="https://www.sciencedirect.com/science/article/pii/S0306261926008986?dgcid=rss_sd_all" TargetMode="External"/><Relationship Id="rId113" Type="http://schemas.openxmlformats.org/officeDocument/2006/relationships/hyperlink" Target="https://www.cell.com/joule/fulltext/S2542-4351(26)00214-X?rss=yes" TargetMode="External"/><Relationship Id="rId114" Type="http://schemas.openxmlformats.org/officeDocument/2006/relationships/hyperlink" Target="https://doi.org/10.1016/j.joule.2026.102530" TargetMode="External"/><Relationship Id="rId115" Type="http://schemas.openxmlformats.org/officeDocument/2006/relationships/hyperlink" Target="https://www.cell.com/joule/fulltext/S2542-4351(26)00208-4?rss=yes" TargetMode="External"/><Relationship Id="rId116" Type="http://schemas.openxmlformats.org/officeDocument/2006/relationships/hyperlink" Target="https://doi.org/10.1016/j.joule.2026.102524" TargetMode="External"/><Relationship Id="rId117" Type="http://schemas.openxmlformats.org/officeDocument/2006/relationships/hyperlink" Target="https://www.sciencedirect.com/science/article/pii/S0306261926009141?dgcid=rss_sd_all" TargetMode="External"/><Relationship Id="rId118" Type="http://schemas.openxmlformats.org/officeDocument/2006/relationships/hyperlink" Target="https://advanced.onlinelibrary.wiley.com/doi/10.1002/adma.73827?af=R" TargetMode="External"/><Relationship Id="rId119" Type="http://schemas.openxmlformats.org/officeDocument/2006/relationships/hyperlink" Target="https://doi.org/10.1002/adma.73827" TargetMode="External"/><Relationship Id="rId120" Type="http://schemas.openxmlformats.org/officeDocument/2006/relationships/hyperlink" Target="https://advanced.onlinelibrary.wiley.com/doi/10.1002/aenm.71220?af=R" TargetMode="External"/><Relationship Id="rId121" Type="http://schemas.openxmlformats.org/officeDocument/2006/relationships/hyperlink" Target="https://doi.org/10.1002/aenm.71220" TargetMode="External"/><Relationship Id="rId122" Type="http://schemas.openxmlformats.org/officeDocument/2006/relationships/hyperlink" Target="https://advanced.onlinelibrary.wiley.com/doi/10.1002/aenm.71121?af=R" TargetMode="External"/><Relationship Id="rId123" Type="http://schemas.openxmlformats.org/officeDocument/2006/relationships/hyperlink" Target="https://doi.org/10.1002/aenm.71121" TargetMode="External"/><Relationship Id="rId124" Type="http://schemas.openxmlformats.org/officeDocument/2006/relationships/hyperlink" Target="https://advanced.onlinelibrary.wiley.com/doi/10.1002/adma.73809?af=R" TargetMode="External"/><Relationship Id="rId125" Type="http://schemas.openxmlformats.org/officeDocument/2006/relationships/hyperlink" Target="https://doi.org/10.1002/adma.73809" TargetMode="External"/><Relationship Id="rId126" Type="http://schemas.openxmlformats.org/officeDocument/2006/relationships/hyperlink" Target="https://www.sciencedirect.com/science/article/pii/S0306261926009050?dgcid=rss_sd_all" TargetMode="External"/><Relationship Id="rId127" Type="http://schemas.openxmlformats.org/officeDocument/2006/relationships/hyperlink" Target="https://onlinelibrary.wiley.com/doi/10.1002/anie.4624830?af=R" TargetMode="External"/><Relationship Id="rId128" Type="http://schemas.openxmlformats.org/officeDocument/2006/relationships/hyperlink" Target="https://doi.org/10.1002/anie.4624830" TargetMode="External"/><Relationship Id="rId129" Type="http://schemas.openxmlformats.org/officeDocument/2006/relationships/hyperlink" Target="https://advanced.onlinelibrary.wiley.com/doi/10.1002/aenm.71217?af=R" TargetMode="External"/><Relationship Id="rId130" Type="http://schemas.openxmlformats.org/officeDocument/2006/relationships/hyperlink" Target="https://doi.org/10.1002/aenm.71217" TargetMode="External"/><Relationship Id="rId131" Type="http://schemas.openxmlformats.org/officeDocument/2006/relationships/hyperlink" Target="https://www.nature.com/articles/s41467-026-74714-5" TargetMode="External"/><Relationship Id="rId132" Type="http://schemas.openxmlformats.org/officeDocument/2006/relationships/hyperlink" Target="https://www.nature.com/articles/s41560-026-02053-2" TargetMode="External"/><Relationship Id="rId133" Type="http://schemas.openxmlformats.org/officeDocument/2006/relationships/hyperlink" Target="https://doi.org/10.1038/s41560-026-02053-2" TargetMode="External"/><Relationship Id="rId134" Type="http://schemas.openxmlformats.org/officeDocument/2006/relationships/hyperlink" Target="https://advanced.onlinelibrary.wiley.com/doi/10.1002/adma.73808?af=R" TargetMode="External"/><Relationship Id="rId135" Type="http://schemas.openxmlformats.org/officeDocument/2006/relationships/hyperlink" Target="https://doi.org/10.1002/adma.73808" TargetMode="External"/><Relationship Id="rId136" Type="http://schemas.openxmlformats.org/officeDocument/2006/relationships/hyperlink" Target="http://pubs.rsc.org/en/Content/ArticleLanding/2026/EE/D6EE01953F" TargetMode="External"/><Relationship Id="rId137" Type="http://schemas.openxmlformats.org/officeDocument/2006/relationships/hyperlink" Target="http://pubs.rsc.org/en/Content/ArticleLanding/2026/EE/D6EE01403H" TargetMode="External"/><Relationship Id="rId138" Type="http://schemas.openxmlformats.org/officeDocument/2006/relationships/hyperlink" Target="https://www.nature.com/articles/s41560-026-02091-w" TargetMode="External"/><Relationship Id="rId139" Type="http://schemas.openxmlformats.org/officeDocument/2006/relationships/hyperlink" Target="https://doi.org/10.1038/s41560-026-02091-w" TargetMode="External"/><Relationship Id="rId140" Type="http://schemas.openxmlformats.org/officeDocument/2006/relationships/hyperlink" Target="https://www.nature.com/articles/s41467-026-74835-x" TargetMode="External"/><Relationship Id="rId141" Type="http://schemas.openxmlformats.org/officeDocument/2006/relationships/hyperlink" Target="https://advanced.onlinelibrary.wiley.com/doi/10.1002/aenm.71223?af=R" TargetMode="External"/><Relationship Id="rId142" Type="http://schemas.openxmlformats.org/officeDocument/2006/relationships/hyperlink" Target="https://doi.org/10.1002/aenm.71223" TargetMode="External"/><Relationship Id="rId143" Type="http://schemas.openxmlformats.org/officeDocument/2006/relationships/hyperlink" Target="https://www.cell.com/matter/fulltext/S2590-2385(26)00268-7?rss=yes" TargetMode="External"/><Relationship Id="rId144" Type="http://schemas.openxmlformats.org/officeDocument/2006/relationships/hyperlink" Target="https://doi.org/10.1016/j.matt.2026.102905" TargetMode="External"/><Relationship Id="rId145" Type="http://schemas.openxmlformats.org/officeDocument/2006/relationships/hyperlink" Target="https://www.sciencedirect.com/science/article/pii/S0306261926008500?dgcid=rss_sd_all" TargetMode="External"/><Relationship Id="rId146" Type="http://schemas.openxmlformats.org/officeDocument/2006/relationships/hyperlink" Target="https://advanced.onlinelibrary.wiley.com/doi/10.1002/adma.73743?af=R" TargetMode="External"/><Relationship Id="rId147" Type="http://schemas.openxmlformats.org/officeDocument/2006/relationships/hyperlink" Target="https://doi.org/10.1002/adma.73743" TargetMode="External"/><Relationship Id="rId148" Type="http://schemas.openxmlformats.org/officeDocument/2006/relationships/hyperlink" Target="https://onlinelibrary.wiley.com/doi/10.1002/anie.7998291?af=R" TargetMode="External"/><Relationship Id="rId149" Type="http://schemas.openxmlformats.org/officeDocument/2006/relationships/hyperlink" Target="https://doi.org/10.1002/anie.7998291" TargetMode="External"/><Relationship Id="rId150" Type="http://schemas.openxmlformats.org/officeDocument/2006/relationships/hyperlink" Target="https://www.sciencedirect.com/science/article/pii/S0306261926008779?dgcid=rss_sd_all" TargetMode="External"/><Relationship Id="rId151" Type="http://schemas.openxmlformats.org/officeDocument/2006/relationships/hyperlink" Target="https://advanced.onlinelibrary.wiley.com/doi/10.1002/adma.73756?af=R" TargetMode="External"/><Relationship Id="rId152" Type="http://schemas.openxmlformats.org/officeDocument/2006/relationships/hyperlink" Target="https://doi.org/10.1002/adma.73756" TargetMode="External"/><Relationship Id="rId153" Type="http://schemas.openxmlformats.org/officeDocument/2006/relationships/hyperlink" Target="https://www.nature.com/articles/s41893-026-01887-8" TargetMode="External"/><Relationship Id="rId154" Type="http://schemas.openxmlformats.org/officeDocument/2006/relationships/hyperlink" Target="https://doi.org/10.1038/s41893-026-01887-8" TargetMode="External"/><Relationship Id="rId155" Type="http://schemas.openxmlformats.org/officeDocument/2006/relationships/hyperlink" Target="https://onlinelibrary.wiley.com/doi/10.1002/anie.2777553?af=R" TargetMode="External"/><Relationship Id="rId156" Type="http://schemas.openxmlformats.org/officeDocument/2006/relationships/hyperlink" Target="https://doi.org/10.1002/anie.2777553" TargetMode="External"/><Relationship Id="rId157" Type="http://schemas.openxmlformats.org/officeDocument/2006/relationships/hyperlink" Target="https://onlinelibrary.wiley.com/doi/10.1002/anie.9694160?af=R" TargetMode="External"/><Relationship Id="rId158" Type="http://schemas.openxmlformats.org/officeDocument/2006/relationships/hyperlink" Target="https://doi.org/10.1002/anie.9694160" TargetMode="External"/><Relationship Id="rId159" Type="http://schemas.openxmlformats.org/officeDocument/2006/relationships/hyperlink" Target="https://advanced.onlinelibrary.wiley.com/doi/10.1002/adma.73707?af=R" TargetMode="External"/><Relationship Id="rId160" Type="http://schemas.openxmlformats.org/officeDocument/2006/relationships/hyperlink" Target="https://doi.org/10.1002/adma.73707" TargetMode="External"/><Relationship Id="rId161" Type="http://schemas.openxmlformats.org/officeDocument/2006/relationships/hyperlink" Target="https://advanced.onlinelibrary.wiley.com/doi/10.1002/adma.73824?af=R" TargetMode="External"/><Relationship Id="rId162" Type="http://schemas.openxmlformats.org/officeDocument/2006/relationships/hyperlink" Target="https://doi.org/10.1002/adma.73824" TargetMode="External"/><Relationship Id="rId163" Type="http://schemas.openxmlformats.org/officeDocument/2006/relationships/hyperlink" Target="https://advanced.onlinelibrary.wiley.com/doi/10.1002/adma.73774?af=R" TargetMode="External"/><Relationship Id="rId164" Type="http://schemas.openxmlformats.org/officeDocument/2006/relationships/hyperlink" Target="https://doi.org/10.1002/adma.73774" TargetMode="External"/><Relationship Id="rId165" Type="http://schemas.openxmlformats.org/officeDocument/2006/relationships/hyperlink" Target="https://advanced.onlinelibrary.wiley.com/doi/10.1002/adma.73816?af=R" TargetMode="External"/><Relationship Id="rId166" Type="http://schemas.openxmlformats.org/officeDocument/2006/relationships/hyperlink" Target="https://doi.org/10.1002/adma.73816" TargetMode="External"/><Relationship Id="rId167" Type="http://schemas.openxmlformats.org/officeDocument/2006/relationships/hyperlink" Target="https://advanced.onlinelibrary.wiley.com/doi/10.1002/adma.73810?af=R" TargetMode="External"/><Relationship Id="rId168" Type="http://schemas.openxmlformats.org/officeDocument/2006/relationships/hyperlink" Target="https://doi.org/10.1002/adma.73810" TargetMode="External"/><Relationship Id="rId169" Type="http://schemas.openxmlformats.org/officeDocument/2006/relationships/hyperlink" Target="https://www.nature.com/articles/s41586-026-10662-w" TargetMode="External"/><Relationship Id="rId170" Type="http://schemas.openxmlformats.org/officeDocument/2006/relationships/hyperlink" Target="https://doi.org/10.1038/s41586-026-10662-w" TargetMode="External"/><Relationship Id="rId171" Type="http://schemas.openxmlformats.org/officeDocument/2006/relationships/hyperlink" Target="https://www.nature.com/articles/d41586-026-01803-2" TargetMode="External"/><Relationship Id="rId172" Type="http://schemas.openxmlformats.org/officeDocument/2006/relationships/hyperlink" Target="https://doi.org/10.1038/d41586-026-01803-2" TargetMode="External"/><Relationship Id="rId173" Type="http://schemas.openxmlformats.org/officeDocument/2006/relationships/hyperlink" Target="https://www.nature.com/articles/s41586-026-10708-z" TargetMode="External"/><Relationship Id="rId174" Type="http://schemas.openxmlformats.org/officeDocument/2006/relationships/hyperlink" Target="https://doi.org/10.1038/s41586-026-10708-z" TargetMode="External"/><Relationship Id="rId175" Type="http://schemas.openxmlformats.org/officeDocument/2006/relationships/hyperlink" Target="https://www.nature.com/articles/s41467-026-74752-z" TargetMode="External"/><Relationship Id="rId176" Type="http://schemas.openxmlformats.org/officeDocument/2006/relationships/hyperlink" Target="https://onlinelibrary.wiley.com/doi/10.1002/anie.1695429?af=R" TargetMode="External"/><Relationship Id="rId177" Type="http://schemas.openxmlformats.org/officeDocument/2006/relationships/hyperlink" Target="https://doi.org/10.1002/anie.1695429" TargetMode="External"/><Relationship Id="rId178" Type="http://schemas.openxmlformats.org/officeDocument/2006/relationships/hyperlink" Target="https://advanced.onlinelibrary.wiley.com/doi/10.1002/aenm.71120?af=R" TargetMode="External"/><Relationship Id="rId179" Type="http://schemas.openxmlformats.org/officeDocument/2006/relationships/hyperlink" Target="https://doi.org/10.1002/aenm.71120" TargetMode="External"/><Relationship Id="rId180" Type="http://schemas.openxmlformats.org/officeDocument/2006/relationships/hyperlink" Target="https://www.nature.com/articles/s41560-026-02085-8" TargetMode="External"/><Relationship Id="rId181" Type="http://schemas.openxmlformats.org/officeDocument/2006/relationships/hyperlink" Target="https://doi.org/10.1038/s41560-026-02085-8" TargetMode="External"/><Relationship Id="rId182" Type="http://schemas.openxmlformats.org/officeDocument/2006/relationships/hyperlink" Target="https://www.sciencedirect.com/science/article/pii/S0306261926009062?dgcid=rss_sd_all" TargetMode="External"/><Relationship Id="rId183" Type="http://schemas.openxmlformats.org/officeDocument/2006/relationships/hyperlink" Target="https://iopscience.iop.org/article/10.1088/1741-4326/ae71ec" TargetMode="External"/><Relationship Id="rId184" Type="http://schemas.openxmlformats.org/officeDocument/2006/relationships/hyperlink" Target="https://doi.org/10.1088/1741-4326/ae71ec" TargetMode="External"/><Relationship Id="rId185" Type="http://schemas.openxmlformats.org/officeDocument/2006/relationships/hyperlink" Target="https://iopscience.iop.org/article/10.1088/1741-4326/ae6f2d" TargetMode="External"/><Relationship Id="rId186" Type="http://schemas.openxmlformats.org/officeDocument/2006/relationships/hyperlink" Target="https://doi.org/10.1088/1741-4326/ae6f2d" TargetMode="External"/><Relationship Id="rId187" Type="http://schemas.openxmlformats.org/officeDocument/2006/relationships/hyperlink" Target="https://iopscience.iop.org/article/10.1088/1741-4326/ae7812" TargetMode="External"/><Relationship Id="rId188" Type="http://schemas.openxmlformats.org/officeDocument/2006/relationships/hyperlink" Target="https://doi.org/10.1088/1741-4326/ae7812" TargetMode="External"/><Relationship Id="rId189" Type="http://schemas.openxmlformats.org/officeDocument/2006/relationships/hyperlink" Target="https://iopscience.iop.org/article/10.1088/1741-4326/ae74e1" TargetMode="External"/><Relationship Id="rId190" Type="http://schemas.openxmlformats.org/officeDocument/2006/relationships/hyperlink" Target="https://doi.org/10.1088/1741-4326/ae74e1" TargetMode="External"/><Relationship Id="rId191" Type="http://schemas.openxmlformats.org/officeDocument/2006/relationships/hyperlink" Target="https://iopscience.iop.org/article/10.1088/1741-4326/ae7985" TargetMode="External"/><Relationship Id="rId192" Type="http://schemas.openxmlformats.org/officeDocument/2006/relationships/hyperlink" Target="https://doi.org/10.1088/1741-4326/ae7985" TargetMode="External"/><Relationship Id="rId193" Type="http://schemas.openxmlformats.org/officeDocument/2006/relationships/hyperlink" Target="https://iopscience.iop.org/article/10.1088/1741-4326/ae7739" TargetMode="External"/><Relationship Id="rId194" Type="http://schemas.openxmlformats.org/officeDocument/2006/relationships/hyperlink" Target="https://doi.org/10.1088/1741-4326/ae7739" TargetMode="External"/><Relationship Id="rId195" Type="http://schemas.openxmlformats.org/officeDocument/2006/relationships/hyperlink" Target="https://iopscience.iop.org/article/10.1088/1741-4326/ae7737" TargetMode="External"/><Relationship Id="rId196" Type="http://schemas.openxmlformats.org/officeDocument/2006/relationships/hyperlink" Target="https://doi.org/10.1088/1741-4326/ae7737" TargetMode="External"/><Relationship Id="rId197" Type="http://schemas.openxmlformats.org/officeDocument/2006/relationships/hyperlink" Target="https://www.sciencedirect.com/science/article/pii/S0306261926008755?dgcid=rss_sd_all" TargetMode="External"/><Relationship Id="rId198" Type="http://schemas.openxmlformats.org/officeDocument/2006/relationships/hyperlink" Target="https://www.sciencedirect.com/science/article/pii/S030626192600872X?dgcid=rss_sd_all" TargetMode="External"/><Relationship Id="rId199" Type="http://schemas.openxmlformats.org/officeDocument/2006/relationships/hyperlink" Target="https://www.sciencedirect.com/science/article/pii/S0306261926009128?dgcid=rss_sd_all" TargetMode="External"/><Relationship Id="rId200" Type="http://schemas.openxmlformats.org/officeDocument/2006/relationships/hyperlink" Target="https://advanced.onlinelibrary.wiley.com/doi/10.1002/adma.73812?af=R" TargetMode="External"/><Relationship Id="rId201" Type="http://schemas.openxmlformats.org/officeDocument/2006/relationships/hyperlink" Target="https://doi.org/10.1002/adma.73812" TargetMode="External"/><Relationship Id="rId202" Type="http://schemas.openxmlformats.org/officeDocument/2006/relationships/hyperlink" Target="https://www.sciencedirect.com/science/article/pii/S0306261926008743?dgcid=rss_sd_all" TargetMode="External"/><Relationship Id="rId203" Type="http://schemas.openxmlformats.org/officeDocument/2006/relationships/hyperlink" Target="https://onlinelibrary.wiley.com/doi/10.1002/anie.9211185?af=R" TargetMode="External"/><Relationship Id="rId204" Type="http://schemas.openxmlformats.org/officeDocument/2006/relationships/hyperlink" Target="https://doi.org/10.1002/anie.9211185" TargetMode="External"/><Relationship Id="rId205" Type="http://schemas.openxmlformats.org/officeDocument/2006/relationships/hyperlink" Target="https://www.nature.com/articles/s41557-026-02183-w" TargetMode="External"/><Relationship Id="rId206" Type="http://schemas.openxmlformats.org/officeDocument/2006/relationships/hyperlink" Target="https://doi.org/10.1038/s41557-026-02183-w" TargetMode="External"/><Relationship Id="rId207" Type="http://schemas.openxmlformats.org/officeDocument/2006/relationships/hyperlink" Target="https://www.sciencedirect.com/science/article/pii/S030626192600749X?dgcid=rss_sd_all" TargetMode="External"/><Relationship Id="rId208" Type="http://schemas.openxmlformats.org/officeDocument/2006/relationships/hyperlink" Target="https://onlinelibrary.wiley.com/doi/10.1002/anie.4672990?af=R" TargetMode="External"/><Relationship Id="rId209" Type="http://schemas.openxmlformats.org/officeDocument/2006/relationships/hyperlink" Target="https://doi.org/10.1002/anie.4672990" TargetMode="External"/><Relationship Id="rId210" Type="http://schemas.openxmlformats.org/officeDocument/2006/relationships/hyperlink" Target="https://onlinelibrary.wiley.com/doi/10.1002/anie.6138540?af=R" TargetMode="External"/><Relationship Id="rId211" Type="http://schemas.openxmlformats.org/officeDocument/2006/relationships/hyperlink" Target="https://doi.org/10.1002/anie.6138540" TargetMode="External"/><Relationship Id="rId212" Type="http://schemas.openxmlformats.org/officeDocument/2006/relationships/hyperlink" Target="https://onlinelibrary.wiley.com/doi/10.1002/anie.5675182?af=R" TargetMode="External"/><Relationship Id="rId213" Type="http://schemas.openxmlformats.org/officeDocument/2006/relationships/hyperlink" Target="https://doi.org/10.1002/anie.5675182" TargetMode="External"/><Relationship Id="rId214" Type="http://schemas.openxmlformats.org/officeDocument/2006/relationships/hyperlink" Target="https://www.nature.com/articles/s41467-026-74820-4" TargetMode="External"/><Relationship Id="rId215" Type="http://schemas.openxmlformats.org/officeDocument/2006/relationships/hyperlink" Target="https://www.sciencedirect.com/science/article/pii/S0306261926008561?dgcid=rss_sd_all" TargetMode="External"/><Relationship Id="rId216" Type="http://schemas.openxmlformats.org/officeDocument/2006/relationships/hyperlink" Target="https://advanced.onlinelibrary.wiley.com/doi/10.1002/adma.73832?af=R" TargetMode="External"/><Relationship Id="rId217" Type="http://schemas.openxmlformats.org/officeDocument/2006/relationships/hyperlink" Target="https://doi.org/10.1002/adma.73832" TargetMode="External"/><Relationship Id="rId218" Type="http://schemas.openxmlformats.org/officeDocument/2006/relationships/hyperlink" Target="https://advanced.onlinelibrary.wiley.com/doi/10.1002/adma.73792?af=R" TargetMode="External"/><Relationship Id="rId219" Type="http://schemas.openxmlformats.org/officeDocument/2006/relationships/hyperlink" Target="https://doi.org/10.1002/adma.73792" TargetMode="External"/><Relationship Id="rId220" Type="http://schemas.openxmlformats.org/officeDocument/2006/relationships/hyperlink" Target="https://onlinelibrary.wiley.com/doi/10.1002/anie.9630862?af=R" TargetMode="External"/><Relationship Id="rId221" Type="http://schemas.openxmlformats.org/officeDocument/2006/relationships/hyperlink" Target="https://doi.org/10.1002/anie.9630862" TargetMode="External"/><Relationship Id="rId222" Type="http://schemas.openxmlformats.org/officeDocument/2006/relationships/hyperlink" Target="https://www.science.org/doi/abs/10.1126/sciadv.aeb1299?af=R" TargetMode="External"/><Relationship Id="rId223" Type="http://schemas.openxmlformats.org/officeDocument/2006/relationships/hyperlink" Target="https://doi.org/10.1126/sciadv.aeb1299" TargetMode="External"/><Relationship Id="rId224" Type="http://schemas.openxmlformats.org/officeDocument/2006/relationships/hyperlink" Target="https://www.science.org/doi/abs/10.1126/sciadv.aee9634?af=R" TargetMode="External"/><Relationship Id="rId225" Type="http://schemas.openxmlformats.org/officeDocument/2006/relationships/hyperlink" Target="https://doi.org/10.1126/sciadv.aee9634" TargetMode="External"/><Relationship Id="rId226" Type="http://schemas.openxmlformats.org/officeDocument/2006/relationships/hyperlink" Target="https://advanced.onlinelibrary.wiley.com/doi/10.1002/adma.73818?af=R" TargetMode="External"/><Relationship Id="rId227" Type="http://schemas.openxmlformats.org/officeDocument/2006/relationships/hyperlink" Target="https://doi.org/10.1002/adma.73818" TargetMode="External"/><Relationship Id="rId228" Type="http://schemas.openxmlformats.org/officeDocument/2006/relationships/hyperlink" Target="https://advanced.onlinelibrary.wiley.com/doi/10.1002/aenm.71226?af=R" TargetMode="External"/><Relationship Id="rId229" Type="http://schemas.openxmlformats.org/officeDocument/2006/relationships/hyperlink" Target="https://doi.org/10.1002/aenm.71226" TargetMode="External"/><Relationship Id="rId230" Type="http://schemas.openxmlformats.org/officeDocument/2006/relationships/hyperlink" Target="http://pubs.rsc.org/en/Content/ArticleLanding/2026/EE/D6EE02150F" TargetMode="External"/><Relationship Id="rId231" Type="http://schemas.openxmlformats.org/officeDocument/2006/relationships/hyperlink" Target="https://www.cell.com/joule/fulltext/S2542-4351(26)00221-7?rss=yes" TargetMode="External"/><Relationship Id="rId232" Type="http://schemas.openxmlformats.org/officeDocument/2006/relationships/hyperlink" Target="https://doi.org/10.1016/j.joule.2026.102537" TargetMode="External"/><Relationship Id="rId233" Type="http://schemas.openxmlformats.org/officeDocument/2006/relationships/hyperlink" Target="https://www.nature.com/articles/s41560-026-02095-6" TargetMode="External"/><Relationship Id="rId234" Type="http://schemas.openxmlformats.org/officeDocument/2006/relationships/hyperlink" Target="https://doi.org/10.1038/s41560-026-02095-6" TargetMode="External"/><Relationship Id="rId235" Type="http://schemas.openxmlformats.org/officeDocument/2006/relationships/hyperlink" Target="https://www.nature.com/articles/s41578-026-00939-x" TargetMode="External"/><Relationship Id="rId236" Type="http://schemas.openxmlformats.org/officeDocument/2006/relationships/hyperlink" Target="https://doi.org/10.1038/s41578-026-00939-x" TargetMode="External"/><Relationship Id="rId237" Type="http://schemas.openxmlformats.org/officeDocument/2006/relationships/hyperlink" Target="https://www.cell.com/joule/fulltext/S2542-4351(26)00217-5?rss=yes" TargetMode="External"/><Relationship Id="rId238" Type="http://schemas.openxmlformats.org/officeDocument/2006/relationships/hyperlink" Target="https://doi.org/10.1016/j.joule.2026.102533" TargetMode="External"/><Relationship Id="rId239" Type="http://schemas.openxmlformats.org/officeDocument/2006/relationships/hyperlink" Target="https://www.nature.com/articles/s41893-026-01860-5" TargetMode="External"/><Relationship Id="rId240" Type="http://schemas.openxmlformats.org/officeDocument/2006/relationships/hyperlink" Target="https://doi.org/10.1038/s41893-026-01860-5" TargetMode="External"/><Relationship Id="rId241" Type="http://schemas.openxmlformats.org/officeDocument/2006/relationships/hyperlink" Target="https://www.nature.com/articles/s41467-026-74367-4" TargetMode="External"/><Relationship Id="rId242" Type="http://schemas.openxmlformats.org/officeDocument/2006/relationships/hyperlink" Target="https://www.nature.com/articles/d41586-026-01896-9" TargetMode="External"/><Relationship Id="rId243" Type="http://schemas.openxmlformats.org/officeDocument/2006/relationships/hyperlink" Target="https://doi.org/10.1038/d41586-026-01896-9" TargetMode="External"/><Relationship Id="rId244" Type="http://schemas.openxmlformats.org/officeDocument/2006/relationships/hyperlink" Target="https://www.nature.com/articles/s41893-026-01858-z" TargetMode="External"/><Relationship Id="rId245" Type="http://schemas.openxmlformats.org/officeDocument/2006/relationships/hyperlink" Target="https://doi.org/10.1038/s41893-026-01858-z" TargetMode="External"/><Relationship Id="rId246" Type="http://schemas.openxmlformats.org/officeDocument/2006/relationships/hyperlink" Target="https://www.nature.com/articles/s41586-026-10677-3" TargetMode="External"/><Relationship Id="rId247" Type="http://schemas.openxmlformats.org/officeDocument/2006/relationships/hyperlink" Target="https://doi.org/10.1038/s41586-026-10677-3" TargetMode="External"/><Relationship Id="rId248" Type="http://schemas.openxmlformats.org/officeDocument/2006/relationships/hyperlink" Target="https://www.nature.com/articles/s41467-026-74495-x" TargetMode="External"/><Relationship Id="rId249" Type="http://schemas.openxmlformats.org/officeDocument/2006/relationships/hyperlink" Target="https://www.nature.com/articles/s41467-026-74245-z" TargetMode="External"/><Relationship Id="rId250" Type="http://schemas.openxmlformats.org/officeDocument/2006/relationships/hyperlink" Target="https://www.nature.com/articles/s41467-026-74868-2" TargetMode="External"/><Relationship Id="rId251" Type="http://schemas.openxmlformats.org/officeDocument/2006/relationships/hyperlink" Target="https://www.science.org/doi/abs/10.1126/science.adp5208?af=R" TargetMode="External"/><Relationship Id="rId252" Type="http://schemas.openxmlformats.org/officeDocument/2006/relationships/hyperlink" Target="https://doi.org/10.1126/science.adp5208" TargetMode="External"/><Relationship Id="rId253" Type="http://schemas.openxmlformats.org/officeDocument/2006/relationships/hyperlink" Target="https://onlinelibrary.wiley.com/doi/10.1002/anie.9254970?af=R" TargetMode="External"/><Relationship Id="rId254" Type="http://schemas.openxmlformats.org/officeDocument/2006/relationships/hyperlink" Target="https://doi.org/10.1002/anie.9254970" TargetMode="External"/><Relationship Id="rId255" Type="http://schemas.openxmlformats.org/officeDocument/2006/relationships/hyperlink" Target="https://advanced.onlinelibrary.wiley.com/doi/10.1002/adma.73766?af=R" TargetMode="External"/><Relationship Id="rId256" Type="http://schemas.openxmlformats.org/officeDocument/2006/relationships/hyperlink" Target="https://doi.org/10.1002/adma.73766" TargetMode="External"/><Relationship Id="rId257" Type="http://schemas.openxmlformats.org/officeDocument/2006/relationships/hyperlink" Target="https://www.sciencedirect.com/science/article/pii/S030626192600869X?dgcid=rss_sd_all" TargetMode="External"/><Relationship Id="rId258" Type="http://schemas.openxmlformats.org/officeDocument/2006/relationships/hyperlink" Target="https://onlinelibrary.wiley.com/doi/10.1002/anie.3424135?af=R" TargetMode="External"/><Relationship Id="rId259" Type="http://schemas.openxmlformats.org/officeDocument/2006/relationships/hyperlink" Target="https://doi.org/10.1002/anie.3424135" TargetMode="External"/><Relationship Id="rId260" Type="http://schemas.openxmlformats.org/officeDocument/2006/relationships/hyperlink" Target="https://onlinelibrary.wiley.com/doi/10.1002/anie.2477373?af=R" TargetMode="External"/><Relationship Id="rId261" Type="http://schemas.openxmlformats.org/officeDocument/2006/relationships/hyperlink" Target="https://doi.org/10.1002/anie.2477373" TargetMode="External"/><Relationship Id="rId262" Type="http://schemas.openxmlformats.org/officeDocument/2006/relationships/hyperlink" Target="https://www.nature.com/articles/s41565-026-02209-x" TargetMode="External"/><Relationship Id="rId263" Type="http://schemas.openxmlformats.org/officeDocument/2006/relationships/hyperlink" Target="https://doi.org/10.1038/s41565-026-02209-x" TargetMode="External"/><Relationship Id="rId264" Type="http://schemas.openxmlformats.org/officeDocument/2006/relationships/hyperlink" Target="https://onlinelibrary.wiley.com/doi/10.1002/anie.4456858?af=R" TargetMode="External"/><Relationship Id="rId265" Type="http://schemas.openxmlformats.org/officeDocument/2006/relationships/hyperlink" Target="https://doi.org/10.1002/anie.4456858" TargetMode="External"/><Relationship Id="rId266" Type="http://schemas.openxmlformats.org/officeDocument/2006/relationships/hyperlink" Target="http://pubs.rsc.org/en/Content/ArticleLanding/2026/CS/D5CS01228G" TargetMode="External"/><Relationship Id="rId267" Type="http://schemas.openxmlformats.org/officeDocument/2006/relationships/hyperlink" Target="https://onlinelibrary.wiley.com/doi/10.1002/anie.9402364?af=R" TargetMode="External"/><Relationship Id="rId268" Type="http://schemas.openxmlformats.org/officeDocument/2006/relationships/hyperlink" Target="https://doi.org/10.1002/anie.9402364" TargetMode="External"/><Relationship Id="rId269" Type="http://schemas.openxmlformats.org/officeDocument/2006/relationships/hyperlink" Target="https://onlinelibrary.wiley.com/doi/10.1002/anie.4379815?af=R" TargetMode="External"/><Relationship Id="rId270" Type="http://schemas.openxmlformats.org/officeDocument/2006/relationships/hyperlink" Target="https://doi.org/10.1002/anie.4379815" TargetMode="External"/><Relationship Id="rId271" Type="http://schemas.openxmlformats.org/officeDocument/2006/relationships/hyperlink" Target="https://onlinelibrary.wiley.com/doi/10.1002/anie.2904451?af=R" TargetMode="External"/><Relationship Id="rId272" Type="http://schemas.openxmlformats.org/officeDocument/2006/relationships/hyperlink" Target="https://doi.org/10.1002/anie.2904451" TargetMode="External"/><Relationship Id="rId273" Type="http://schemas.openxmlformats.org/officeDocument/2006/relationships/hyperlink" Target="https://www.cell.com/joule/fulltext/S2542-4351(26)00218-7?rss=yes" TargetMode="External"/><Relationship Id="rId274" Type="http://schemas.openxmlformats.org/officeDocument/2006/relationships/hyperlink" Target="https://doi.org/10.1016/j.joule.2026.102534" TargetMode="External"/><Relationship Id="rId275" Type="http://schemas.openxmlformats.org/officeDocument/2006/relationships/hyperlink" Target="https://www.pnas.org/doi/abs/10.1073/pnas.2602421123?mi=eymic2&amp;af=R&amp;access=on&amp;content=articlesChapters&amp;publication=pnas&amp;sortBy=Earliest&amp;target=default" TargetMode="External"/><Relationship Id="rId276" Type="http://schemas.openxmlformats.org/officeDocument/2006/relationships/hyperlink" Target="https://doi.org/10.1073/pnas.2602421123" TargetMode="External"/><Relationship Id="rId277" Type="http://schemas.openxmlformats.org/officeDocument/2006/relationships/hyperlink" Target="https://advanced.onlinelibrary.wiley.com/doi/10.1002/adma.73817?af=R" TargetMode="External"/><Relationship Id="rId278" Type="http://schemas.openxmlformats.org/officeDocument/2006/relationships/hyperlink" Target="https://doi.org/10.1002/adma.73817" TargetMode="External"/><Relationship Id="rId279" Type="http://schemas.openxmlformats.org/officeDocument/2006/relationships/hyperlink" Target="https://advanced.onlinelibrary.wiley.com/doi/10.1002/aenm.71214?af=R" TargetMode="External"/><Relationship Id="rId280" Type="http://schemas.openxmlformats.org/officeDocument/2006/relationships/hyperlink" Target="https://doi.org/10.1002/aenm.71214" TargetMode="External"/><Relationship Id="rId281" Type="http://schemas.openxmlformats.org/officeDocument/2006/relationships/hyperlink" Target="https://www.nature.com/articles/s41467-026-74514-x" TargetMode="External"/><Relationship Id="rId282" Type="http://schemas.openxmlformats.org/officeDocument/2006/relationships/hyperlink" Target="https://www.sciencedirect.com/science/article/pii/S0301421526003605?dgcid=rss_sd_all" TargetMode="External"/><Relationship Id="rId283" Type="http://schemas.openxmlformats.org/officeDocument/2006/relationships/hyperlink" Target="https://www.sciencedirect.com/science/article/pii/S0306261926007580?dgcid=rss_sd_all" TargetMode="External"/><Relationship Id="rId284" Type="http://schemas.openxmlformats.org/officeDocument/2006/relationships/hyperlink" Target="https://www.sciencedirect.com/science/article/pii/S0306261926008688?dgcid=rss_sd_all" TargetMode="External"/><Relationship Id="rId285" Type="http://schemas.openxmlformats.org/officeDocument/2006/relationships/hyperlink" Target="https://www.sciencedirect.com/science/article/pii/S0306261926008810?dgcid=rss_sd_all" TargetMode="External"/><Relationship Id="rId286" Type="http://schemas.openxmlformats.org/officeDocument/2006/relationships/hyperlink" Target="https://www.sciencedirect.com/science/article/pii/S0306261926009098?dgcid=rss_sd_all" TargetMode="External"/><Relationship Id="rId287" Type="http://schemas.openxmlformats.org/officeDocument/2006/relationships/hyperlink" Target="https://www.sciencedirect.com/science/article/pii/S0306261926008974?dgcid=rss_sd_all" TargetMode="External"/><Relationship Id="rId288" Type="http://schemas.openxmlformats.org/officeDocument/2006/relationships/hyperlink" Target="https://www.sciencedirect.com/science/article/pii/S0306261926009049?dgcid=rss_sd_all" TargetMode="External"/><Relationship Id="rId289" Type="http://schemas.openxmlformats.org/officeDocument/2006/relationships/hyperlink" Target="https://www.sciencedirect.com/science/article/pii/S0306261926009153?dgcid=rss_sd_all" TargetMode="External"/><Relationship Id="rId290" Type="http://schemas.openxmlformats.org/officeDocument/2006/relationships/hyperlink" Target="https://www.sciencedirect.com/science/article/pii/S0301421526003873?dgcid=rss_sd_all" TargetMode="External"/><Relationship Id="rId291" Type="http://schemas.openxmlformats.org/officeDocument/2006/relationships/hyperlink" Target="https://www.sciencedirect.com/science/article/pii/S0306261926008998?dgcid=rss_sd_all" TargetMode="External"/><Relationship Id="rId292" Type="http://schemas.openxmlformats.org/officeDocument/2006/relationships/hyperlink" Target="https://www.sciencedirect.com/science/article/pii/S0306261926008901?dgcid=rss_sd_all" TargetMode="External"/><Relationship Id="rId293" Type="http://schemas.openxmlformats.org/officeDocument/2006/relationships/hyperlink" Target="https://www.sciencedirect.com/science/article/pii/S030142152600385X?dgcid=rss_sd_all" TargetMode="External"/><Relationship Id="rId294" Type="http://schemas.openxmlformats.org/officeDocument/2006/relationships/hyperlink" Target="https://www.sciencedirect.com/science/article/pii/S0301421526003691?dgcid=rss_sd_all" TargetMode="External"/><Relationship Id="rId295" Type="http://schemas.openxmlformats.org/officeDocument/2006/relationships/hyperlink" Target="https://www.sciencedirect.com/science/article/pii/S0301421526003927?dgcid=rss_sd_all" TargetMode="External"/><Relationship Id="rId296" Type="http://schemas.openxmlformats.org/officeDocument/2006/relationships/hyperlink" Target="https://advanced.onlinelibrary.wiley.com/doi/10.1002/adma.73789?af=R" TargetMode="External"/><Relationship Id="rId297" Type="http://schemas.openxmlformats.org/officeDocument/2006/relationships/hyperlink" Target="https://doi.org/10.1002/adma.73789" TargetMode="External"/><Relationship Id="rId298" Type="http://schemas.openxmlformats.org/officeDocument/2006/relationships/hyperlink" Target="https://advanced.onlinelibrary.wiley.com/doi/10.1002/adma.73794?af=R" TargetMode="External"/><Relationship Id="rId299" Type="http://schemas.openxmlformats.org/officeDocument/2006/relationships/hyperlink" Target="https://doi.org/10.1002/adma.73794" TargetMode="External"/><Relationship Id="rId300" Type="http://schemas.openxmlformats.org/officeDocument/2006/relationships/hyperlink" Target="https://advanced.onlinelibrary.wiley.com/doi/10.1002/adma.73775?af=R" TargetMode="External"/><Relationship Id="rId301" Type="http://schemas.openxmlformats.org/officeDocument/2006/relationships/hyperlink" Target="https://doi.org/10.1002/adma.73775" TargetMode="External"/><Relationship Id="rId302" Type="http://schemas.openxmlformats.org/officeDocument/2006/relationships/hyperlink" Target="https://onlinelibrary.wiley.com/doi/10.1002/anie.6371423?af=R" TargetMode="External"/><Relationship Id="rId303" Type="http://schemas.openxmlformats.org/officeDocument/2006/relationships/hyperlink" Target="https://doi.org/10.1002/anie.6371423" TargetMode="External"/><Relationship Id="rId304" Type="http://schemas.openxmlformats.org/officeDocument/2006/relationships/hyperlink" Target="https://onlinelibrary.wiley.com/doi/10.1002/anie.9495829?af=R" TargetMode="External"/><Relationship Id="rId305" Type="http://schemas.openxmlformats.org/officeDocument/2006/relationships/hyperlink" Target="https://doi.org/10.1002/anie.9495829" TargetMode="External"/><Relationship Id="rId306" Type="http://schemas.openxmlformats.org/officeDocument/2006/relationships/hyperlink" Target="https://onlinelibrary.wiley.com/doi/10.1002/anie.1002118?af=R" TargetMode="External"/><Relationship Id="rId307" Type="http://schemas.openxmlformats.org/officeDocument/2006/relationships/hyperlink" Target="https://doi.org/10.1002/anie.1002118" TargetMode="External"/><Relationship Id="rId308" Type="http://schemas.openxmlformats.org/officeDocument/2006/relationships/hyperlink" Target="https://onlinelibrary.wiley.com/doi/10.1002/anie.8034701?af=R" TargetMode="External"/><Relationship Id="rId309" Type="http://schemas.openxmlformats.org/officeDocument/2006/relationships/hyperlink" Target="https://doi.org/10.1002/anie.8034701" TargetMode="External"/><Relationship Id="rId310" Type="http://schemas.openxmlformats.org/officeDocument/2006/relationships/hyperlink" Target="https://onlinelibrary.wiley.com/doi/10.1002/anie.9229483?af=R" TargetMode="External"/><Relationship Id="rId311" Type="http://schemas.openxmlformats.org/officeDocument/2006/relationships/hyperlink" Target="https://doi.org/10.1002/anie.9229483" TargetMode="External"/><Relationship Id="rId312" Type="http://schemas.openxmlformats.org/officeDocument/2006/relationships/hyperlink" Target="https://onlinelibrary.wiley.com/doi/10.1002/anie.1226201?af=R" TargetMode="External"/><Relationship Id="rId313" Type="http://schemas.openxmlformats.org/officeDocument/2006/relationships/hyperlink" Target="https://doi.org/10.1002/anie.1226201" TargetMode="External"/><Relationship Id="rId314" Type="http://schemas.openxmlformats.org/officeDocument/2006/relationships/hyperlink" Target="https://onlinelibrary.wiley.com/doi/10.1002/anie.8633105?af=R" TargetMode="External"/><Relationship Id="rId315" Type="http://schemas.openxmlformats.org/officeDocument/2006/relationships/hyperlink" Target="https://doi.org/10.1002/anie.8633105" TargetMode="External"/><Relationship Id="rId316" Type="http://schemas.openxmlformats.org/officeDocument/2006/relationships/hyperlink" Target="https://advanced.onlinelibrary.wiley.com/doi/10.1002/adma.73783?af=R" TargetMode="External"/><Relationship Id="rId317" Type="http://schemas.openxmlformats.org/officeDocument/2006/relationships/hyperlink" Target="https://doi.org/10.1002/adma.73783" TargetMode="External"/><Relationship Id="rId318" Type="http://schemas.openxmlformats.org/officeDocument/2006/relationships/hyperlink" Target="https://advanced.onlinelibrary.wiley.com/doi/10.1002/adma.73840?af=R" TargetMode="External"/><Relationship Id="rId319" Type="http://schemas.openxmlformats.org/officeDocument/2006/relationships/hyperlink" Target="https://doi.org/10.1002/adma.73840" TargetMode="External"/><Relationship Id="rId320" Type="http://schemas.openxmlformats.org/officeDocument/2006/relationships/hyperlink" Target="https://advanced.onlinelibrary.wiley.com/doi/10.1002/adma.73782?af=R" TargetMode="External"/><Relationship Id="rId321" Type="http://schemas.openxmlformats.org/officeDocument/2006/relationships/hyperlink" Target="https://doi.org/10.1002/adma.73782" TargetMode="External"/><Relationship Id="rId322" Type="http://schemas.openxmlformats.org/officeDocument/2006/relationships/hyperlink" Target="https://advanced.onlinelibrary.wiley.com/doi/10.1002/adma.202521551?af=R" TargetMode="External"/><Relationship Id="rId323" Type="http://schemas.openxmlformats.org/officeDocument/2006/relationships/hyperlink" Target="https://doi.org/10.1002/adma.202521551" TargetMode="External"/><Relationship Id="rId324" Type="http://schemas.openxmlformats.org/officeDocument/2006/relationships/hyperlink" Target="https://advanced.onlinelibrary.wiley.com/doi/10.1002/adma.73793?af=R" TargetMode="External"/><Relationship Id="rId325" Type="http://schemas.openxmlformats.org/officeDocument/2006/relationships/hyperlink" Target="https://doi.org/10.1002/adma.73793" TargetMode="External"/><Relationship Id="rId326" Type="http://schemas.openxmlformats.org/officeDocument/2006/relationships/hyperlink" Target="https://advanced.onlinelibrary.wiley.com/doi/10.1002/adma.73821?af=R" TargetMode="External"/><Relationship Id="rId327" Type="http://schemas.openxmlformats.org/officeDocument/2006/relationships/hyperlink" Target="https://doi.org/10.1002/adma.73821" TargetMode="External"/><Relationship Id="rId328" Type="http://schemas.openxmlformats.org/officeDocument/2006/relationships/hyperlink" Target="https://www.sciencedirect.com/science/article/pii/S0301421526003824?dgcid=rss_sd_all" TargetMode="External"/><Relationship Id="rId329" Type="http://schemas.openxmlformats.org/officeDocument/2006/relationships/hyperlink" Target="https://www.sciencedirect.com/science/article/pii/S030142152600368X?dgcid=rss_sd_all" TargetMode="External"/><Relationship Id="rId330" Type="http://schemas.openxmlformats.org/officeDocument/2006/relationships/hyperlink" Target="https://www.sciencedirect.com/science/article/pii/S030626192600855X?dgcid=rss_sd_all" TargetMode="External"/><Relationship Id="rId331" Type="http://schemas.openxmlformats.org/officeDocument/2006/relationships/hyperlink" Target="https://www.sciencedirect.com/science/article/pii/S0306261926008731?dgcid=rss_sd_all" TargetMode="External"/><Relationship Id="rId332" Type="http://schemas.openxmlformats.org/officeDocument/2006/relationships/hyperlink" Target="https://www.sciencedirect.com/science/article/pii/S0306261926009025?dgcid=rss_sd_all" TargetMode="External"/><Relationship Id="rId333" Type="http://schemas.openxmlformats.org/officeDocument/2006/relationships/hyperlink" Target="https://onlinelibrary.wiley.com/doi/10.1002/anie.1625296?af=R" TargetMode="External"/><Relationship Id="rId334" Type="http://schemas.openxmlformats.org/officeDocument/2006/relationships/hyperlink" Target="https://doi.org/10.1002/anie.1625296" TargetMode="External"/><Relationship Id="rId335" Type="http://schemas.openxmlformats.org/officeDocument/2006/relationships/hyperlink" Target="https://onlinelibrary.wiley.com/doi/10.1002/anie.6265286?af=R" TargetMode="External"/><Relationship Id="rId336" Type="http://schemas.openxmlformats.org/officeDocument/2006/relationships/hyperlink" Target="https://doi.org/10.1002/anie.6265286" TargetMode="External"/><Relationship Id="rId337" Type="http://schemas.openxmlformats.org/officeDocument/2006/relationships/hyperlink" Target="https://onlinelibrary.wiley.com/doi/10.1002/anie.8478309?af=R" TargetMode="External"/><Relationship Id="rId338" Type="http://schemas.openxmlformats.org/officeDocument/2006/relationships/hyperlink" Target="https://doi.org/10.1002/anie.8478309" TargetMode="External"/><Relationship Id="rId339" Type="http://schemas.openxmlformats.org/officeDocument/2006/relationships/hyperlink" Target="https://onlinelibrary.wiley.com/doi/10.1002/anie.6643873?af=R" TargetMode="External"/><Relationship Id="rId340" Type="http://schemas.openxmlformats.org/officeDocument/2006/relationships/hyperlink" Target="https://doi.org/10.1002/anie.6643873" TargetMode="External"/><Relationship Id="rId341" Type="http://schemas.openxmlformats.org/officeDocument/2006/relationships/hyperlink" Target="https://onlinelibrary.wiley.com/doi/10.1002/anie.4918900?af=R" TargetMode="External"/><Relationship Id="rId342" Type="http://schemas.openxmlformats.org/officeDocument/2006/relationships/hyperlink" Target="https://doi.org/10.1002/anie.4918900" TargetMode="External"/><Relationship Id="rId343" Type="http://schemas.openxmlformats.org/officeDocument/2006/relationships/hyperlink" Target="https://onlinelibrary.wiley.com/doi/10.1002/anie.6206059?af=R" TargetMode="External"/><Relationship Id="rId344" Type="http://schemas.openxmlformats.org/officeDocument/2006/relationships/hyperlink" Target="https://doi.org/10.1002/anie.6206059" TargetMode="External"/><Relationship Id="rId345" Type="http://schemas.openxmlformats.org/officeDocument/2006/relationships/hyperlink" Target="https://onlinelibrary.wiley.com/doi/10.1002/anie.3963775?af=R" TargetMode="External"/><Relationship Id="rId346" Type="http://schemas.openxmlformats.org/officeDocument/2006/relationships/hyperlink" Target="https://doi.org/10.1002/anie.3963775" TargetMode="External"/><Relationship Id="rId347" Type="http://schemas.openxmlformats.org/officeDocument/2006/relationships/hyperlink" Target="https://advanced.onlinelibrary.wiley.com/doi/10.1002/adma.73779?af=R" TargetMode="External"/><Relationship Id="rId348" Type="http://schemas.openxmlformats.org/officeDocument/2006/relationships/hyperlink" Target="https://doi.org/10.1002/adma.73779" TargetMode="External"/><Relationship Id="rId349" Type="http://schemas.openxmlformats.org/officeDocument/2006/relationships/hyperlink" Target="https://advanced.onlinelibrary.wiley.com/doi/10.1002/adma.73773?af=R" TargetMode="External"/><Relationship Id="rId350" Type="http://schemas.openxmlformats.org/officeDocument/2006/relationships/hyperlink" Target="https://doi.org/10.1002/adma.73773" TargetMode="External"/><Relationship Id="rId351" Type="http://schemas.openxmlformats.org/officeDocument/2006/relationships/hyperlink" Target="https://www.nature.com/articles/d41586-026-01954-2" TargetMode="External"/><Relationship Id="rId352" Type="http://schemas.openxmlformats.org/officeDocument/2006/relationships/hyperlink" Target="https://doi.org/10.1038/d41586-026-01954-2" TargetMode="External"/><Relationship Id="rId353" Type="http://schemas.openxmlformats.org/officeDocument/2006/relationships/hyperlink" Target="https://www.nature.com/articles/d41586-026-01997-5" TargetMode="External"/><Relationship Id="rId354" Type="http://schemas.openxmlformats.org/officeDocument/2006/relationships/hyperlink" Target="https://doi.org/10.1038/d41586-026-01997-5" TargetMode="External"/><Relationship Id="rId355" Type="http://schemas.openxmlformats.org/officeDocument/2006/relationships/hyperlink" Target="https://academic.oup.com/nsr/advance-article/doi/10.1093/nsr/nwag384/8713288?rss=1" TargetMode="External"/><Relationship Id="rId356" Type="http://schemas.openxmlformats.org/officeDocument/2006/relationships/hyperlink" Target="https://doi.org/10.1093/nsr/nwag384" TargetMode="External"/><Relationship Id="rId357" Type="http://schemas.openxmlformats.org/officeDocument/2006/relationships/hyperlink" Target="https://www.nature.com/articles/d41586-026-01956-0" TargetMode="External"/><Relationship Id="rId358" Type="http://schemas.openxmlformats.org/officeDocument/2006/relationships/hyperlink" Target="https://doi.org/10.1038/d41586-026-01956-0" TargetMode="External"/><Relationship Id="rId359" Type="http://schemas.openxmlformats.org/officeDocument/2006/relationships/hyperlink" Target="https://academic.oup.com/nsr/advance-article/doi/10.1093/nsr/nwag377/8713296?rss=1" TargetMode="External"/><Relationship Id="rId360" Type="http://schemas.openxmlformats.org/officeDocument/2006/relationships/hyperlink" Target="https://doi.org/10.1093/nsr/nwag377" TargetMode="External"/><Relationship Id="rId361" Type="http://schemas.openxmlformats.org/officeDocument/2006/relationships/hyperlink" Target="https://academic.oup.com/nsr/advance-article/doi/10.1093/nsr/nwag347/8713289?rss=1" TargetMode="External"/><Relationship Id="rId362" Type="http://schemas.openxmlformats.org/officeDocument/2006/relationships/hyperlink" Target="https://doi.org/10.1093/nsr/nwag347" TargetMode="External"/><Relationship Id="rId363" Type="http://schemas.openxmlformats.org/officeDocument/2006/relationships/hyperlink" Target="https://www.nature.com/articles/d41586-026-01957-z" TargetMode="External"/><Relationship Id="rId364" Type="http://schemas.openxmlformats.org/officeDocument/2006/relationships/hyperlink" Target="https://doi.org/10.1038/d41586-026-01957-z" TargetMode="External"/><Relationship Id="rId365" Type="http://schemas.openxmlformats.org/officeDocument/2006/relationships/hyperlink" Target="https://www.cell.com/joule/fulltext/S2542-4351(26)00210-2?rss=yes" TargetMode="External"/><Relationship Id="rId366" Type="http://schemas.openxmlformats.org/officeDocument/2006/relationships/hyperlink" Target="https://doi.org/10.1016/j.joule.2026.102526" TargetMode="External"/><Relationship Id="rId367" Type="http://schemas.openxmlformats.org/officeDocument/2006/relationships/hyperlink" Target="https://www.nature.com/articles/d41586-026-01802-3" TargetMode="External"/><Relationship Id="rId368" Type="http://schemas.openxmlformats.org/officeDocument/2006/relationships/hyperlink" Target="https://doi.org/10.1038/d41586-026-01802-3" TargetMode="External"/><Relationship Id="rId369" Type="http://schemas.openxmlformats.org/officeDocument/2006/relationships/hyperlink" Target="https://www.nature.com/articles/d41586-026-01909-7" TargetMode="External"/><Relationship Id="rId370" Type="http://schemas.openxmlformats.org/officeDocument/2006/relationships/hyperlink" Target="https://doi.org/10.1038/d41586-026-01909-7" TargetMode="External"/><Relationship Id="rId371" Type="http://schemas.openxmlformats.org/officeDocument/2006/relationships/hyperlink" Target="https://www.cell.com/one-earth/fulltext/S2590-3322(26)00142-9?rss=yes" TargetMode="External"/><Relationship Id="rId372" Type="http://schemas.openxmlformats.org/officeDocument/2006/relationships/hyperlink" Target="https://doi.org/10.1016/j.oneear.2026.101741" TargetMode="External"/><Relationship Id="rId373" Type="http://schemas.openxmlformats.org/officeDocument/2006/relationships/hyperlink" Target="https://www.nature.com/articles/d41586-026-01801-4" TargetMode="External"/><Relationship Id="rId374" Type="http://schemas.openxmlformats.org/officeDocument/2006/relationships/hyperlink" Target="https://doi.org/10.1038/d41586-026-01801-4" TargetMode="External"/><Relationship Id="rId375" Type="http://schemas.openxmlformats.org/officeDocument/2006/relationships/hyperlink" Target="https://www.nature.com/articles/s41586-026-10771-6" TargetMode="External"/><Relationship Id="rId376" Type="http://schemas.openxmlformats.org/officeDocument/2006/relationships/hyperlink" Target="https://doi.org/10.1038/s41586-026-10771-6" TargetMode="External"/><Relationship Id="rId377" Type="http://schemas.openxmlformats.org/officeDocument/2006/relationships/hyperlink" Target="https://www.nature.com/articles/d41586-026-01949-z" TargetMode="External"/><Relationship Id="rId378" Type="http://schemas.openxmlformats.org/officeDocument/2006/relationships/hyperlink" Target="https://doi.org/10.1038/d41586-026-01949-z" TargetMode="External"/><Relationship Id="rId379" Type="http://schemas.openxmlformats.org/officeDocument/2006/relationships/hyperlink" Target="https://www.sciencedirect.com/science/article/pii/S0306261926009256?dgcid=rss_sd_all" TargetMode="External"/><Relationship Id="rId380" Type="http://schemas.openxmlformats.org/officeDocument/2006/relationships/hyperlink" Target="https://www.cell.com/matter/fulltext/S2590-2385(26)00243-2?rss=yes" TargetMode="External"/><Relationship Id="rId381" Type="http://schemas.openxmlformats.org/officeDocument/2006/relationships/hyperlink" Target="https://doi.org/10.1016/j.matt.2026.102880" TargetMode="External"/><Relationship Id="rId382" Type="http://schemas.openxmlformats.org/officeDocument/2006/relationships/hyperlink" Target="https://www.nature.com/articles/s41565-026-02195-0" TargetMode="External"/><Relationship Id="rId383" Type="http://schemas.openxmlformats.org/officeDocument/2006/relationships/hyperlink" Target="https://doi.org/10.1038/s41565-026-02195-0" TargetMode="External"/><Relationship Id="rId384" Type="http://schemas.openxmlformats.org/officeDocument/2006/relationships/hyperlink" Target="https://www.cell.com/matter/fulltext/S2590-2385(26)00240-7?rss=yes" TargetMode="External"/><Relationship Id="rId385" Type="http://schemas.openxmlformats.org/officeDocument/2006/relationships/hyperlink" Target="https://doi.org/10.1016/j.matt.2026.102877" TargetMode="External"/><Relationship Id="rId386" Type="http://schemas.openxmlformats.org/officeDocument/2006/relationships/hyperlink" Target="https://www.nature.com/articles/s41893-026-01872-1" TargetMode="External"/><Relationship Id="rId387" Type="http://schemas.openxmlformats.org/officeDocument/2006/relationships/hyperlink" Target="https://doi.org/10.1038/s41893-026-01872-1" TargetMode="External"/><Relationship Id="rId388" Type="http://schemas.openxmlformats.org/officeDocument/2006/relationships/hyperlink" Target="https://www.nature.com/articles/s41586-026-10807-x" TargetMode="External"/><Relationship Id="rId389" Type="http://schemas.openxmlformats.org/officeDocument/2006/relationships/hyperlink" Target="https://doi.org/10.1038/s41586-026-10807-x" TargetMode="External"/><Relationship Id="rId390" Type="http://schemas.openxmlformats.org/officeDocument/2006/relationships/hyperlink" Target="https://www.nature.com/articles/s41586-026-10800-4" TargetMode="External"/><Relationship Id="rId391" Type="http://schemas.openxmlformats.org/officeDocument/2006/relationships/hyperlink" Target="https://doi.org/10.1038/s41586-026-10800-4" TargetMode="External"/><Relationship Id="rId392" Type="http://schemas.openxmlformats.org/officeDocument/2006/relationships/hyperlink" Target="https://www.nature.com/articles/s41565-026-02199-w" TargetMode="External"/><Relationship Id="rId393" Type="http://schemas.openxmlformats.org/officeDocument/2006/relationships/hyperlink" Target="https://doi.org/10.1038/s41565-026-02199-w" TargetMode="External"/><Relationship Id="rId394" Type="http://schemas.openxmlformats.org/officeDocument/2006/relationships/hyperlink" Target="https://www.pnas.org/doi/abs/10.1073/pnas.2609344123?mi=eymic2&amp;af=R&amp;access=on&amp;content=articlesChapters&amp;publication=pnas&amp;sortBy=Earliest&amp;target=default" TargetMode="External"/><Relationship Id="rId395" Type="http://schemas.openxmlformats.org/officeDocument/2006/relationships/hyperlink" Target="https://doi.org/10.1073/pnas.2609344123" TargetMode="External"/><Relationship Id="rId396" Type="http://schemas.openxmlformats.org/officeDocument/2006/relationships/hyperlink" Target="https://www.pnas.org/doi/abs/10.1073/pnas.2532829123?mi=eymic2&amp;af=R&amp;access=on&amp;content=articlesChapters&amp;publication=pnas&amp;sortBy=Earliest&amp;target=default" TargetMode="External"/><Relationship Id="rId397" Type="http://schemas.openxmlformats.org/officeDocument/2006/relationships/hyperlink" Target="https://doi.org/10.1073/pnas.2532829123" TargetMode="External"/><Relationship Id="rId398" Type="http://schemas.openxmlformats.org/officeDocument/2006/relationships/hyperlink" Target="https://www.pnas.org/doi/abs/10.1073/pnas.2536457123?mi=eymic2&amp;af=R&amp;access=on&amp;content=articlesChapters&amp;publication=pnas&amp;sortBy=Earliest&amp;target=default" TargetMode="External"/><Relationship Id="rId399" Type="http://schemas.openxmlformats.org/officeDocument/2006/relationships/hyperlink" Target="https://doi.org/10.1073/pnas.2536457123" TargetMode="External"/><Relationship Id="rId400" Type="http://schemas.openxmlformats.org/officeDocument/2006/relationships/hyperlink" Target="https://www.pnas.org/doi/abs/10.1073/pnas.2537974123?mi=eymic2&amp;af=R&amp;access=on&amp;content=articlesChapters&amp;publication=pnas&amp;sortBy=Earliest&amp;target=default" TargetMode="External"/><Relationship Id="rId401" Type="http://schemas.openxmlformats.org/officeDocument/2006/relationships/hyperlink" Target="https://doi.org/10.1073/pnas.2537974123" TargetMode="External"/><Relationship Id="rId402" Type="http://schemas.openxmlformats.org/officeDocument/2006/relationships/hyperlink" Target="https://www.pnas.org/doi/abs/10.1073/pnas.2600258123?mi=eymic2&amp;af=R&amp;access=on&amp;content=articlesChapters&amp;publication=pnas&amp;sortBy=Earliest&amp;target=default" TargetMode="External"/><Relationship Id="rId403" Type="http://schemas.openxmlformats.org/officeDocument/2006/relationships/hyperlink" Target="https://doi.org/10.1073/pnas.2600258123" TargetMode="External"/><Relationship Id="rId404" Type="http://schemas.openxmlformats.org/officeDocument/2006/relationships/hyperlink" Target="https://www.pnas.org/doi/abs/10.1073/pnas.2600460123?mi=eymic2&amp;af=R&amp;access=on&amp;content=articlesChapters&amp;publication=pnas&amp;sortBy=Earliest&amp;target=default" TargetMode="External"/><Relationship Id="rId405" Type="http://schemas.openxmlformats.org/officeDocument/2006/relationships/hyperlink" Target="https://doi.org/10.1073/pnas.2600460123" TargetMode="External"/><Relationship Id="rId406" Type="http://schemas.openxmlformats.org/officeDocument/2006/relationships/hyperlink" Target="https://www.pnas.org/doi/abs/10.1073/pnas.2519276123?mi=eymic2&amp;af=R&amp;access=on&amp;content=articlesChapters&amp;publication=pnas&amp;sortBy=Earliest&amp;target=default" TargetMode="External"/><Relationship Id="rId407" Type="http://schemas.openxmlformats.org/officeDocument/2006/relationships/hyperlink" Target="https://doi.org/10.1073/pnas.2519276123" TargetMode="External"/><Relationship Id="rId408" Type="http://schemas.openxmlformats.org/officeDocument/2006/relationships/hyperlink" Target="https://www.pnas.org/doi/abs/10.1073/pnas.2509713123?mi=eymic2&amp;af=R&amp;access=on&amp;content=articlesChapters&amp;publication=pnas&amp;sortBy=Earliest&amp;target=default" TargetMode="External"/><Relationship Id="rId409" Type="http://schemas.openxmlformats.org/officeDocument/2006/relationships/hyperlink" Target="https://doi.org/10.1073/pnas.2509713123" TargetMode="External"/><Relationship Id="rId410" Type="http://schemas.openxmlformats.org/officeDocument/2006/relationships/hyperlink" Target="https://www.pnas.org/doi/abs/10.1073/pnas.2614644123?mi=eymic2&amp;af=R&amp;access=on&amp;content=articlesChapters&amp;publication=pnas&amp;sortBy=Earliest&amp;target=default" TargetMode="External"/><Relationship Id="rId411" Type="http://schemas.openxmlformats.org/officeDocument/2006/relationships/hyperlink" Target="https://doi.org/10.1073/pnas.2614644123" TargetMode="External"/><Relationship Id="rId412" Type="http://schemas.openxmlformats.org/officeDocument/2006/relationships/hyperlink" Target="https://www.pnas.org/doi/abs/10.1073/pnas.2618281123?mi=eymic2&amp;af=R&amp;access=on&amp;content=articlesChapters&amp;publication=pnas&amp;sortBy=Earliest&amp;target=default" TargetMode="External"/><Relationship Id="rId413" Type="http://schemas.openxmlformats.org/officeDocument/2006/relationships/hyperlink" Target="https://doi.org/10.1073/pnas.2618281123" TargetMode="External"/><Relationship Id="rId414" Type="http://schemas.openxmlformats.org/officeDocument/2006/relationships/hyperlink" Target="https://www.pnas.org/doi/abs/10.1073/pnas.2618849123?mi=eymic2&amp;af=R&amp;access=on&amp;content=articlesChapters&amp;publication=pnas&amp;sortBy=Earliest&amp;target=default" TargetMode="External"/><Relationship Id="rId415" Type="http://schemas.openxmlformats.org/officeDocument/2006/relationships/hyperlink" Target="https://doi.org/10.1073/pnas.2618849123" TargetMode="External"/><Relationship Id="rId416" Type="http://schemas.openxmlformats.org/officeDocument/2006/relationships/hyperlink" Target="https://www.pnas.org/doi/abs/10.1073/pnas.2619578123?mi=eymic2&amp;af=R&amp;access=on&amp;content=articlesChapters&amp;publication=pnas&amp;sortBy=Earliest&amp;target=default" TargetMode="External"/><Relationship Id="rId417" Type="http://schemas.openxmlformats.org/officeDocument/2006/relationships/hyperlink" Target="https://doi.org/10.1073/pnas.2619578123" TargetMode="External"/><Relationship Id="rId418" Type="http://schemas.openxmlformats.org/officeDocument/2006/relationships/hyperlink" Target="https://www.pnas.org/doi/abs/10.1073/pnas.2619935123?mi=eymic2&amp;af=R&amp;access=on&amp;content=articlesChapters&amp;publication=pnas&amp;sortBy=Earliest&amp;target=default" TargetMode="External"/><Relationship Id="rId419" Type="http://schemas.openxmlformats.org/officeDocument/2006/relationships/hyperlink" Target="https://doi.org/10.1073/pnas.2619935123" TargetMode="External"/><Relationship Id="rId420" Type="http://schemas.openxmlformats.org/officeDocument/2006/relationships/hyperlink" Target="https://www.pnas.org/doi/abs/10.1073/pnas.2620064123?mi=eymic2&amp;af=R&amp;access=on&amp;content=articlesChapters&amp;publication=pnas&amp;sortBy=Earliest&amp;target=default" TargetMode="External"/><Relationship Id="rId421" Type="http://schemas.openxmlformats.org/officeDocument/2006/relationships/hyperlink" Target="https://doi.org/10.1073/pnas.2620064123" TargetMode="External"/><Relationship Id="rId422" Type="http://schemas.openxmlformats.org/officeDocument/2006/relationships/hyperlink" Target="https://www.pnas.org/doi/abs/10.1073/pnas.2602649123?mi=eymic2&amp;af=R&amp;access=on&amp;content=articlesChapters&amp;publication=pnas&amp;sortBy=Earliest&amp;target=default" TargetMode="External"/><Relationship Id="rId423" Type="http://schemas.openxmlformats.org/officeDocument/2006/relationships/hyperlink" Target="https://doi.org/10.1073/pnas.2602649123" TargetMode="External"/><Relationship Id="rId424" Type="http://schemas.openxmlformats.org/officeDocument/2006/relationships/hyperlink" Target="https://www.pnas.org/doi/abs/10.1073/pnas.2532675123?mi=eymic2&amp;af=R&amp;access=on&amp;content=articlesChapters&amp;publication=pnas&amp;sortBy=Earliest&amp;target=default" TargetMode="External"/><Relationship Id="rId425" Type="http://schemas.openxmlformats.org/officeDocument/2006/relationships/hyperlink" Target="https://doi.org/10.1073/pnas.2532675123" TargetMode="External"/><Relationship Id="rId426" Type="http://schemas.openxmlformats.org/officeDocument/2006/relationships/hyperlink" Target="https://www.pnas.org/doi/abs/10.1073/pnas.2532481123?mi=eymic2&amp;af=R&amp;access=on&amp;content=articlesChapters&amp;publication=pnas&amp;sortBy=Earliest&amp;target=default" TargetMode="External"/><Relationship Id="rId427" Type="http://schemas.openxmlformats.org/officeDocument/2006/relationships/hyperlink" Target="https://doi.org/10.1073/pnas.2532481123" TargetMode="External"/><Relationship Id="rId428" Type="http://schemas.openxmlformats.org/officeDocument/2006/relationships/hyperlink" Target="https://www.pnas.org/doi/abs/10.1073/pnas.2521555123?mi=eymic2&amp;af=R&amp;access=on&amp;content=articlesChapters&amp;publication=pnas&amp;sortBy=Earliest&amp;target=default" TargetMode="External"/><Relationship Id="rId429" Type="http://schemas.openxmlformats.org/officeDocument/2006/relationships/hyperlink" Target="https://doi.org/10.1073/pnas.2521555123" TargetMode="External"/><Relationship Id="rId430" Type="http://schemas.openxmlformats.org/officeDocument/2006/relationships/hyperlink" Target="https://www.pnas.org/doi/abs/10.1073/pnas.2616706123?mi=eymic2&amp;af=R&amp;access=on&amp;content=articlesChapters&amp;publication=pnas&amp;sortBy=Earliest&amp;target=default" TargetMode="External"/><Relationship Id="rId431" Type="http://schemas.openxmlformats.org/officeDocument/2006/relationships/hyperlink" Target="https://doi.org/10.1073/pnas.2616706123" TargetMode="External"/><Relationship Id="rId432" Type="http://schemas.openxmlformats.org/officeDocument/2006/relationships/hyperlink" Target="https://www.pnas.org/doi/abs/10.1073/pnas.2521732123?mi=eymic2&amp;af=R&amp;access=on&amp;content=articlesChapters&amp;publication=pnas&amp;sortBy=Earliest&amp;target=default" TargetMode="External"/><Relationship Id="rId433" Type="http://schemas.openxmlformats.org/officeDocument/2006/relationships/hyperlink" Target="https://doi.org/10.1073/pnas.2521732123" TargetMode="External"/><Relationship Id="rId434" Type="http://schemas.openxmlformats.org/officeDocument/2006/relationships/hyperlink" Target="https://www.pnas.org/doi/abs/10.1073/pnas.2615542123?mi=eymic2&amp;af=R&amp;access=on&amp;content=articlesChapters&amp;publication=pnas&amp;sortBy=Earliest&amp;target=default" TargetMode="External"/><Relationship Id="rId435" Type="http://schemas.openxmlformats.org/officeDocument/2006/relationships/hyperlink" Target="https://doi.org/10.1073/pnas.2615542123" TargetMode="External"/><Relationship Id="rId436" Type="http://schemas.openxmlformats.org/officeDocument/2006/relationships/hyperlink" Target="https://www.pnas.org/doi/abs/10.1073/pnas.2529740123?mi=eymic2&amp;af=R&amp;access=on&amp;content=articlesChapters&amp;publication=pnas&amp;sortBy=Earliest&amp;target=default" TargetMode="External"/><Relationship Id="rId437" Type="http://schemas.openxmlformats.org/officeDocument/2006/relationships/hyperlink" Target="https://doi.org/10.1073/pnas.2529740123" TargetMode="External"/><Relationship Id="rId438" Type="http://schemas.openxmlformats.org/officeDocument/2006/relationships/hyperlink" Target="https://www.pnas.org/doi/abs/10.1073/pnas.2532242123?mi=eymic2&amp;af=R&amp;access=on&amp;content=articlesChapters&amp;publication=pnas&amp;sortBy=Earliest&amp;target=default" TargetMode="External"/><Relationship Id="rId439" Type="http://schemas.openxmlformats.org/officeDocument/2006/relationships/hyperlink" Target="https://doi.org/10.1073/pnas.2532242123" TargetMode="External"/><Relationship Id="rId440" Type="http://schemas.openxmlformats.org/officeDocument/2006/relationships/hyperlink" Target="https://www.pnas.org/doi/abs/10.1073/pnas.2531706123?mi=eymic2&amp;af=R&amp;access=on&amp;content=articlesChapters&amp;publication=pnas&amp;sortBy=Earliest&amp;target=default" TargetMode="External"/><Relationship Id="rId441" Type="http://schemas.openxmlformats.org/officeDocument/2006/relationships/hyperlink" Target="https://doi.org/10.1073/pnas.2531706123" TargetMode="External"/><Relationship Id="rId442" Type="http://schemas.openxmlformats.org/officeDocument/2006/relationships/hyperlink" Target="https://www.pnas.org/doi/abs/10.1073/pnas.2530123123?mi=eymic2&amp;af=R&amp;access=on&amp;content=articlesChapters&amp;publication=pnas&amp;sortBy=Earliest&amp;target=default" TargetMode="External"/><Relationship Id="rId443" Type="http://schemas.openxmlformats.org/officeDocument/2006/relationships/hyperlink" Target="https://doi.org/10.1073/pnas.2530123123" TargetMode="External"/><Relationship Id="rId444" Type="http://schemas.openxmlformats.org/officeDocument/2006/relationships/hyperlink" Target="https://www.pnas.org/doi/abs/10.1073/pnas.2523895123?mi=eymic2&amp;af=R&amp;access=on&amp;content=articlesChapters&amp;publication=pnas&amp;sortBy=Earliest&amp;target=default" TargetMode="External"/><Relationship Id="rId445" Type="http://schemas.openxmlformats.org/officeDocument/2006/relationships/hyperlink" Target="https://doi.org/10.1073/pnas.2523895123" TargetMode="External"/><Relationship Id="rId446" Type="http://schemas.openxmlformats.org/officeDocument/2006/relationships/hyperlink" Target="https://www.pnas.org/doi/abs/10.1073/pnas.2503466123?mi=eymic2&amp;af=R&amp;access=on&amp;content=articlesChapters&amp;publication=pnas&amp;sortBy=Earliest&amp;target=default" TargetMode="External"/><Relationship Id="rId447" Type="http://schemas.openxmlformats.org/officeDocument/2006/relationships/hyperlink" Target="https://doi.org/10.1073/pnas.2503466123" TargetMode="External"/><Relationship Id="rId448" Type="http://schemas.openxmlformats.org/officeDocument/2006/relationships/hyperlink" Target="https://www.pnas.org/doi/abs/10.1073/pnas.2529653123?mi=eymic2&amp;af=R&amp;access=on&amp;content=articlesChapters&amp;publication=pnas&amp;sortBy=Earliest&amp;target=default" TargetMode="External"/><Relationship Id="rId449" Type="http://schemas.openxmlformats.org/officeDocument/2006/relationships/hyperlink" Target="https://doi.org/10.1073/pnas.2529653123" TargetMode="External"/><Relationship Id="rId450" Type="http://schemas.openxmlformats.org/officeDocument/2006/relationships/hyperlink" Target="https://www.pnas.org/doi/abs/10.1073/pnas.2527316123?mi=eymic2&amp;af=R&amp;access=on&amp;content=articlesChapters&amp;publication=pnas&amp;sortBy=Earliest&amp;target=default" TargetMode="External"/><Relationship Id="rId451" Type="http://schemas.openxmlformats.org/officeDocument/2006/relationships/hyperlink" Target="https://doi.org/10.1073/pnas.2527316123" TargetMode="External"/><Relationship Id="rId452" Type="http://schemas.openxmlformats.org/officeDocument/2006/relationships/hyperlink" Target="https://www.pnas.org/doi/abs/10.1073/pnas.2526409123?mi=eymic2&amp;af=R&amp;access=on&amp;content=articlesChapters&amp;publication=pnas&amp;sortBy=Earliest&amp;target=default" TargetMode="External"/><Relationship Id="rId453" Type="http://schemas.openxmlformats.org/officeDocument/2006/relationships/hyperlink" Target="https://doi.org/10.1073/pnas.2526409123" TargetMode="External"/><Relationship Id="rId454" Type="http://schemas.openxmlformats.org/officeDocument/2006/relationships/hyperlink" Target="https://www.pnas.org/doi/abs/10.1073/pnas.2525520123?mi=eymic2&amp;af=R&amp;access=on&amp;content=articlesChapters&amp;publication=pnas&amp;sortBy=Earliest&amp;target=default" TargetMode="External"/><Relationship Id="rId455" Type="http://schemas.openxmlformats.org/officeDocument/2006/relationships/hyperlink" Target="https://doi.org/10.1073/pnas.2525520123" TargetMode="External"/><Relationship Id="rId456" Type="http://schemas.openxmlformats.org/officeDocument/2006/relationships/hyperlink" Target="https://www.pnas.org/doi/abs/10.1073/pnas.2523202123?mi=eymic2&amp;af=R&amp;access=on&amp;content=articlesChapters&amp;publication=pnas&amp;sortBy=Earliest&amp;target=default" TargetMode="External"/><Relationship Id="rId457" Type="http://schemas.openxmlformats.org/officeDocument/2006/relationships/hyperlink" Target="https://doi.org/10.1073/pnas.2523202123" TargetMode="External"/><Relationship Id="rId458" Type="http://schemas.openxmlformats.org/officeDocument/2006/relationships/hyperlink" Target="https://www.pnas.org/doi/abs/10.1073/pnas.2524113123?mi=eymic2&amp;af=R&amp;access=on&amp;content=articlesChapters&amp;publication=pnas&amp;sortBy=Earliest&amp;target=default" TargetMode="External"/><Relationship Id="rId459" Type="http://schemas.openxmlformats.org/officeDocument/2006/relationships/hyperlink" Target="https://doi.org/10.1073/pnas.2524113123" TargetMode="External"/><Relationship Id="rId460" Type="http://schemas.openxmlformats.org/officeDocument/2006/relationships/hyperlink" Target="http://link.aps.org/doi/10.1103/kpdh-t7hs" TargetMode="External"/><Relationship Id="rId461" Type="http://schemas.openxmlformats.org/officeDocument/2006/relationships/hyperlink" Target="https://doi.org/10.1103/kpdh-t7hs" TargetMode="External"/><Relationship Id="rId462" Type="http://schemas.openxmlformats.org/officeDocument/2006/relationships/hyperlink" Target="http://link.aps.org/doi/10.1103/cw4p-cqh7" TargetMode="External"/><Relationship Id="rId463" Type="http://schemas.openxmlformats.org/officeDocument/2006/relationships/hyperlink" Target="https://doi.org/10.1103/cw4p-cqh7" TargetMode="External"/><Relationship Id="rId464" Type="http://schemas.openxmlformats.org/officeDocument/2006/relationships/hyperlink" Target="http://link.aps.org/doi/10.1103/skcg-yl8f" TargetMode="External"/><Relationship Id="rId465" Type="http://schemas.openxmlformats.org/officeDocument/2006/relationships/hyperlink" Target="https://doi.org/10.1103/skcg-yl8f" TargetMode="External"/><Relationship Id="rId466" Type="http://schemas.openxmlformats.org/officeDocument/2006/relationships/hyperlink" Target="http://link.aps.org/doi/10.1103/l43k-pjjg" TargetMode="External"/><Relationship Id="rId467" Type="http://schemas.openxmlformats.org/officeDocument/2006/relationships/hyperlink" Target="https://doi.org/10.1103/l43k-pjjg" TargetMode="External"/><Relationship Id="rId468" Type="http://schemas.openxmlformats.org/officeDocument/2006/relationships/hyperlink" Target="http://link.aps.org/doi/10.1103/6t42-g968" TargetMode="External"/><Relationship Id="rId469" Type="http://schemas.openxmlformats.org/officeDocument/2006/relationships/hyperlink" Target="https://doi.org/10.1103/6t42-g968" TargetMode="External"/><Relationship Id="rId470" Type="http://schemas.openxmlformats.org/officeDocument/2006/relationships/hyperlink" Target="http://link.aps.org/doi/10.1103/sjz4-pq6p" TargetMode="External"/><Relationship Id="rId471" Type="http://schemas.openxmlformats.org/officeDocument/2006/relationships/hyperlink" Target="https://doi.org/10.1103/sjz4-pq6p" TargetMode="External"/><Relationship Id="rId472" Type="http://schemas.openxmlformats.org/officeDocument/2006/relationships/hyperlink" Target="http://link.aps.org/doi/10.1103/l6sq-b4pz" TargetMode="External"/><Relationship Id="rId473" Type="http://schemas.openxmlformats.org/officeDocument/2006/relationships/hyperlink" Target="https://doi.org/10.1103/l6sq-b4pz" TargetMode="External"/><Relationship Id="rId474" Type="http://schemas.openxmlformats.org/officeDocument/2006/relationships/hyperlink" Target="http://link.aps.org/doi/10.1103/typc-d421" TargetMode="External"/><Relationship Id="rId475" Type="http://schemas.openxmlformats.org/officeDocument/2006/relationships/hyperlink" Target="https://doi.org/10.1103/typc-d421" TargetMode="External"/><Relationship Id="rId476" Type="http://schemas.openxmlformats.org/officeDocument/2006/relationships/hyperlink" Target="https://advanced.onlinelibrary.wiley.com/doi/10.1002/aenm.71216?af=R" TargetMode="External"/><Relationship Id="rId477" Type="http://schemas.openxmlformats.org/officeDocument/2006/relationships/hyperlink" Target="https://doi.org/10.1002/aenm.71216" TargetMode="External"/><Relationship Id="rId478" Type="http://schemas.openxmlformats.org/officeDocument/2006/relationships/hyperlink" Target="https://onlinelibrary.wiley.com/doi/10.1002/anie.8602143?af=R" TargetMode="External"/><Relationship Id="rId479" Type="http://schemas.openxmlformats.org/officeDocument/2006/relationships/hyperlink" Target="https://doi.org/10.1002/anie.8602143" TargetMode="External"/><Relationship Id="rId480" Type="http://schemas.openxmlformats.org/officeDocument/2006/relationships/hyperlink" Target="https://onlinelibrary.wiley.com/doi/10.1002/anie.4703483?af=R" TargetMode="External"/><Relationship Id="rId481" Type="http://schemas.openxmlformats.org/officeDocument/2006/relationships/hyperlink" Target="https://doi.org/10.1002/anie.4703483" TargetMode="External"/><Relationship Id="rId482" Type="http://schemas.openxmlformats.org/officeDocument/2006/relationships/hyperlink" Target="https://onlinelibrary.wiley.com/doi/10.1002/anie.5856537?af=R" TargetMode="External"/><Relationship Id="rId483" Type="http://schemas.openxmlformats.org/officeDocument/2006/relationships/hyperlink" Target="https://doi.org/10.1002/anie.5856537" TargetMode="External"/><Relationship Id="rId484" Type="http://schemas.openxmlformats.org/officeDocument/2006/relationships/hyperlink" Target="https://onlinelibrary.wiley.com/doi/10.1002/anie.2031892?af=R" TargetMode="External"/><Relationship Id="rId485" Type="http://schemas.openxmlformats.org/officeDocument/2006/relationships/hyperlink" Target="https://doi.org/10.1002/anie.2031892" TargetMode="External"/><Relationship Id="rId486" Type="http://schemas.openxmlformats.org/officeDocument/2006/relationships/hyperlink" Target="https://onlinelibrary.wiley.com/doi/10.1002/anie.2682572?af=R" TargetMode="External"/><Relationship Id="rId487" Type="http://schemas.openxmlformats.org/officeDocument/2006/relationships/hyperlink" Target="https://doi.org/10.1002/anie.2682572" TargetMode="External"/><Relationship Id="rId488" Type="http://schemas.openxmlformats.org/officeDocument/2006/relationships/hyperlink" Target="https://onlinelibrary.wiley.com/doi/10.1002/anie.1441281?af=R" TargetMode="External"/><Relationship Id="rId489" Type="http://schemas.openxmlformats.org/officeDocument/2006/relationships/hyperlink" Target="https://doi.org/10.1002/anie.1441281" TargetMode="External"/><Relationship Id="rId490" Type="http://schemas.openxmlformats.org/officeDocument/2006/relationships/hyperlink" Target="https://onlinelibrary.wiley.com/doi/10.1002/anie.4069255?af=R" TargetMode="External"/><Relationship Id="rId491" Type="http://schemas.openxmlformats.org/officeDocument/2006/relationships/hyperlink" Target="https://doi.org/10.1002/anie.4069255" TargetMode="External"/><Relationship Id="rId492" Type="http://schemas.openxmlformats.org/officeDocument/2006/relationships/hyperlink" Target="https://onlinelibrary.wiley.com/doi/10.1002/anie.7768514?af=R" TargetMode="External"/><Relationship Id="rId493" Type="http://schemas.openxmlformats.org/officeDocument/2006/relationships/hyperlink" Target="https://doi.org/10.1002/anie.7768514" TargetMode="External"/><Relationship Id="rId494" Type="http://schemas.openxmlformats.org/officeDocument/2006/relationships/hyperlink" Target="https://onlinelibrary.wiley.com/doi/10.1002/anie.1930324?af=R" TargetMode="External"/><Relationship Id="rId495" Type="http://schemas.openxmlformats.org/officeDocument/2006/relationships/hyperlink" Target="https://doi.org/10.1002/anie.1930324" TargetMode="External"/><Relationship Id="rId496" Type="http://schemas.openxmlformats.org/officeDocument/2006/relationships/hyperlink" Target="http://pubs.rsc.org/en/Content/ArticleLanding/2026/CS/D6CS00339G" TargetMode="External"/><Relationship Id="rId497" Type="http://schemas.openxmlformats.org/officeDocument/2006/relationships/hyperlink" Target="http://pubs.rsc.org/en/Content/ArticleLanding/2026/CS/D5CS00282F" TargetMode="External"/><Relationship Id="rId498" Type="http://schemas.openxmlformats.org/officeDocument/2006/relationships/hyperlink" Target="https://www.nature.com/articles/s41467-026-74469-z" TargetMode="External"/><Relationship Id="rId499" Type="http://schemas.openxmlformats.org/officeDocument/2006/relationships/hyperlink" Target="https://www.nature.com/articles/s41467-026-74429-7" TargetMode="External"/><Relationship Id="rId500" Type="http://schemas.openxmlformats.org/officeDocument/2006/relationships/hyperlink" Target="https://www.nature.com/articles/s41467-026-74129-2" TargetMode="External"/><Relationship Id="rId501" Type="http://schemas.openxmlformats.org/officeDocument/2006/relationships/hyperlink" Target="https://www.nature.com/articles/s41928-026-01667-4" TargetMode="External"/><Relationship Id="rId502" Type="http://schemas.openxmlformats.org/officeDocument/2006/relationships/hyperlink" Target="https://doi.org/10.1038/s41928-026-01667-4" TargetMode="External"/><Relationship Id="rId503" Type="http://schemas.openxmlformats.org/officeDocument/2006/relationships/hyperlink" Target="https://www.nature.com/articles/s41467-026-74105-w" TargetMode="External"/><Relationship Id="rId504" Type="http://schemas.openxmlformats.org/officeDocument/2006/relationships/hyperlink" Target="https://www.nature.com/articles/s41467-026-74688-4" TargetMode="External"/><Relationship Id="rId505" Type="http://schemas.openxmlformats.org/officeDocument/2006/relationships/hyperlink" Target="https://www.nature.com/articles/s41467-026-74543-6" TargetMode="External"/><Relationship Id="rId506" Type="http://schemas.openxmlformats.org/officeDocument/2006/relationships/hyperlink" Target="https://www.nature.com/articles/s41467-026-74236-0" TargetMode="External"/><Relationship Id="rId507" Type="http://schemas.openxmlformats.org/officeDocument/2006/relationships/hyperlink" Target="https://www.nature.com/articles/d41586-026-02029-y" TargetMode="External"/><Relationship Id="rId508" Type="http://schemas.openxmlformats.org/officeDocument/2006/relationships/hyperlink" Target="https://doi.org/10.1038/d41586-026-02029-y" TargetMode="External"/><Relationship Id="rId509" Type="http://schemas.openxmlformats.org/officeDocument/2006/relationships/hyperlink" Target="https://www.nature.com/articles/s41467-026-72054-y" TargetMode="External"/><Relationship Id="rId510" Type="http://schemas.openxmlformats.org/officeDocument/2006/relationships/hyperlink" Target="https://www.nature.com/articles/s41467-026-74606-8" TargetMode="External"/><Relationship Id="rId511" Type="http://schemas.openxmlformats.org/officeDocument/2006/relationships/hyperlink" Target="https://www.nature.com/articles/s41467-026-74237-z" TargetMode="External"/><Relationship Id="rId512" Type="http://schemas.openxmlformats.org/officeDocument/2006/relationships/hyperlink" Target="https://www.nature.com/articles/s41467-026-74619-3" TargetMode="External"/><Relationship Id="rId513" Type="http://schemas.openxmlformats.org/officeDocument/2006/relationships/hyperlink" Target="https://www.nature.com/articles/s41467-026-74946-5" TargetMode="External"/><Relationship Id="rId514" Type="http://schemas.openxmlformats.org/officeDocument/2006/relationships/hyperlink" Target="https://www.nature.com/articles/s41467-026-74746-x" TargetMode="External"/><Relationship Id="rId515" Type="http://schemas.openxmlformats.org/officeDocument/2006/relationships/hyperlink" Target="https://www.nature.com/articles/s41467-026-74171-0" TargetMode="External"/><Relationship Id="rId516" Type="http://schemas.openxmlformats.org/officeDocument/2006/relationships/hyperlink" Target="https://www.nature.com/articles/d41586-026-01971-1" TargetMode="External"/><Relationship Id="rId517" Type="http://schemas.openxmlformats.org/officeDocument/2006/relationships/hyperlink" Target="https://doi.org/10.1038/d41586-026-01971-1" TargetMode="External"/><Relationship Id="rId518" Type="http://schemas.openxmlformats.org/officeDocument/2006/relationships/hyperlink" Target="https://www.nature.com/articles/s41893-026-01838-3" TargetMode="External"/><Relationship Id="rId519" Type="http://schemas.openxmlformats.org/officeDocument/2006/relationships/hyperlink" Target="https://doi.org/10.1038/s41893-026-01838-3" TargetMode="External"/><Relationship Id="rId520" Type="http://schemas.openxmlformats.org/officeDocument/2006/relationships/hyperlink" Target="https://www.nature.com/articles/s41467-026-74787-2" TargetMode="External"/><Relationship Id="rId521" Type="http://schemas.openxmlformats.org/officeDocument/2006/relationships/hyperlink" Target="https://www.nature.com/articles/s41928-026-01666-5" TargetMode="External"/><Relationship Id="rId522" Type="http://schemas.openxmlformats.org/officeDocument/2006/relationships/hyperlink" Target="https://doi.org/10.1038/s41928-026-01666-5" TargetMode="External"/><Relationship Id="rId523" Type="http://schemas.openxmlformats.org/officeDocument/2006/relationships/hyperlink" Target="https://www.cell.com/one-earth/fulltext/S2590-3322(26)00147-8?rss=yes" TargetMode="External"/><Relationship Id="rId524" Type="http://schemas.openxmlformats.org/officeDocument/2006/relationships/hyperlink" Target="https://doi.org/10.1016/j.oneear.2026.101746" TargetMode="External"/><Relationship Id="rId525" Type="http://schemas.openxmlformats.org/officeDocument/2006/relationships/hyperlink" Target="https://www.cell.com/joule/fulltext/S2542-4351(26)00212-6?rss=yes" TargetMode="External"/><Relationship Id="rId526" Type="http://schemas.openxmlformats.org/officeDocument/2006/relationships/hyperlink" Target="https://doi.org/10.1016/j.joule.2026.102528" TargetMode="External"/><Relationship Id="rId527" Type="http://schemas.openxmlformats.org/officeDocument/2006/relationships/hyperlink" Target="https://www.sciencedirect.com/science/article/pii/S0306261926009189?dgcid=rss_sd_all" TargetMode="External"/><Relationship Id="rId528" Type="http://schemas.openxmlformats.org/officeDocument/2006/relationships/hyperlink" Target="https://www.cell.com/matter/fulltext/S2590-2385(26)00241-9?rss=yes" TargetMode="External"/><Relationship Id="rId529" Type="http://schemas.openxmlformats.org/officeDocument/2006/relationships/hyperlink" Target="https://doi.org/10.1016/j.matt.2026.102878" TargetMode="External"/><Relationship Id="rId530" Type="http://schemas.openxmlformats.org/officeDocument/2006/relationships/hyperlink" Target="https://www.nature.com/articles/d41586-026-01130-6" TargetMode="External"/><Relationship Id="rId531" Type="http://schemas.openxmlformats.org/officeDocument/2006/relationships/hyperlink" Target="https://doi.org/10.1038/d41586-026-01130-6" TargetMode="External"/><Relationship Id="rId532" Type="http://schemas.openxmlformats.org/officeDocument/2006/relationships/hyperlink" Target="https://www.nature.com/articles/d41586-026-01842-9" TargetMode="External"/><Relationship Id="rId533" Type="http://schemas.openxmlformats.org/officeDocument/2006/relationships/hyperlink" Target="https://doi.org/10.1038/d41586-026-01842-9" TargetMode="External"/><Relationship Id="rId534" Type="http://schemas.openxmlformats.org/officeDocument/2006/relationships/hyperlink" Target="https://www.nature.com/articles/d41586-026-01953-3" TargetMode="External"/><Relationship Id="rId535" Type="http://schemas.openxmlformats.org/officeDocument/2006/relationships/hyperlink" Target="https://doi.org/10.1038/d41586-026-01953-3" TargetMode="External"/><Relationship Id="rId536" Type="http://schemas.openxmlformats.org/officeDocument/2006/relationships/hyperlink" Target="https://www.nature.com/articles/d41586-026-01955-1" TargetMode="External"/><Relationship Id="rId537" Type="http://schemas.openxmlformats.org/officeDocument/2006/relationships/hyperlink" Target="https://doi.org/10.1038/d41586-026-01955-1" TargetMode="External"/><Relationship Id="rId538" Type="http://schemas.openxmlformats.org/officeDocument/2006/relationships/hyperlink" Target="https://www.nature.com/articles/d41586-026-01951-5" TargetMode="External"/><Relationship Id="rId539" Type="http://schemas.openxmlformats.org/officeDocument/2006/relationships/hyperlink" Target="https://doi.org/10.1038/d41586-026-01951-5" TargetMode="External"/><Relationship Id="rId540" Type="http://schemas.openxmlformats.org/officeDocument/2006/relationships/hyperlink" Target="https://www.nature.com/articles/d41586-026-01812-1" TargetMode="External"/><Relationship Id="rId541" Type="http://schemas.openxmlformats.org/officeDocument/2006/relationships/hyperlink" Target="https://doi.org/10.1038/d41586-026-01812-1" TargetMode="External"/><Relationship Id="rId542" Type="http://schemas.openxmlformats.org/officeDocument/2006/relationships/hyperlink" Target="https://www.nature.com/articles/d41586-026-01972-0" TargetMode="External"/><Relationship Id="rId543" Type="http://schemas.openxmlformats.org/officeDocument/2006/relationships/hyperlink" Target="https://doi.org/10.1038/d41586-026-01972-0" TargetMode="External"/><Relationship Id="rId544" Type="http://schemas.openxmlformats.org/officeDocument/2006/relationships/hyperlink" Target="https://www.nature.com/articles/d41586-026-01969-9" TargetMode="External"/><Relationship Id="rId545" Type="http://schemas.openxmlformats.org/officeDocument/2006/relationships/hyperlink" Target="https://doi.org/10.1038/d41586-026-01969-9" TargetMode="External"/><Relationship Id="rId546" Type="http://schemas.openxmlformats.org/officeDocument/2006/relationships/hyperlink" Target="https://www.nature.com/articles/d41586-026-01970-2" TargetMode="External"/><Relationship Id="rId547" Type="http://schemas.openxmlformats.org/officeDocument/2006/relationships/hyperlink" Target="https://doi.org/10.1038/d41586-026-01970-2" TargetMode="External"/><Relationship Id="rId548" Type="http://schemas.openxmlformats.org/officeDocument/2006/relationships/hyperlink" Target="https://www.nature.com/articles/s41586-026-10799-8" TargetMode="External"/><Relationship Id="rId549" Type="http://schemas.openxmlformats.org/officeDocument/2006/relationships/hyperlink" Target="https://doi.org/10.1038/s41586-026-10799-8" TargetMode="External"/><Relationship Id="rId550" Type="http://schemas.openxmlformats.org/officeDocument/2006/relationships/hyperlink" Target="https://www.cell.com/chem/fulltext/S2451-9294(26)00136-1?rss=yes" TargetMode="External"/><Relationship Id="rId551" Type="http://schemas.openxmlformats.org/officeDocument/2006/relationships/hyperlink" Target="https://doi.org/10.1016/j.chempr.2026.103070" TargetMode="External"/><Relationship Id="rId552" Type="http://schemas.openxmlformats.org/officeDocument/2006/relationships/hyperlink" Target="https://www.nature.com/articles/s41467-026-74309-0" TargetMode="External"/><Relationship Id="rId553" Type="http://schemas.openxmlformats.org/officeDocument/2006/relationships/hyperlink" Target="https://www.pnas.org/doi/abs/10.1073/pnas.2536405123?mi=eymic2&amp;af=R&amp;access=on&amp;content=articlesChapters&amp;publication=pnas&amp;sortBy=Earliest&amp;target=default" TargetMode="External"/><Relationship Id="rId554" Type="http://schemas.openxmlformats.org/officeDocument/2006/relationships/hyperlink" Target="https://doi.org/10.1073/pnas.2536405123" TargetMode="External"/><Relationship Id="rId555" Type="http://schemas.openxmlformats.org/officeDocument/2006/relationships/hyperlink" Target="https://www.pnas.org/doi/abs/10.1073/pnas.2602688123?mi=eymic2&amp;af=R&amp;access=on&amp;content=articlesChapters&amp;publication=pnas&amp;sortBy=Earliest&amp;target=default" TargetMode="External"/><Relationship Id="rId556" Type="http://schemas.openxmlformats.org/officeDocument/2006/relationships/hyperlink" Target="https://doi.org/10.1073/pnas.2602688123" TargetMode="External"/><Relationship Id="rId557" Type="http://schemas.openxmlformats.org/officeDocument/2006/relationships/hyperlink" Target="https://www.pnas.org/doi/abs/10.1073/pnas.2505564123?mi=eymic2&amp;af=R&amp;access=on&amp;content=articlesChapters&amp;publication=pnas&amp;sortBy=Earliest&amp;target=default" TargetMode="External"/><Relationship Id="rId558" Type="http://schemas.openxmlformats.org/officeDocument/2006/relationships/hyperlink" Target="https://doi.org/10.1073/pnas.2505564123" TargetMode="External"/><Relationship Id="rId559" Type="http://schemas.openxmlformats.org/officeDocument/2006/relationships/hyperlink" Target="https://www.pnas.org/doi/abs/10.1073/iti2526123?mi=eymic2&amp;af=R&amp;access=on&amp;content=articlesChapters&amp;publication=pnas&amp;sortBy=Earliest&amp;target=default" TargetMode="External"/><Relationship Id="rId560" Type="http://schemas.openxmlformats.org/officeDocument/2006/relationships/hyperlink" Target="https://doi.org/10.1073/iti2526123" TargetMode="External"/><Relationship Id="rId561" Type="http://schemas.openxmlformats.org/officeDocument/2006/relationships/hyperlink" Target="https://www.pnas.org/doi/abs/10.1073/pnas.2610431123?mi=eymic2&amp;af=R&amp;access=on&amp;content=articlesChapters&amp;publication=pnas&amp;sortBy=Earliest&amp;target=default" TargetMode="External"/><Relationship Id="rId562" Type="http://schemas.openxmlformats.org/officeDocument/2006/relationships/hyperlink" Target="https://doi.org/10.1073/pnas.2610431123" TargetMode="External"/><Relationship Id="rId563" Type="http://schemas.openxmlformats.org/officeDocument/2006/relationships/hyperlink" Target="https://www.pnas.org/doi/abs/10.1073/pnas.2611131123?mi=eymic2&amp;af=R&amp;access=on&amp;content=articlesChapters&amp;publication=pnas&amp;sortBy=Earliest&amp;target=default" TargetMode="External"/><Relationship Id="rId564" Type="http://schemas.openxmlformats.org/officeDocument/2006/relationships/hyperlink" Target="https://doi.org/10.1073/pnas.2611131123" TargetMode="External"/><Relationship Id="rId565" Type="http://schemas.openxmlformats.org/officeDocument/2006/relationships/hyperlink" Target="https://www.pnas.org/doi/abs/10.1073/pnas.2605309123?mi=eymic2&amp;af=R&amp;access=on&amp;content=articlesChapters&amp;publication=pnas&amp;sortBy=Earliest&amp;target=default" TargetMode="External"/><Relationship Id="rId566" Type="http://schemas.openxmlformats.org/officeDocument/2006/relationships/hyperlink" Target="https://doi.org/10.1073/pnas.2605309123" TargetMode="External"/><Relationship Id="rId567" Type="http://schemas.openxmlformats.org/officeDocument/2006/relationships/hyperlink" Target="https://www.pnas.org/doi/abs/10.1073/pnas.2606865123?mi=eymic2&amp;af=R&amp;access=on&amp;content=articlesChapters&amp;publication=pnas&amp;sortBy=Earliest&amp;target=default" TargetMode="External"/><Relationship Id="rId568" Type="http://schemas.openxmlformats.org/officeDocument/2006/relationships/hyperlink" Target="https://doi.org/10.1073/pnas.2606865123" TargetMode="External"/><Relationship Id="rId569" Type="http://schemas.openxmlformats.org/officeDocument/2006/relationships/hyperlink" Target="https://www.pnas.org/doi/abs/10.1073/pnas.2519708123?mi=eymic2&amp;af=R&amp;access=on&amp;content=articlesChapters&amp;publication=pnas&amp;sortBy=Earliest&amp;target=default" TargetMode="External"/><Relationship Id="rId570" Type="http://schemas.openxmlformats.org/officeDocument/2006/relationships/hyperlink" Target="https://doi.org/10.1073/pnas.2519708123" TargetMode="External"/><Relationship Id="rId571" Type="http://schemas.openxmlformats.org/officeDocument/2006/relationships/hyperlink" Target="https://www.pnas.org/doi/abs/10.1073/pnas.2525310123?mi=eymic2&amp;af=R&amp;access=on&amp;content=articlesChapters&amp;publication=pnas&amp;sortBy=Earliest&amp;target=default" TargetMode="External"/><Relationship Id="rId572" Type="http://schemas.openxmlformats.org/officeDocument/2006/relationships/hyperlink" Target="https://doi.org/10.1073/pnas.2525310123" TargetMode="External"/><Relationship Id="rId573" Type="http://schemas.openxmlformats.org/officeDocument/2006/relationships/hyperlink" Target="https://www.pnas.org/doi/abs/10.1073/pnas.2524729123?mi=eymic2&amp;af=R&amp;access=on&amp;content=articlesChapters&amp;publication=pnas&amp;sortBy=Earliest&amp;target=default" TargetMode="External"/><Relationship Id="rId574" Type="http://schemas.openxmlformats.org/officeDocument/2006/relationships/hyperlink" Target="https://doi.org/10.1073/pnas.2524729123" TargetMode="External"/><Relationship Id="rId575" Type="http://schemas.openxmlformats.org/officeDocument/2006/relationships/hyperlink" Target="https://www.pnas.org/doi/abs/10.1073/pnas.2529950123?mi=eymic2&amp;af=R&amp;access=on&amp;content=articlesChapters&amp;publication=pnas&amp;sortBy=Earliest&amp;target=default" TargetMode="External"/><Relationship Id="rId576" Type="http://schemas.openxmlformats.org/officeDocument/2006/relationships/hyperlink" Target="https://doi.org/10.1073/pnas.2529950123" TargetMode="External"/><Relationship Id="rId577" Type="http://schemas.openxmlformats.org/officeDocument/2006/relationships/hyperlink" Target="https://www.pnas.org/doi/abs/10.1073/pnas.2530579123?mi=eymic2&amp;af=R&amp;access=on&amp;content=articlesChapters&amp;publication=pnas&amp;sortBy=Earliest&amp;target=default" TargetMode="External"/><Relationship Id="rId578" Type="http://schemas.openxmlformats.org/officeDocument/2006/relationships/hyperlink" Target="https://doi.org/10.1073/pnas.2530579123" TargetMode="External"/><Relationship Id="rId579" Type="http://schemas.openxmlformats.org/officeDocument/2006/relationships/hyperlink" Target="https://www.pnas.org/doi/abs/10.1073/pnas.2531649123?mi=eymic2&amp;af=R&amp;access=on&amp;content=articlesChapters&amp;publication=pnas&amp;sortBy=Earliest&amp;target=default" TargetMode="External"/><Relationship Id="rId580" Type="http://schemas.openxmlformats.org/officeDocument/2006/relationships/hyperlink" Target="https://doi.org/10.1073/pnas.2531649123" TargetMode="External"/><Relationship Id="rId581" Type="http://schemas.openxmlformats.org/officeDocument/2006/relationships/hyperlink" Target="https://www.pnas.org/doi/abs/10.1073/pnas.2603077123?mi=eymic2&amp;af=R&amp;access=on&amp;content=articlesChapters&amp;publication=pnas&amp;sortBy=Earliest&amp;target=default" TargetMode="External"/><Relationship Id="rId582" Type="http://schemas.openxmlformats.org/officeDocument/2006/relationships/hyperlink" Target="https://doi.org/10.1073/pnas.2603077123" TargetMode="External"/><Relationship Id="rId583" Type="http://schemas.openxmlformats.org/officeDocument/2006/relationships/hyperlink" Target="https://www.pnas.org/doi/abs/10.1073/pnas.2527881123?mi=eymic2&amp;af=R&amp;access=on&amp;content=articlesChapters&amp;publication=pnas&amp;sortBy=Earliest&amp;target=default" TargetMode="External"/><Relationship Id="rId584" Type="http://schemas.openxmlformats.org/officeDocument/2006/relationships/hyperlink" Target="https://doi.org/10.1073/pnas.2527881123" TargetMode="External"/><Relationship Id="rId585" Type="http://schemas.openxmlformats.org/officeDocument/2006/relationships/hyperlink" Target="https://www.pnas.org/doi/abs/10.1073/pnas.2611852123?mi=eymic2&amp;af=R&amp;access=on&amp;content=articlesChapters&amp;publication=pnas&amp;sortBy=Earliest&amp;target=default" TargetMode="External"/><Relationship Id="rId586" Type="http://schemas.openxmlformats.org/officeDocument/2006/relationships/hyperlink" Target="https://doi.org/10.1073/pnas.2611852123" TargetMode="External"/><Relationship Id="rId587" Type="http://schemas.openxmlformats.org/officeDocument/2006/relationships/hyperlink" Target="https://www.pnas.org/doi/abs/10.1073/pnas.2613344123?mi=eymic2&amp;af=R&amp;access=on&amp;content=articlesChapters&amp;publication=pnas&amp;sortBy=Earliest&amp;target=default" TargetMode="External"/><Relationship Id="rId588" Type="http://schemas.openxmlformats.org/officeDocument/2006/relationships/hyperlink" Target="https://doi.org/10.1073/pnas.2613344123" TargetMode="External"/><Relationship Id="rId589" Type="http://schemas.openxmlformats.org/officeDocument/2006/relationships/hyperlink" Target="https://www.pnas.org/doi/abs/10.1073/pnas.2529215123?mi=eymic2&amp;af=R&amp;access=on&amp;content=articlesChapters&amp;publication=pnas&amp;sortBy=Earliest&amp;target=default" TargetMode="External"/><Relationship Id="rId590" Type="http://schemas.openxmlformats.org/officeDocument/2006/relationships/hyperlink" Target="https://doi.org/10.1073/pnas.2529215123" TargetMode="External"/><Relationship Id="rId591" Type="http://schemas.openxmlformats.org/officeDocument/2006/relationships/hyperlink" Target="https://www.pnas.org/doi/abs/10.1073/pnas.2524594123?mi=eymic2&amp;af=R&amp;access=on&amp;content=articlesChapters&amp;publication=pnas&amp;sortBy=Earliest&amp;target=default" TargetMode="External"/><Relationship Id="rId592" Type="http://schemas.openxmlformats.org/officeDocument/2006/relationships/hyperlink" Target="https://doi.org/10.1073/pnas.2524594123" TargetMode="External"/><Relationship Id="rId593" Type="http://schemas.openxmlformats.org/officeDocument/2006/relationships/hyperlink" Target="https://advanced.onlinelibrary.wiley.com/doi/10.1002/adma.73705?af=R" TargetMode="External"/><Relationship Id="rId594" Type="http://schemas.openxmlformats.org/officeDocument/2006/relationships/hyperlink" Target="https://doi.org/10.1002/adma.73705" TargetMode="External"/><Relationship Id="rId595" Type="http://schemas.openxmlformats.org/officeDocument/2006/relationships/hyperlink" Target="https://advanced.onlinelibrary.wiley.com/doi/10.1002/adma.73704?af=R" TargetMode="External"/><Relationship Id="rId596" Type="http://schemas.openxmlformats.org/officeDocument/2006/relationships/hyperlink" Target="https://doi.org/10.1002/adma.73704" TargetMode="External"/><Relationship Id="rId597" Type="http://schemas.openxmlformats.org/officeDocument/2006/relationships/hyperlink" Target="https://onlinelibrary.wiley.com/doi/10.1002/anie.6619000?af=R" TargetMode="External"/><Relationship Id="rId598" Type="http://schemas.openxmlformats.org/officeDocument/2006/relationships/hyperlink" Target="https://doi.org/10.1002/anie.6619000" TargetMode="External"/><Relationship Id="rId599" Type="http://schemas.openxmlformats.org/officeDocument/2006/relationships/hyperlink" Target="https://onlinelibrary.wiley.com/doi/10.1002/anie.7890563?af=R" TargetMode="External"/><Relationship Id="rId600" Type="http://schemas.openxmlformats.org/officeDocument/2006/relationships/hyperlink" Target="https://doi.org/10.1002/anie.7890563" TargetMode="External"/><Relationship Id="rId601" Type="http://schemas.openxmlformats.org/officeDocument/2006/relationships/hyperlink" Target="https://onlinelibrary.wiley.com/doi/10.1002/anie.8875420?af=R" TargetMode="External"/><Relationship Id="rId602" Type="http://schemas.openxmlformats.org/officeDocument/2006/relationships/hyperlink" Target="https://doi.org/10.1002/anie.8875420" TargetMode="External"/><Relationship Id="rId603" Type="http://schemas.openxmlformats.org/officeDocument/2006/relationships/hyperlink" Target="https://onlinelibrary.wiley.com/doi/10.1002/anie.9481237?af=R" TargetMode="External"/><Relationship Id="rId604" Type="http://schemas.openxmlformats.org/officeDocument/2006/relationships/hyperlink" Target="https://doi.org/10.1002/anie.9481237" TargetMode="External"/><Relationship Id="rId605" Type="http://schemas.openxmlformats.org/officeDocument/2006/relationships/hyperlink" Target="https://onlinelibrary.wiley.com/doi/10.1002/anie.2461107?af=R" TargetMode="External"/><Relationship Id="rId606" Type="http://schemas.openxmlformats.org/officeDocument/2006/relationships/hyperlink" Target="https://doi.org/10.1002/anie.2461107" TargetMode="External"/><Relationship Id="rId607" Type="http://schemas.openxmlformats.org/officeDocument/2006/relationships/hyperlink" Target="https://onlinelibrary.wiley.com/doi/10.1002/anie.2444098?af=R" TargetMode="External"/><Relationship Id="rId608" Type="http://schemas.openxmlformats.org/officeDocument/2006/relationships/hyperlink" Target="https://doi.org/10.1002/anie.2444098" TargetMode="External"/><Relationship Id="rId609" Type="http://schemas.openxmlformats.org/officeDocument/2006/relationships/hyperlink" Target="https://onlinelibrary.wiley.com/doi/10.1002/anie.6341370?af=R" TargetMode="External"/><Relationship Id="rId610" Type="http://schemas.openxmlformats.org/officeDocument/2006/relationships/hyperlink" Target="https://doi.org/10.1002/anie.6341370" TargetMode="External"/><Relationship Id="rId611" Type="http://schemas.openxmlformats.org/officeDocument/2006/relationships/hyperlink" Target="https://onlinelibrary.wiley.com/doi/10.1002/anie.5838072?af=R" TargetMode="External"/><Relationship Id="rId612" Type="http://schemas.openxmlformats.org/officeDocument/2006/relationships/hyperlink" Target="https://doi.org/10.1002/anie.5838072" TargetMode="External"/><Relationship Id="rId613" Type="http://schemas.openxmlformats.org/officeDocument/2006/relationships/hyperlink" Target="https://onlinelibrary.wiley.com/doi/10.1002/anie.9617434?af=R" TargetMode="External"/><Relationship Id="rId614" Type="http://schemas.openxmlformats.org/officeDocument/2006/relationships/hyperlink" Target="https://doi.org/10.1002/anie.9617434" TargetMode="External"/><Relationship Id="rId615" Type="http://schemas.openxmlformats.org/officeDocument/2006/relationships/hyperlink" Target="https://onlinelibrary.wiley.com/doi/10.1002/anie.5554467?af=R" TargetMode="External"/><Relationship Id="rId616" Type="http://schemas.openxmlformats.org/officeDocument/2006/relationships/hyperlink" Target="https://doi.org/10.1002/anie.5554467" TargetMode="External"/><Relationship Id="rId617" Type="http://schemas.openxmlformats.org/officeDocument/2006/relationships/hyperlink" Target="https://onlinelibrary.wiley.com/doi/10.1002/anie.8106772?af=R" TargetMode="External"/><Relationship Id="rId618" Type="http://schemas.openxmlformats.org/officeDocument/2006/relationships/hyperlink" Target="https://doi.org/10.1002/anie.8106772" TargetMode="External"/><Relationship Id="rId619" Type="http://schemas.openxmlformats.org/officeDocument/2006/relationships/hyperlink" Target="https://onlinelibrary.wiley.com/doi/10.1002/anie.7183450?af=R" TargetMode="External"/><Relationship Id="rId620" Type="http://schemas.openxmlformats.org/officeDocument/2006/relationships/hyperlink" Target="https://doi.org/10.1002/anie.7183450" TargetMode="External"/><Relationship Id="rId621" Type="http://schemas.openxmlformats.org/officeDocument/2006/relationships/hyperlink" Target="https://onlinelibrary.wiley.com/doi/10.1002/anie.6741643?af=R" TargetMode="External"/><Relationship Id="rId622" Type="http://schemas.openxmlformats.org/officeDocument/2006/relationships/hyperlink" Target="https://doi.org/10.1002/anie.6741643" TargetMode="External"/><Relationship Id="rId623" Type="http://schemas.openxmlformats.org/officeDocument/2006/relationships/hyperlink" Target="https://onlinelibrary.wiley.com/doi/10.1002/anie.8746225?af=R" TargetMode="External"/><Relationship Id="rId624" Type="http://schemas.openxmlformats.org/officeDocument/2006/relationships/hyperlink" Target="https://doi.org/10.1002/anie.8746225" TargetMode="External"/><Relationship Id="rId625" Type="http://schemas.openxmlformats.org/officeDocument/2006/relationships/hyperlink" Target="https://onlinelibrary.wiley.com/doi/10.1002/anie.2802162?af=R" TargetMode="External"/><Relationship Id="rId626" Type="http://schemas.openxmlformats.org/officeDocument/2006/relationships/hyperlink" Target="https://doi.org/10.1002/anie.2802162" TargetMode="External"/><Relationship Id="rId627" Type="http://schemas.openxmlformats.org/officeDocument/2006/relationships/hyperlink" Target="http://link.aps.org/doi/10.1103/s1my-sryj" TargetMode="External"/><Relationship Id="rId628" Type="http://schemas.openxmlformats.org/officeDocument/2006/relationships/hyperlink" Target="https://doi.org/10.1103/s1my-sryj" TargetMode="External"/><Relationship Id="rId629" Type="http://schemas.openxmlformats.org/officeDocument/2006/relationships/hyperlink" Target="http://link.aps.org/doi/10.1103/f8b9-q54m" TargetMode="External"/><Relationship Id="rId630" Type="http://schemas.openxmlformats.org/officeDocument/2006/relationships/hyperlink" Target="https://doi.org/10.1103/f8b9-q54m" TargetMode="External"/><Relationship Id="rId631" Type="http://schemas.openxmlformats.org/officeDocument/2006/relationships/hyperlink" Target="http://link.aps.org/doi/10.1103/6g7x-y15q" TargetMode="External"/><Relationship Id="rId632" Type="http://schemas.openxmlformats.org/officeDocument/2006/relationships/hyperlink" Target="https://doi.org/10.1103/6g7x-y15q" TargetMode="External"/><Relationship Id="rId633" Type="http://schemas.openxmlformats.org/officeDocument/2006/relationships/hyperlink" Target="http://link.aps.org/doi/10.1103/s7t5-l6xg" TargetMode="External"/><Relationship Id="rId634" Type="http://schemas.openxmlformats.org/officeDocument/2006/relationships/hyperlink" Target="https://doi.org/10.1103/s7t5-l6xg" TargetMode="External"/><Relationship Id="rId635" Type="http://schemas.openxmlformats.org/officeDocument/2006/relationships/hyperlink" Target="http://link.aps.org/doi/10.1103/9zv2-wlkl" TargetMode="External"/><Relationship Id="rId636" Type="http://schemas.openxmlformats.org/officeDocument/2006/relationships/hyperlink" Target="https://doi.org/10.1103/9zv2-wlkl" TargetMode="External"/><Relationship Id="rId637" Type="http://schemas.openxmlformats.org/officeDocument/2006/relationships/hyperlink" Target="http://link.aps.org/doi/10.1103/tyht-frnf" TargetMode="External"/><Relationship Id="rId638" Type="http://schemas.openxmlformats.org/officeDocument/2006/relationships/hyperlink" Target="https://doi.org/10.1103/tyht-frnf" TargetMode="External"/><Relationship Id="rId639" Type="http://schemas.openxmlformats.org/officeDocument/2006/relationships/hyperlink" Target="http://link.aps.org/doi/10.1103/rcb1-gntj" TargetMode="External"/><Relationship Id="rId640" Type="http://schemas.openxmlformats.org/officeDocument/2006/relationships/hyperlink" Target="https://doi.org/10.1103/rcb1-gntj" TargetMode="External"/><Relationship Id="rId641" Type="http://schemas.openxmlformats.org/officeDocument/2006/relationships/hyperlink" Target="http://link.aps.org/doi/10.1103/xxg6-yd47" TargetMode="External"/><Relationship Id="rId642" Type="http://schemas.openxmlformats.org/officeDocument/2006/relationships/hyperlink" Target="https://doi.org/10.1103/xxg6-yd47" TargetMode="External"/><Relationship Id="rId643" Type="http://schemas.openxmlformats.org/officeDocument/2006/relationships/hyperlink" Target="http://link.aps.org/doi/10.1103/l14v-1r2c" TargetMode="External"/><Relationship Id="rId644" Type="http://schemas.openxmlformats.org/officeDocument/2006/relationships/hyperlink" Target="https://doi.org/10.1103/l14v-1r2c" TargetMode="External"/><Relationship Id="rId645" Type="http://schemas.openxmlformats.org/officeDocument/2006/relationships/hyperlink" Target="http://link.aps.org/doi/10.1103/jsfs-nq46" TargetMode="External"/><Relationship Id="rId646" Type="http://schemas.openxmlformats.org/officeDocument/2006/relationships/hyperlink" Target="https://doi.org/10.1103/jsfs-nq46" TargetMode="External"/><Relationship Id="rId647" Type="http://schemas.openxmlformats.org/officeDocument/2006/relationships/hyperlink" Target="http://link.aps.org/doi/10.1103/f8tr-bq61" TargetMode="External"/><Relationship Id="rId648" Type="http://schemas.openxmlformats.org/officeDocument/2006/relationships/hyperlink" Target="https://doi.org/10.1103/f8tr-bq61" TargetMode="External"/><Relationship Id="rId649" Type="http://schemas.openxmlformats.org/officeDocument/2006/relationships/hyperlink" Target="http://link.aps.org/doi/10.1103/yklc-9n6t" TargetMode="External"/><Relationship Id="rId650" Type="http://schemas.openxmlformats.org/officeDocument/2006/relationships/hyperlink" Target="https://doi.org/10.1103/yklc-9n6t" TargetMode="External"/><Relationship Id="rId651" Type="http://schemas.openxmlformats.org/officeDocument/2006/relationships/hyperlink" Target="http://link.aps.org/doi/10.1103/5x9g-82jg" TargetMode="External"/><Relationship Id="rId652" Type="http://schemas.openxmlformats.org/officeDocument/2006/relationships/hyperlink" Target="https://doi.org/10.1103/5x9g-82jg" TargetMode="External"/><Relationship Id="rId653" Type="http://schemas.openxmlformats.org/officeDocument/2006/relationships/hyperlink" Target="http://link.aps.org/doi/10.1103/923y-49z5" TargetMode="External"/><Relationship Id="rId654" Type="http://schemas.openxmlformats.org/officeDocument/2006/relationships/hyperlink" Target="https://doi.org/10.1103/923y-49z5" TargetMode="External"/><Relationship Id="rId655" Type="http://schemas.openxmlformats.org/officeDocument/2006/relationships/hyperlink" Target="http://link.aps.org/doi/10.1103/vf18-1kh7" TargetMode="External"/><Relationship Id="rId656" Type="http://schemas.openxmlformats.org/officeDocument/2006/relationships/hyperlink" Target="https://doi.org/10.1103/vf18-1kh7" TargetMode="External"/><Relationship Id="rId657" Type="http://schemas.openxmlformats.org/officeDocument/2006/relationships/hyperlink" Target="http://link.aps.org/doi/10.1103/cpwf-k58g" TargetMode="External"/><Relationship Id="rId658" Type="http://schemas.openxmlformats.org/officeDocument/2006/relationships/hyperlink" Target="https://doi.org/10.1103/cpwf-k58g" TargetMode="External"/><Relationship Id="rId659" Type="http://schemas.openxmlformats.org/officeDocument/2006/relationships/hyperlink" Target="http://link.aps.org/doi/10.1103/wjh8-tlvd" TargetMode="External"/><Relationship Id="rId660" Type="http://schemas.openxmlformats.org/officeDocument/2006/relationships/hyperlink" Target="https://doi.org/10.1103/wjh8-tlvd" TargetMode="External"/><Relationship Id="rId661" Type="http://schemas.openxmlformats.org/officeDocument/2006/relationships/hyperlink" Target="http://link.aps.org/doi/10.1103/l4tf-kqyl" TargetMode="External"/><Relationship Id="rId662" Type="http://schemas.openxmlformats.org/officeDocument/2006/relationships/hyperlink" Target="https://doi.org/10.1103/l4tf-kqyl" TargetMode="External"/><Relationship Id="rId663" Type="http://schemas.openxmlformats.org/officeDocument/2006/relationships/hyperlink" Target="http://link.aps.org/doi/10.1103/w25x-6948" TargetMode="External"/><Relationship Id="rId664" Type="http://schemas.openxmlformats.org/officeDocument/2006/relationships/hyperlink" Target="https://doi.org/10.1103/w25x-6948" TargetMode="External"/><Relationship Id="rId665" Type="http://schemas.openxmlformats.org/officeDocument/2006/relationships/hyperlink" Target="http://link.aps.org/doi/10.1103/nzvm-3mmb" TargetMode="External"/><Relationship Id="rId666" Type="http://schemas.openxmlformats.org/officeDocument/2006/relationships/hyperlink" Target="https://doi.org/10.1103/nzvm-3mmb" TargetMode="External"/><Relationship Id="rId667" Type="http://schemas.openxmlformats.org/officeDocument/2006/relationships/hyperlink" Target="http://link.aps.org/doi/10.1103/sq25-hfsb" TargetMode="External"/><Relationship Id="rId668" Type="http://schemas.openxmlformats.org/officeDocument/2006/relationships/hyperlink" Target="https://doi.org/10.1103/sq25-hfsb" TargetMode="External"/><Relationship Id="rId669" Type="http://schemas.openxmlformats.org/officeDocument/2006/relationships/hyperlink" Target="http://link.aps.org/doi/10.1103/pb9b-6hyk" TargetMode="External"/><Relationship Id="rId670" Type="http://schemas.openxmlformats.org/officeDocument/2006/relationships/hyperlink" Target="https://doi.org/10.1103/pb9b-6hyk" TargetMode="External"/><Relationship Id="rId671" Type="http://schemas.openxmlformats.org/officeDocument/2006/relationships/hyperlink" Target="http://link.aps.org/doi/10.1103/ckl2-lcpl" TargetMode="External"/><Relationship Id="rId672" Type="http://schemas.openxmlformats.org/officeDocument/2006/relationships/hyperlink" Target="https://doi.org/10.1103/ckl2-lcpl" TargetMode="External"/><Relationship Id="rId673" Type="http://schemas.openxmlformats.org/officeDocument/2006/relationships/hyperlink" Target="http://link.aps.org/doi/10.1103/svt2-m3pp" TargetMode="External"/><Relationship Id="rId674" Type="http://schemas.openxmlformats.org/officeDocument/2006/relationships/hyperlink" Target="https://doi.org/10.1103/svt2-m3pp" TargetMode="External"/><Relationship Id="rId675" Type="http://schemas.openxmlformats.org/officeDocument/2006/relationships/hyperlink" Target="http://link.aps.org/doi/10.1103/9t6n-4myf" TargetMode="External"/><Relationship Id="rId676" Type="http://schemas.openxmlformats.org/officeDocument/2006/relationships/hyperlink" Target="https://doi.org/10.1103/9t6n-4myf" TargetMode="External"/><Relationship Id="rId677" Type="http://schemas.openxmlformats.org/officeDocument/2006/relationships/hyperlink" Target="http://link.aps.org/doi/10.1103/c6wf-z99k" TargetMode="External"/><Relationship Id="rId678" Type="http://schemas.openxmlformats.org/officeDocument/2006/relationships/hyperlink" Target="https://doi.org/10.1103/c6wf-z99k" TargetMode="External"/><Relationship Id="rId679" Type="http://schemas.openxmlformats.org/officeDocument/2006/relationships/hyperlink" Target="http://link.aps.org/doi/10.1103/gvf4-d2b9" TargetMode="External"/><Relationship Id="rId680" Type="http://schemas.openxmlformats.org/officeDocument/2006/relationships/hyperlink" Target="https://doi.org/10.1103/gvf4-d2b9" TargetMode="External"/><Relationship Id="rId681" Type="http://schemas.openxmlformats.org/officeDocument/2006/relationships/hyperlink" Target="http://link.aps.org/doi/10.1103/n3ld-b4wv" TargetMode="External"/><Relationship Id="rId682" Type="http://schemas.openxmlformats.org/officeDocument/2006/relationships/hyperlink" Target="https://doi.org/10.1103/n3ld-b4wv" TargetMode="External"/><Relationship Id="rId683" Type="http://schemas.openxmlformats.org/officeDocument/2006/relationships/hyperlink" Target="http://link.aps.org/doi/10.1103/j2q4-bnc6" TargetMode="External"/><Relationship Id="rId684" Type="http://schemas.openxmlformats.org/officeDocument/2006/relationships/hyperlink" Target="https://doi.org/10.1103/j2q4-bnc6" TargetMode="External"/><Relationship Id="rId685" Type="http://schemas.openxmlformats.org/officeDocument/2006/relationships/hyperlink" Target="http://link.aps.org/doi/10.1103/kmtx-7x9d" TargetMode="External"/><Relationship Id="rId686" Type="http://schemas.openxmlformats.org/officeDocument/2006/relationships/hyperlink" Target="https://doi.org/10.1103/kmtx-7x9d" TargetMode="External"/><Relationship Id="rId687" Type="http://schemas.openxmlformats.org/officeDocument/2006/relationships/hyperlink" Target="http://link.aps.org/doi/10.1103/z6rz-d9sq" TargetMode="External"/><Relationship Id="rId688" Type="http://schemas.openxmlformats.org/officeDocument/2006/relationships/hyperlink" Target="https://doi.org/10.1103/z6rz-d9sq" TargetMode="External"/><Relationship Id="rId689" Type="http://schemas.openxmlformats.org/officeDocument/2006/relationships/hyperlink" Target="http://link.aps.org/doi/10.1103/7rgt-5ljy" TargetMode="External"/><Relationship Id="rId690" Type="http://schemas.openxmlformats.org/officeDocument/2006/relationships/hyperlink" Target="https://doi.org/10.1103/7rgt-5ljy" TargetMode="External"/><Relationship Id="rId691" Type="http://schemas.openxmlformats.org/officeDocument/2006/relationships/hyperlink" Target="http://link.aps.org/doi/10.1103/zmqq-kx63" TargetMode="External"/><Relationship Id="rId692" Type="http://schemas.openxmlformats.org/officeDocument/2006/relationships/hyperlink" Target="https://doi.org/10.1103/zmqq-kx63" TargetMode="External"/><Relationship Id="rId693" Type="http://schemas.openxmlformats.org/officeDocument/2006/relationships/hyperlink" Target="https://onlinelibrary.wiley.com/doi/10.1002/anie.6931490?af=R" TargetMode="External"/><Relationship Id="rId694" Type="http://schemas.openxmlformats.org/officeDocument/2006/relationships/hyperlink" Target="https://doi.org/10.1002/anie.6931490" TargetMode="External"/><Relationship Id="rId695" Type="http://schemas.openxmlformats.org/officeDocument/2006/relationships/hyperlink" Target="https://onlinelibrary.wiley.com/doi/10.1002/anie.9647759?af=R" TargetMode="External"/><Relationship Id="rId696" Type="http://schemas.openxmlformats.org/officeDocument/2006/relationships/hyperlink" Target="https://doi.org/10.1002/anie.9647759" TargetMode="External"/><Relationship Id="rId697" Type="http://schemas.openxmlformats.org/officeDocument/2006/relationships/hyperlink" Target="https://advanced.onlinelibrary.wiley.com/doi/10.1002/adma.73785?af=R" TargetMode="External"/><Relationship Id="rId698" Type="http://schemas.openxmlformats.org/officeDocument/2006/relationships/hyperlink" Target="https://doi.org/10.1002/adma.73785" TargetMode="External"/><Relationship Id="rId699" Type="http://schemas.openxmlformats.org/officeDocument/2006/relationships/hyperlink" Target="https://advanced.onlinelibrary.wiley.com/doi/10.1002/adma.73822?af=R" TargetMode="External"/><Relationship Id="rId700" Type="http://schemas.openxmlformats.org/officeDocument/2006/relationships/hyperlink" Target="https://doi.org/10.1002/adma.73822" TargetMode="External"/><Relationship Id="rId701" Type="http://schemas.openxmlformats.org/officeDocument/2006/relationships/hyperlink" Target="https://advanced.onlinelibrary.wiley.com/doi/10.1002/adma.202519288?af=R" TargetMode="External"/><Relationship Id="rId702" Type="http://schemas.openxmlformats.org/officeDocument/2006/relationships/hyperlink" Target="https://doi.org/10.1002/adma.202519288" TargetMode="External"/><Relationship Id="rId703" Type="http://schemas.openxmlformats.org/officeDocument/2006/relationships/hyperlink" Target="https://advanced.onlinelibrary.wiley.com/doi/10.1002/adma.73771?af=R" TargetMode="External"/><Relationship Id="rId704" Type="http://schemas.openxmlformats.org/officeDocument/2006/relationships/hyperlink" Target="https://doi.org/10.1002/adma.73771" TargetMode="External"/><Relationship Id="rId705" Type="http://schemas.openxmlformats.org/officeDocument/2006/relationships/hyperlink" Target="https://advanced.onlinelibrary.wiley.com/doi/10.1002/adma.73806?af=R" TargetMode="External"/><Relationship Id="rId706" Type="http://schemas.openxmlformats.org/officeDocument/2006/relationships/hyperlink" Target="https://doi.org/10.1002/adma.73806" TargetMode="External"/><Relationship Id="rId707" Type="http://schemas.openxmlformats.org/officeDocument/2006/relationships/hyperlink" Target="https://advanced.onlinelibrary.wiley.com/doi/10.1002/adma.73781?af=R" TargetMode="External"/><Relationship Id="rId708" Type="http://schemas.openxmlformats.org/officeDocument/2006/relationships/hyperlink" Target="https://doi.org/10.1002/adma.73781" TargetMode="External"/><Relationship Id="rId709" Type="http://schemas.openxmlformats.org/officeDocument/2006/relationships/hyperlink" Target="https://advanced.onlinelibrary.wiley.com/doi/10.1002/adma.73813?af=R" TargetMode="External"/><Relationship Id="rId710" Type="http://schemas.openxmlformats.org/officeDocument/2006/relationships/hyperlink" Target="https://doi.org/10.1002/adma.73813" TargetMode="External"/><Relationship Id="rId711" Type="http://schemas.openxmlformats.org/officeDocument/2006/relationships/hyperlink" Target="http://pubs.rsc.org/en/Content/ArticleLanding/2026/CS/D5CS01173F" TargetMode="External"/><Relationship Id="rId712" Type="http://schemas.openxmlformats.org/officeDocument/2006/relationships/hyperlink" Target="https://www.nature.com/articles/d41586-026-01805-0" TargetMode="External"/><Relationship Id="rId713" Type="http://schemas.openxmlformats.org/officeDocument/2006/relationships/hyperlink" Target="https://doi.org/10.1038/d41586-026-01805-0" TargetMode="External"/><Relationship Id="rId714" Type="http://schemas.openxmlformats.org/officeDocument/2006/relationships/hyperlink" Target="https://www.nature.com/articles/d41586-026-01804-1" TargetMode="External"/><Relationship Id="rId715" Type="http://schemas.openxmlformats.org/officeDocument/2006/relationships/hyperlink" Target="https://doi.org/10.1038/d41586-026-01804-1" TargetMode="External"/><Relationship Id="rId716" Type="http://schemas.openxmlformats.org/officeDocument/2006/relationships/hyperlink" Target="https://academic.oup.com/nsr/advance-article/doi/10.1093/nsr/nwag386/8715829?rss=1" TargetMode="External"/><Relationship Id="rId717" Type="http://schemas.openxmlformats.org/officeDocument/2006/relationships/hyperlink" Target="https://doi.org/10.1093/nsr/nwag386" TargetMode="External"/><Relationship Id="rId718" Type="http://schemas.openxmlformats.org/officeDocument/2006/relationships/hyperlink" Target="https://academic.oup.com/nsr/advance-article/doi/10.1093/nsr/nwag389/8715830?rss=1" TargetMode="External"/><Relationship Id="rId719" Type="http://schemas.openxmlformats.org/officeDocument/2006/relationships/hyperlink" Target="https://doi.org/10.1093/nsr/nwag389" TargetMode="External"/><Relationship Id="rId720" Type="http://schemas.openxmlformats.org/officeDocument/2006/relationships/hyperlink" Target="https://academic.oup.com/nsr/advance-article/doi/10.1093/nsr/nwag370/8715831?rss=1" TargetMode="External"/><Relationship Id="rId721" Type="http://schemas.openxmlformats.org/officeDocument/2006/relationships/hyperlink" Target="https://doi.org/10.1093/nsr/nwag370" TargetMode="External"/><Relationship Id="rId722" Type="http://schemas.openxmlformats.org/officeDocument/2006/relationships/hyperlink" Target="https://academic.oup.com/nsr/advance-article/doi/10.1093/nsr/nwag387/8715832?rss=1" TargetMode="External"/><Relationship Id="rId723" Type="http://schemas.openxmlformats.org/officeDocument/2006/relationships/hyperlink" Target="https://doi.org/10.1093/nsr/nwag387" TargetMode="External"/><Relationship Id="rId724" Type="http://schemas.openxmlformats.org/officeDocument/2006/relationships/hyperlink" Target="https://www.nature.com/articles/s41578-026-00938-y" TargetMode="External"/><Relationship Id="rId725" Type="http://schemas.openxmlformats.org/officeDocument/2006/relationships/hyperlink" Target="https://doi.org/10.1038/s41578-026-00938-y" TargetMode="External"/><Relationship Id="rId726" Type="http://schemas.openxmlformats.org/officeDocument/2006/relationships/hyperlink" Target="https://www.nature.com/articles/d41586-026-01958-y" TargetMode="External"/><Relationship Id="rId727" Type="http://schemas.openxmlformats.org/officeDocument/2006/relationships/hyperlink" Target="https://doi.org/10.1038/d41586-026-01958-y" TargetMode="External"/><Relationship Id="rId728" Type="http://schemas.openxmlformats.org/officeDocument/2006/relationships/hyperlink" Target="https://www.nature.com/articles/d41586-026-01704-4" TargetMode="External"/><Relationship Id="rId729" Type="http://schemas.openxmlformats.org/officeDocument/2006/relationships/hyperlink" Target="https://doi.org/10.1038/d41586-026-01704-4" TargetMode="External"/><Relationship Id="rId730" Type="http://schemas.openxmlformats.org/officeDocument/2006/relationships/hyperlink" Target="https://www.nature.com/articles/d41586-026-01990-y" TargetMode="External"/><Relationship Id="rId731" Type="http://schemas.openxmlformats.org/officeDocument/2006/relationships/hyperlink" Target="https://doi.org/10.1038/d41586-026-01990-y" TargetMode="External"/><Relationship Id="rId732" Type="http://schemas.openxmlformats.org/officeDocument/2006/relationships/hyperlink" Target="https://www.nature.com/articles/d41586-026-01952-4" TargetMode="External"/><Relationship Id="rId733" Type="http://schemas.openxmlformats.org/officeDocument/2006/relationships/hyperlink" Target="https://doi.org/10.1038/d41586-026-01952-4" TargetMode="External"/><Relationship Id="rId734" Type="http://schemas.openxmlformats.org/officeDocument/2006/relationships/hyperlink" Target="https://www.nature.com/articles/s41586-026-10599-0" TargetMode="External"/><Relationship Id="rId735" Type="http://schemas.openxmlformats.org/officeDocument/2006/relationships/hyperlink" Target="https://doi.org/10.1038/s41586-026-10599-0" TargetMode="External"/><Relationship Id="rId736" Type="http://schemas.openxmlformats.org/officeDocument/2006/relationships/hyperlink" Target="https://www.nature.com/articles/d41586-026-01720-4" TargetMode="External"/><Relationship Id="rId737" Type="http://schemas.openxmlformats.org/officeDocument/2006/relationships/hyperlink" Target="https://doi.org/10.1038/d41586-026-01720-4" TargetMode="External"/><Relationship Id="rId738" Type="http://schemas.openxmlformats.org/officeDocument/2006/relationships/hyperlink" Target="https://www.nature.com/articles/s41586-026-10647-9" TargetMode="External"/><Relationship Id="rId739" Type="http://schemas.openxmlformats.org/officeDocument/2006/relationships/hyperlink" Target="https://doi.org/10.1038/s41586-026-10647-9" TargetMode="External"/><Relationship Id="rId740" Type="http://schemas.openxmlformats.org/officeDocument/2006/relationships/hyperlink" Target="https://www.nature.com/articles/s41586-026-10678-2" TargetMode="External"/><Relationship Id="rId741" Type="http://schemas.openxmlformats.org/officeDocument/2006/relationships/hyperlink" Target="https://doi.org/10.1038/s41586-026-10678-2" TargetMode="External"/><Relationship Id="rId742" Type="http://schemas.openxmlformats.org/officeDocument/2006/relationships/hyperlink" Target="https://www.nature.com/articles/d41586-026-01894-x" TargetMode="External"/><Relationship Id="rId743" Type="http://schemas.openxmlformats.org/officeDocument/2006/relationships/hyperlink" Target="https://doi.org/10.1038/d41586-026-01894-x" TargetMode="External"/><Relationship Id="rId744" Type="http://schemas.openxmlformats.org/officeDocument/2006/relationships/hyperlink" Target="https://www.nature.com/articles/s41586-026-10681-7" TargetMode="External"/><Relationship Id="rId745" Type="http://schemas.openxmlformats.org/officeDocument/2006/relationships/hyperlink" Target="https://doi.org/10.1038/s41586-026-10681-7" TargetMode="External"/><Relationship Id="rId746" Type="http://schemas.openxmlformats.org/officeDocument/2006/relationships/hyperlink" Target="https://www.nature.com/articles/s41586-026-10704-3" TargetMode="External"/><Relationship Id="rId747" Type="http://schemas.openxmlformats.org/officeDocument/2006/relationships/hyperlink" Target="https://doi.org/10.1038/s41586-026-10704-3" TargetMode="External"/><Relationship Id="rId748" Type="http://schemas.openxmlformats.org/officeDocument/2006/relationships/hyperlink" Target="https://www.nature.com/articles/s41928-026-01661-w" TargetMode="External"/><Relationship Id="rId749" Type="http://schemas.openxmlformats.org/officeDocument/2006/relationships/hyperlink" Target="https://doi.org/10.1038/s41928-026-01661-w" TargetMode="External"/><Relationship Id="rId750" Type="http://schemas.openxmlformats.org/officeDocument/2006/relationships/hyperlink" Target="https://www.nature.com/articles/s41586-026-10810-2" TargetMode="External"/><Relationship Id="rId751" Type="http://schemas.openxmlformats.org/officeDocument/2006/relationships/hyperlink" Target="https://doi.org/10.1038/s41586-026-10810-2" TargetMode="External"/><Relationship Id="rId752" Type="http://schemas.openxmlformats.org/officeDocument/2006/relationships/hyperlink" Target="https://www.nature.com/articles/s41586-026-10670-w" TargetMode="External"/><Relationship Id="rId753" Type="http://schemas.openxmlformats.org/officeDocument/2006/relationships/hyperlink" Target="https://doi.org/10.1038/s41586-026-10670-w" TargetMode="External"/><Relationship Id="rId754" Type="http://schemas.openxmlformats.org/officeDocument/2006/relationships/hyperlink" Target="https://www.nature.com/articles/s41586-026-10697-z" TargetMode="External"/><Relationship Id="rId755" Type="http://schemas.openxmlformats.org/officeDocument/2006/relationships/hyperlink" Target="https://doi.org/10.1038/s41586-026-10697-z" TargetMode="External"/><Relationship Id="rId756" Type="http://schemas.openxmlformats.org/officeDocument/2006/relationships/hyperlink" Target="https://www.nature.com/articles/s41586-026-10593-6" TargetMode="External"/><Relationship Id="rId757" Type="http://schemas.openxmlformats.org/officeDocument/2006/relationships/hyperlink" Target="https://doi.org/10.1038/s41586-026-10593-6" TargetMode="External"/><Relationship Id="rId758" Type="http://schemas.openxmlformats.org/officeDocument/2006/relationships/hyperlink" Target="https://www.nature.com/articles/s41586-026-10685-3" TargetMode="External"/><Relationship Id="rId759" Type="http://schemas.openxmlformats.org/officeDocument/2006/relationships/hyperlink" Target="https://doi.org/10.1038/s41586-026-10685-3" TargetMode="External"/><Relationship Id="rId760" Type="http://schemas.openxmlformats.org/officeDocument/2006/relationships/hyperlink" Target="https://www.nature.com/articles/d41586-026-01986-8" TargetMode="External"/><Relationship Id="rId761" Type="http://schemas.openxmlformats.org/officeDocument/2006/relationships/hyperlink" Target="https://doi.org/10.1038/d41586-026-01986-8" TargetMode="External"/><Relationship Id="rId762" Type="http://schemas.openxmlformats.org/officeDocument/2006/relationships/hyperlink" Target="https://www.nature.com/articles/d41586-026-01987-7" TargetMode="External"/><Relationship Id="rId763" Type="http://schemas.openxmlformats.org/officeDocument/2006/relationships/hyperlink" Target="https://doi.org/10.1038/d41586-026-01987-7" TargetMode="External"/><Relationship Id="rId764" Type="http://schemas.openxmlformats.org/officeDocument/2006/relationships/hyperlink" Target="https://www.nature.com/articles/d41586-026-02032-3" TargetMode="External"/><Relationship Id="rId765" Type="http://schemas.openxmlformats.org/officeDocument/2006/relationships/hyperlink" Target="https://doi.org/10.1038/d41586-026-02032-3" TargetMode="External"/><Relationship Id="rId766" Type="http://schemas.openxmlformats.org/officeDocument/2006/relationships/hyperlink" Target="https://www.nature.com/articles/s41586-026-10567-8" TargetMode="External"/><Relationship Id="rId767" Type="http://schemas.openxmlformats.org/officeDocument/2006/relationships/hyperlink" Target="https://doi.org/10.1038/s41586-026-10567-8" TargetMode="External"/><Relationship Id="rId768" Type="http://schemas.openxmlformats.org/officeDocument/2006/relationships/hyperlink" Target="https://www.nature.com/articles/s41586-026-10767-2" TargetMode="External"/><Relationship Id="rId769" Type="http://schemas.openxmlformats.org/officeDocument/2006/relationships/hyperlink" Target="https://doi.org/10.1038/s41586-026-10767-2" TargetMode="External"/><Relationship Id="rId770" Type="http://schemas.openxmlformats.org/officeDocument/2006/relationships/hyperlink" Target="https://www.nature.com/articles/s41586-026-10568-7" TargetMode="External"/><Relationship Id="rId771" Type="http://schemas.openxmlformats.org/officeDocument/2006/relationships/hyperlink" Target="https://doi.org/10.1038/s41586-026-10568-7" TargetMode="External"/><Relationship Id="rId772" Type="http://schemas.openxmlformats.org/officeDocument/2006/relationships/hyperlink" Target="https://www.nature.com/articles/s41563-026-02630-6" TargetMode="External"/><Relationship Id="rId773" Type="http://schemas.openxmlformats.org/officeDocument/2006/relationships/hyperlink" Target="https://doi.org/10.1038/s41563-026-02630-6" TargetMode="External"/><Relationship Id="rId774" Type="http://schemas.openxmlformats.org/officeDocument/2006/relationships/hyperlink" Target="https://www.nature.com/articles/s41586-026-10813-z" TargetMode="External"/><Relationship Id="rId775" Type="http://schemas.openxmlformats.org/officeDocument/2006/relationships/hyperlink" Target="https://doi.org/10.1038/s41586-026-10813-z" TargetMode="External"/><Relationship Id="rId776" Type="http://schemas.openxmlformats.org/officeDocument/2006/relationships/hyperlink" Target="https://www.nature.com/articles/s41563-026-02642-2" TargetMode="External"/><Relationship Id="rId777" Type="http://schemas.openxmlformats.org/officeDocument/2006/relationships/hyperlink" Target="https://doi.org/10.1038/s41563-026-02642-2" TargetMode="External"/><Relationship Id="rId778" Type="http://schemas.openxmlformats.org/officeDocument/2006/relationships/hyperlink" Target="https://www.nature.com/articles/s41586-026-10683-5" TargetMode="External"/><Relationship Id="rId779" Type="http://schemas.openxmlformats.org/officeDocument/2006/relationships/hyperlink" Target="https://doi.org/10.1038/s41586-026-10683-5" TargetMode="External"/><Relationship Id="rId780" Type="http://schemas.openxmlformats.org/officeDocument/2006/relationships/hyperlink" Target="https://www.nature.com/articles/s41560-026-02100-y" TargetMode="External"/><Relationship Id="rId781" Type="http://schemas.openxmlformats.org/officeDocument/2006/relationships/hyperlink" Target="https://doi.org/10.1038/s41560-026-02100-y" TargetMode="External"/><Relationship Id="rId782" Type="http://schemas.openxmlformats.org/officeDocument/2006/relationships/hyperlink" Target="https://www.nature.com/articles/s41560-026-02098-3" TargetMode="External"/><Relationship Id="rId783" Type="http://schemas.openxmlformats.org/officeDocument/2006/relationships/hyperlink" Target="https://doi.org/10.1038/s41560-026-02098-3" TargetMode="External"/><Relationship Id="rId784" Type="http://schemas.openxmlformats.org/officeDocument/2006/relationships/hyperlink" Target="https://www.nature.com/articles/s41928-026-01644-x" TargetMode="External"/><Relationship Id="rId785" Type="http://schemas.openxmlformats.org/officeDocument/2006/relationships/hyperlink" Target="https://doi.org/10.1038/s41928-026-01644-x" TargetMode="External"/><Relationship Id="rId786" Type="http://schemas.openxmlformats.org/officeDocument/2006/relationships/hyperlink" Target="https://www.nature.com/articles/s41586-026-10688-0" TargetMode="External"/><Relationship Id="rId787" Type="http://schemas.openxmlformats.org/officeDocument/2006/relationships/hyperlink" Target="https://doi.org/10.1038/s41586-026-10688-0" TargetMode="External"/><Relationship Id="rId788" Type="http://schemas.openxmlformats.org/officeDocument/2006/relationships/hyperlink" Target="https://www.nature.com/articles/s41586-026-10684-4" TargetMode="External"/><Relationship Id="rId789" Type="http://schemas.openxmlformats.org/officeDocument/2006/relationships/hyperlink" Target="https://doi.org/10.1038/s41586-026-10684-4" TargetMode="External"/><Relationship Id="rId790" Type="http://schemas.openxmlformats.org/officeDocument/2006/relationships/hyperlink" Target="https://www.nature.com/articles/s41467-026-74686-6" TargetMode="External"/><Relationship Id="rId791" Type="http://schemas.openxmlformats.org/officeDocument/2006/relationships/hyperlink" Target="https://www.nature.com/articles/s41467-026-74664-y" TargetMode="External"/><Relationship Id="rId792" Type="http://schemas.openxmlformats.org/officeDocument/2006/relationships/hyperlink" Target="https://www.nature.com/articles/s41467-026-74442-w" TargetMode="External"/><Relationship Id="rId793" Type="http://schemas.openxmlformats.org/officeDocument/2006/relationships/hyperlink" Target="https://www.nature.com/articles/s41467-026-74590-z" TargetMode="External"/><Relationship Id="rId794" Type="http://schemas.openxmlformats.org/officeDocument/2006/relationships/hyperlink" Target="https://www.nature.com/articles/s41467-026-74635-3" TargetMode="External"/><Relationship Id="rId795" Type="http://schemas.openxmlformats.org/officeDocument/2006/relationships/hyperlink" Target="https://www.nature.com/articles/s41467-026-74644-2" TargetMode="External"/><Relationship Id="rId796" Type="http://schemas.openxmlformats.org/officeDocument/2006/relationships/hyperlink" Target="https://www.nature.com/articles/s41467-026-74790-7" TargetMode="External"/><Relationship Id="rId797" Type="http://schemas.openxmlformats.org/officeDocument/2006/relationships/hyperlink" Target="https://www.nature.com/articles/s41467-026-74413-1" TargetMode="External"/><Relationship Id="rId798" Type="http://schemas.openxmlformats.org/officeDocument/2006/relationships/hyperlink" Target="https://www.nature.com/articles/s41467-026-74586-9" TargetMode="External"/><Relationship Id="rId799" Type="http://schemas.openxmlformats.org/officeDocument/2006/relationships/hyperlink" Target="https://www.nature.com/articles/s41467-026-74952-7" TargetMode="External"/><Relationship Id="rId800" Type="http://schemas.openxmlformats.org/officeDocument/2006/relationships/hyperlink" Target="https://www.nature.com/articles/s41467-026-74700-x" TargetMode="External"/><Relationship Id="rId801" Type="http://schemas.openxmlformats.org/officeDocument/2006/relationships/hyperlink" Target="https://www.nature.com/articles/s41586-026-10696-0" TargetMode="External"/><Relationship Id="rId802" Type="http://schemas.openxmlformats.org/officeDocument/2006/relationships/hyperlink" Target="https://doi.org/10.1038/s41586-026-10696-0" TargetMode="External"/><Relationship Id="rId803" Type="http://schemas.openxmlformats.org/officeDocument/2006/relationships/hyperlink" Target="https://www.nature.com/articles/s41467-026-74153-2" TargetMode="External"/><Relationship Id="rId804" Type="http://schemas.openxmlformats.org/officeDocument/2006/relationships/hyperlink" Target="https://www.nature.com/articles/s41467-026-74431-z" TargetMode="External"/><Relationship Id="rId805" Type="http://schemas.openxmlformats.org/officeDocument/2006/relationships/hyperlink" Target="https://www.nature.com/articles/s41467-026-74422-0" TargetMode="External"/><Relationship Id="rId806" Type="http://schemas.openxmlformats.org/officeDocument/2006/relationships/hyperlink" Target="https://www.nature.com/articles/s41467-026-74801-7" TargetMode="External"/><Relationship Id="rId807" Type="http://schemas.openxmlformats.org/officeDocument/2006/relationships/hyperlink" Target="https://www.nature.com/articles/s41467-026-74215-5" TargetMode="External"/><Relationship Id="rId808" Type="http://schemas.openxmlformats.org/officeDocument/2006/relationships/hyperlink" Target="https://www.nature.com/articles/s41467-026-74774-7" TargetMode="External"/><Relationship Id="rId809" Type="http://schemas.openxmlformats.org/officeDocument/2006/relationships/hyperlink" Target="https://www.nature.com/articles/s41467-026-74768-5" TargetMode="External"/><Relationship Id="rId810" Type="http://schemas.openxmlformats.org/officeDocument/2006/relationships/hyperlink" Target="https://www.nature.com/articles/s41467-026-73500-7" TargetMode="External"/><Relationship Id="rId811" Type="http://schemas.openxmlformats.org/officeDocument/2006/relationships/hyperlink" Target="https://www.nature.com/articles/d41586-026-02054-x" TargetMode="External"/><Relationship Id="rId812" Type="http://schemas.openxmlformats.org/officeDocument/2006/relationships/hyperlink" Target="https://doi.org/10.1038/d41586-026-02054-x" TargetMode="External"/><Relationship Id="rId813" Type="http://schemas.openxmlformats.org/officeDocument/2006/relationships/hyperlink" Target="https://www.nature.com/articles/s41467-026-74396-z" TargetMode="External"/><Relationship Id="rId814" Type="http://schemas.openxmlformats.org/officeDocument/2006/relationships/hyperlink" Target="https://www.nature.com/articles/s41467-026-74591-y" TargetMode="External"/><Relationship Id="rId815" Type="http://schemas.openxmlformats.org/officeDocument/2006/relationships/hyperlink" Target="https://www.nature.com/articles/s41467-026-74243-1" TargetMode="External"/><Relationship Id="rId816" Type="http://schemas.openxmlformats.org/officeDocument/2006/relationships/hyperlink" Target="https://www.nature.com/articles/s41586-026-10698-y" TargetMode="External"/><Relationship Id="rId817" Type="http://schemas.openxmlformats.org/officeDocument/2006/relationships/hyperlink" Target="https://doi.org/10.1038/s41586-026-10698-y" TargetMode="External"/><Relationship Id="rId818" Type="http://schemas.openxmlformats.org/officeDocument/2006/relationships/hyperlink" Target="https://www.nature.com/articles/s41586-026-10702-5" TargetMode="External"/><Relationship Id="rId819" Type="http://schemas.openxmlformats.org/officeDocument/2006/relationships/hyperlink" Target="https://doi.org/10.1038/s41586-026-10702-5" TargetMode="External"/><Relationship Id="rId820" Type="http://schemas.openxmlformats.org/officeDocument/2006/relationships/hyperlink" Target="https://www.nature.com/articles/s41565-026-02202-4" TargetMode="External"/><Relationship Id="rId821" Type="http://schemas.openxmlformats.org/officeDocument/2006/relationships/hyperlink" Target="https://doi.org/10.1038/s41565-026-02202-4" TargetMode="External"/><Relationship Id="rId822" Type="http://schemas.openxmlformats.org/officeDocument/2006/relationships/hyperlink" Target="https://www.nature.com/articles/s41467-026-74818-y" TargetMode="External"/><Relationship Id="rId823" Type="http://schemas.openxmlformats.org/officeDocument/2006/relationships/hyperlink" Target="https://www.nature.com/articles/s41467-026-74859-3" TargetMode="External"/><Relationship Id="rId824" Type="http://schemas.openxmlformats.org/officeDocument/2006/relationships/hyperlink" Target="https://www.nature.com/articles/s41467-026-74836-w" TargetMode="External"/><Relationship Id="rId825" Type="http://schemas.openxmlformats.org/officeDocument/2006/relationships/hyperlink" Target="https://www.nature.com/articles/s41467-026-74876-2" TargetMode="External"/><Relationship Id="rId826" Type="http://schemas.openxmlformats.org/officeDocument/2006/relationships/hyperlink" Target="https://www.nature.com/articles/s41467-026-74390-5" TargetMode="External"/><Relationship Id="rId827" Type="http://schemas.openxmlformats.org/officeDocument/2006/relationships/hyperlink" Target="https://www.nature.com/articles/s41467-026-74837-9" TargetMode="External"/><Relationship Id="rId828" Type="http://schemas.openxmlformats.org/officeDocument/2006/relationships/hyperlink" Target="https://www.nature.com/articles/s41467-026-74557-0" TargetMode="External"/><Relationship Id="rId829" Type="http://schemas.openxmlformats.org/officeDocument/2006/relationships/hyperlink" Target="https://www.nature.com/articles/s41467-026-74669-7" TargetMode="External"/><Relationship Id="rId830" Type="http://schemas.openxmlformats.org/officeDocument/2006/relationships/hyperlink" Target="https://www.nature.com/articles/s41467-026-74556-1" TargetMode="External"/><Relationship Id="rId831" Type="http://schemas.openxmlformats.org/officeDocument/2006/relationships/hyperlink" Target="https://www.nature.com/articles/s41467-026-74288-2" TargetMode="External"/><Relationship Id="rId832" Type="http://schemas.openxmlformats.org/officeDocument/2006/relationships/hyperlink" Target="https://www.nature.com/articles/s41467-026-74814-2" TargetMode="External"/><Relationship Id="rId833" Type="http://schemas.openxmlformats.org/officeDocument/2006/relationships/hyperlink" Target="https://www.nature.com/articles/s41586-026-10625-1" TargetMode="External"/><Relationship Id="rId834" Type="http://schemas.openxmlformats.org/officeDocument/2006/relationships/hyperlink" Target="https://doi.org/10.1038/s41586-026-10625-1" TargetMode="External"/><Relationship Id="rId835" Type="http://schemas.openxmlformats.org/officeDocument/2006/relationships/hyperlink" Target="https://www.nature.com/articles/s41467-026-74851-x" TargetMode="External"/><Relationship Id="rId836" Type="http://schemas.openxmlformats.org/officeDocument/2006/relationships/hyperlink" Target="https://www.nature.com/articles/s41467-026-74192-9" TargetMode="External"/><Relationship Id="rId837" Type="http://schemas.openxmlformats.org/officeDocument/2006/relationships/hyperlink" Target="https://www.nature.com/articles/s41467-026-74640-6" TargetMode="External"/><Relationship Id="rId838" Type="http://schemas.openxmlformats.org/officeDocument/2006/relationships/hyperlink" Target="https://onlinelibrary.wiley.com/doi/10.1002/anie.2885584?af=R" TargetMode="External"/><Relationship Id="rId839" Type="http://schemas.openxmlformats.org/officeDocument/2006/relationships/hyperlink" Target="https://doi.org/10.1002/anie.2885584" TargetMode="External"/><Relationship Id="rId840" Type="http://schemas.openxmlformats.org/officeDocument/2006/relationships/hyperlink" Target="https://onlinelibrary.wiley.com/doi/10.1002/anie.1383575?af=R" TargetMode="External"/><Relationship Id="rId841" Type="http://schemas.openxmlformats.org/officeDocument/2006/relationships/hyperlink" Target="https://doi.org/10.1002/anie.1383575" TargetMode="External"/><Relationship Id="rId842" Type="http://schemas.openxmlformats.org/officeDocument/2006/relationships/hyperlink" Target="https://onlinelibrary.wiley.com/doi/10.1002/anie.4417946?af=R" TargetMode="External"/><Relationship Id="rId843" Type="http://schemas.openxmlformats.org/officeDocument/2006/relationships/hyperlink" Target="https://doi.org/10.1002/anie.4417946" TargetMode="External"/><Relationship Id="rId844" Type="http://schemas.openxmlformats.org/officeDocument/2006/relationships/hyperlink" Target="https://www.pnas.org/doi/abs/10.1073/pnas.2615527123?mi=eymic2&amp;af=R&amp;access=on&amp;content=articlesChapters&amp;publication=pnas&amp;sortBy=Earliest&amp;target=default" TargetMode="External"/><Relationship Id="rId845" Type="http://schemas.openxmlformats.org/officeDocument/2006/relationships/hyperlink" Target="https://doi.org/10.1073/pnas.2615527123" TargetMode="External"/><Relationship Id="rId846" Type="http://schemas.openxmlformats.org/officeDocument/2006/relationships/hyperlink" Target="https://www.pnas.org/doi/abs/10.1073/pnas.2614026123?mi=eymic2&amp;af=R&amp;access=on&amp;content=articlesChapters&amp;publication=pnas&amp;sortBy=Earliest&amp;target=default" TargetMode="External"/><Relationship Id="rId847" Type="http://schemas.openxmlformats.org/officeDocument/2006/relationships/hyperlink" Target="https://doi.org/10.1073/pnas.2614026123" TargetMode="External"/><Relationship Id="rId848" Type="http://schemas.openxmlformats.org/officeDocument/2006/relationships/hyperlink" Target="https://www.pnas.org/doi/abs/10.1073/pnas.2610001123?mi=eymic2&amp;af=R&amp;access=on&amp;content=articlesChapters&amp;publication=pnas&amp;sortBy=Earliest&amp;target=default" TargetMode="External"/><Relationship Id="rId849" Type="http://schemas.openxmlformats.org/officeDocument/2006/relationships/hyperlink" Target="https://doi.org/10.1073/pnas.2610001123" TargetMode="External"/><Relationship Id="rId850" Type="http://schemas.openxmlformats.org/officeDocument/2006/relationships/hyperlink" Target="https://www.pnas.org/doi/abs/10.1073/pnas.2607714123?mi=eymic2&amp;af=R&amp;access=on&amp;content=articlesChapters&amp;publication=pnas&amp;sortBy=Earliest&amp;target=default" TargetMode="External"/><Relationship Id="rId851" Type="http://schemas.openxmlformats.org/officeDocument/2006/relationships/hyperlink" Target="https://doi.org/10.1073/pnas.2607714123" TargetMode="External"/><Relationship Id="rId852" Type="http://schemas.openxmlformats.org/officeDocument/2006/relationships/hyperlink" Target="https://www.science.org/doi/abs/10.1126/sciadv.aec8143?af=R" TargetMode="External"/><Relationship Id="rId853" Type="http://schemas.openxmlformats.org/officeDocument/2006/relationships/hyperlink" Target="https://doi.org/10.1126/sciadv.aec8143" TargetMode="External"/><Relationship Id="rId854" Type="http://schemas.openxmlformats.org/officeDocument/2006/relationships/hyperlink" Target="https://www.science.org/doi/abs/10.1126/sciadv.aed2917?af=R" TargetMode="External"/><Relationship Id="rId855" Type="http://schemas.openxmlformats.org/officeDocument/2006/relationships/hyperlink" Target="https://doi.org/10.1126/sciadv.aed2917" TargetMode="External"/><Relationship Id="rId856" Type="http://schemas.openxmlformats.org/officeDocument/2006/relationships/hyperlink" Target="https://www.pnas.org/doi/abs/10.1073/pnas.2618226123?mi=eymic2&amp;af=R&amp;access=on&amp;content=articlesChapters&amp;publication=pnas&amp;sortBy=Earliest&amp;target=default" TargetMode="External"/><Relationship Id="rId857" Type="http://schemas.openxmlformats.org/officeDocument/2006/relationships/hyperlink" Target="https://doi.org/10.1073/pnas.2618226123" TargetMode="External"/><Relationship Id="rId858" Type="http://schemas.openxmlformats.org/officeDocument/2006/relationships/hyperlink" Target="https://www.pnas.org/doi/abs/10.1073/pnas.2604695123?mi=eymic2&amp;af=R&amp;access=on&amp;content=articlesChapters&amp;publication=pnas&amp;sortBy=Earliest&amp;target=default" TargetMode="External"/><Relationship Id="rId859" Type="http://schemas.openxmlformats.org/officeDocument/2006/relationships/hyperlink" Target="https://doi.org/10.1073/pnas.2604695123" TargetMode="External"/><Relationship Id="rId860" Type="http://schemas.openxmlformats.org/officeDocument/2006/relationships/hyperlink" Target="https://www.science.org/doi/abs/10.1126/sciadv.aed8447?af=R" TargetMode="External"/><Relationship Id="rId861" Type="http://schemas.openxmlformats.org/officeDocument/2006/relationships/hyperlink" Target="https://doi.org/10.1126/sciadv.aed8447" TargetMode="External"/><Relationship Id="rId862" Type="http://schemas.openxmlformats.org/officeDocument/2006/relationships/hyperlink" Target="https://www.science.org/doi/abs/10.1126/sciadv.ady0256?af=R" TargetMode="External"/><Relationship Id="rId863" Type="http://schemas.openxmlformats.org/officeDocument/2006/relationships/hyperlink" Target="https://doi.org/10.1126/sciadv.ady0256" TargetMode="External"/><Relationship Id="rId864" Type="http://schemas.openxmlformats.org/officeDocument/2006/relationships/hyperlink" Target="https://www.science.org/doi/abs/10.1126/sciadv.aed5120?af=R" TargetMode="External"/><Relationship Id="rId865" Type="http://schemas.openxmlformats.org/officeDocument/2006/relationships/hyperlink" Target="https://doi.org/10.1126/sciadv.aed5120" TargetMode="External"/><Relationship Id="rId866" Type="http://schemas.openxmlformats.org/officeDocument/2006/relationships/hyperlink" Target="https://www.science.org/doi/abs/10.1126/sciadv.adx5046?af=R" TargetMode="External"/><Relationship Id="rId867" Type="http://schemas.openxmlformats.org/officeDocument/2006/relationships/hyperlink" Target="https://doi.org/10.1126/sciadv.adx5046" TargetMode="External"/><Relationship Id="rId868" Type="http://schemas.openxmlformats.org/officeDocument/2006/relationships/hyperlink" Target="https://www.science.org/doi/abs/10.1126/sciadv.adx0047?af=R" TargetMode="External"/><Relationship Id="rId869" Type="http://schemas.openxmlformats.org/officeDocument/2006/relationships/hyperlink" Target="https://doi.org/10.1126/sciadv.adx0047" TargetMode="External"/><Relationship Id="rId870" Type="http://schemas.openxmlformats.org/officeDocument/2006/relationships/hyperlink" Target="https://www.science.org/doi/abs/10.1126/sciadv.aea8632?af=R" TargetMode="External"/><Relationship Id="rId871" Type="http://schemas.openxmlformats.org/officeDocument/2006/relationships/hyperlink" Target="https://doi.org/10.1126/sciadv.aea8632" TargetMode="External"/><Relationship Id="rId872" Type="http://schemas.openxmlformats.org/officeDocument/2006/relationships/hyperlink" Target="https://www.science.org/doi/abs/10.1126/sciadv.aeb0400?af=R" TargetMode="External"/><Relationship Id="rId873" Type="http://schemas.openxmlformats.org/officeDocument/2006/relationships/hyperlink" Target="https://doi.org/10.1126/sciadv.aeb0400" TargetMode="External"/><Relationship Id="rId874" Type="http://schemas.openxmlformats.org/officeDocument/2006/relationships/hyperlink" Target="https://www.science.org/doi/abs/10.1126/sciadv.aec0059?af=R" TargetMode="External"/><Relationship Id="rId875" Type="http://schemas.openxmlformats.org/officeDocument/2006/relationships/hyperlink" Target="https://doi.org/10.1126/sciadv.aec0059" TargetMode="External"/><Relationship Id="rId876" Type="http://schemas.openxmlformats.org/officeDocument/2006/relationships/hyperlink" Target="https://www.science.org/doi/abs/10.1126/sciadv.aec4754?af=R" TargetMode="External"/><Relationship Id="rId877" Type="http://schemas.openxmlformats.org/officeDocument/2006/relationships/hyperlink" Target="https://doi.org/10.1126/sciadv.aec4754" TargetMode="External"/><Relationship Id="rId878" Type="http://schemas.openxmlformats.org/officeDocument/2006/relationships/hyperlink" Target="https://www.science.org/doi/abs/10.1126/sciadv.aec6309?af=R" TargetMode="External"/><Relationship Id="rId879" Type="http://schemas.openxmlformats.org/officeDocument/2006/relationships/hyperlink" Target="https://doi.org/10.1126/sciadv.aec6309" TargetMode="External"/><Relationship Id="rId880" Type="http://schemas.openxmlformats.org/officeDocument/2006/relationships/hyperlink" Target="https://www.science.org/doi/abs/10.1126/sciadv.aec9837?af=R" TargetMode="External"/><Relationship Id="rId881" Type="http://schemas.openxmlformats.org/officeDocument/2006/relationships/hyperlink" Target="https://doi.org/10.1126/sciadv.aec9837" TargetMode="External"/><Relationship Id="rId882" Type="http://schemas.openxmlformats.org/officeDocument/2006/relationships/hyperlink" Target="https://www.science.org/doi/abs/10.1126/sciadv.aec9891?af=R" TargetMode="External"/><Relationship Id="rId883" Type="http://schemas.openxmlformats.org/officeDocument/2006/relationships/hyperlink" Target="https://doi.org/10.1126/sciadv.aec9891" TargetMode="External"/><Relationship Id="rId884" Type="http://schemas.openxmlformats.org/officeDocument/2006/relationships/hyperlink" Target="https://www.science.org/doi/abs/10.1126/sciadv.aef0121?af=R" TargetMode="External"/><Relationship Id="rId885" Type="http://schemas.openxmlformats.org/officeDocument/2006/relationships/hyperlink" Target="https://doi.org/10.1126/sciadv.aef0121" TargetMode="External"/><Relationship Id="rId886" Type="http://schemas.openxmlformats.org/officeDocument/2006/relationships/hyperlink" Target="https://www.science.org/doi/abs/10.1126/sciadv.aef3512?af=R" TargetMode="External"/><Relationship Id="rId887" Type="http://schemas.openxmlformats.org/officeDocument/2006/relationships/hyperlink" Target="https://doi.org/10.1126/sciadv.aef3512" TargetMode="External"/><Relationship Id="rId888" Type="http://schemas.openxmlformats.org/officeDocument/2006/relationships/hyperlink" Target="https://www.science.org/doi/abs/10.1126/sciadv.aef1896?af=R" TargetMode="External"/><Relationship Id="rId889" Type="http://schemas.openxmlformats.org/officeDocument/2006/relationships/hyperlink" Target="https://doi.org/10.1126/sciadv.aef1896" TargetMode="External"/><Relationship Id="rId890" Type="http://schemas.openxmlformats.org/officeDocument/2006/relationships/hyperlink" Target="https://www.science.org/doi/abs/10.1126/sciadv.aee8506?af=R" TargetMode="External"/><Relationship Id="rId891" Type="http://schemas.openxmlformats.org/officeDocument/2006/relationships/hyperlink" Target="https://doi.org/10.1126/sciadv.aee8506" TargetMode="External"/><Relationship Id="rId892" Type="http://schemas.openxmlformats.org/officeDocument/2006/relationships/hyperlink" Target="https://www.science.org/doi/abs/10.1126/sciadv.aeg9950?af=R" TargetMode="External"/><Relationship Id="rId893" Type="http://schemas.openxmlformats.org/officeDocument/2006/relationships/hyperlink" Target="https://doi.org/10.1126/sciadv.aeg9950" TargetMode="External"/><Relationship Id="rId894" Type="http://schemas.openxmlformats.org/officeDocument/2006/relationships/hyperlink" Target="https://www.science.org/doi/abs/10.1126/sciadv.aef5234?af=R" TargetMode="External"/><Relationship Id="rId895" Type="http://schemas.openxmlformats.org/officeDocument/2006/relationships/hyperlink" Target="https://doi.org/10.1126/sciadv.aef5234" TargetMode="External"/><Relationship Id="rId896" Type="http://schemas.openxmlformats.org/officeDocument/2006/relationships/hyperlink" Target="https://www.pnas.org/doi/abs/10.1073/pnas.2514992123?mi=eymic2&amp;af=R&amp;access=on&amp;content=articlesChapters&amp;publication=pnas&amp;sortBy=Earliest&amp;target=default" TargetMode="External"/><Relationship Id="rId897" Type="http://schemas.openxmlformats.org/officeDocument/2006/relationships/hyperlink" Target="https://doi.org/10.1073/pnas.2514992123" TargetMode="External"/><Relationship Id="rId898" Type="http://schemas.openxmlformats.org/officeDocument/2006/relationships/hyperlink" Target="https://www.pnas.org/doi/abs/10.1073/pnas.2527342123?mi=eymic2&amp;af=R&amp;access=on&amp;content=articlesChapters&amp;publication=pnas&amp;sortBy=Earliest&amp;target=default" TargetMode="External"/><Relationship Id="rId899" Type="http://schemas.openxmlformats.org/officeDocument/2006/relationships/hyperlink" Target="https://doi.org/10.1073/pnas.2527342123" TargetMode="External"/><Relationship Id="rId900" Type="http://schemas.openxmlformats.org/officeDocument/2006/relationships/hyperlink" Target="https://www.pnas.org/doi/abs/10.1073/pnas.2528001123?mi=eymic2&amp;af=R&amp;access=on&amp;content=articlesChapters&amp;publication=pnas&amp;sortBy=Earliest&amp;target=default" TargetMode="External"/><Relationship Id="rId901" Type="http://schemas.openxmlformats.org/officeDocument/2006/relationships/hyperlink" Target="https://doi.org/10.1073/pnas.2528001123" TargetMode="External"/><Relationship Id="rId902" Type="http://schemas.openxmlformats.org/officeDocument/2006/relationships/hyperlink" Target="https://www.pnas.org/doi/abs/10.1073/pnas.2532920123?mi=eymic2&amp;af=R&amp;access=on&amp;content=articlesChapters&amp;publication=pnas&amp;sortBy=Earliest&amp;target=default" TargetMode="External"/><Relationship Id="rId903" Type="http://schemas.openxmlformats.org/officeDocument/2006/relationships/hyperlink" Target="https://doi.org/10.1073/pnas.2532920123" TargetMode="External"/><Relationship Id="rId904" Type="http://schemas.openxmlformats.org/officeDocument/2006/relationships/hyperlink" Target="https://www.pnas.org/doi/abs/10.1073/pnas.2534643123?mi=eymic2&amp;af=R&amp;access=on&amp;content=articlesChapters&amp;publication=pnas&amp;sortBy=Earliest&amp;target=default" TargetMode="External"/><Relationship Id="rId905" Type="http://schemas.openxmlformats.org/officeDocument/2006/relationships/hyperlink" Target="https://doi.org/10.1073/pnas.2534643123" TargetMode="External"/><Relationship Id="rId906" Type="http://schemas.openxmlformats.org/officeDocument/2006/relationships/hyperlink" Target="https://www.pnas.org/doi/abs/10.1073/pnas.2535785123?mi=eymic2&amp;af=R&amp;access=on&amp;content=articlesChapters&amp;publication=pnas&amp;sortBy=Earliest&amp;target=default" TargetMode="External"/><Relationship Id="rId907" Type="http://schemas.openxmlformats.org/officeDocument/2006/relationships/hyperlink" Target="https://doi.org/10.1073/pnas.2535785123" TargetMode="External"/><Relationship Id="rId908" Type="http://schemas.openxmlformats.org/officeDocument/2006/relationships/hyperlink" Target="https://www.pnas.org/doi/abs/10.1073/pnas.2524991123?mi=eymic2&amp;af=R&amp;access=on&amp;content=articlesChapters&amp;publication=pnas&amp;sortBy=Earliest&amp;target=default" TargetMode="External"/><Relationship Id="rId909" Type="http://schemas.openxmlformats.org/officeDocument/2006/relationships/hyperlink" Target="https://doi.org/10.1073/pnas.2524991123" TargetMode="External"/><Relationship Id="rId910" Type="http://schemas.openxmlformats.org/officeDocument/2006/relationships/hyperlink" Target="https://www.pnas.org/doi/abs/10.1073/pnas.2600632123?mi=eymic2&amp;af=R&amp;access=on&amp;content=articlesChapters&amp;publication=pnas&amp;sortBy=Earliest&amp;target=default" TargetMode="External"/><Relationship Id="rId911" Type="http://schemas.openxmlformats.org/officeDocument/2006/relationships/hyperlink" Target="https://doi.org/10.1073/pnas.2600632123" TargetMode="External"/><Relationship Id="rId912" Type="http://schemas.openxmlformats.org/officeDocument/2006/relationships/hyperlink" Target="https://www.pnas.org/doi/abs/10.1073/pnas.2604716123?mi=eymic2&amp;af=R&amp;access=on&amp;content=articlesChapters&amp;publication=pnas&amp;sortBy=Earliest&amp;target=default" TargetMode="External"/><Relationship Id="rId913" Type="http://schemas.openxmlformats.org/officeDocument/2006/relationships/hyperlink" Target="https://doi.org/10.1073/pnas.2604716123" TargetMode="External"/><Relationship Id="rId914" Type="http://schemas.openxmlformats.org/officeDocument/2006/relationships/hyperlink" Target="https://www.science.org/doi/abs/10.1126/sciadv.aec7215?af=R" TargetMode="External"/><Relationship Id="rId915" Type="http://schemas.openxmlformats.org/officeDocument/2006/relationships/hyperlink" Target="https://doi.org/10.1126/sciadv.aec7215" TargetMode="External"/><Relationship Id="rId916" Type="http://schemas.openxmlformats.org/officeDocument/2006/relationships/hyperlink" Target="https://www.science.org/doi/abs/10.1126/sciadv.aee1088?af=R" TargetMode="External"/><Relationship Id="rId917" Type="http://schemas.openxmlformats.org/officeDocument/2006/relationships/hyperlink" Target="https://doi.org/10.1126/sciadv.aee1088" TargetMode="External"/><Relationship Id="rId918" Type="http://schemas.openxmlformats.org/officeDocument/2006/relationships/hyperlink" Target="https://www.pnas.org/doi/abs/10.1073/pnas.2536339123?mi=eymic2&amp;af=R&amp;access=on&amp;content=articlesChapters&amp;publication=pnas&amp;sortBy=Earliest&amp;target=default" TargetMode="External"/><Relationship Id="rId919" Type="http://schemas.openxmlformats.org/officeDocument/2006/relationships/hyperlink" Target="https://doi.org/10.1073/pnas.2536339123" TargetMode="External"/><Relationship Id="rId920" Type="http://schemas.openxmlformats.org/officeDocument/2006/relationships/hyperlink" Target="https://www.science.org/doi/abs/10.1126/sciadv.aee8580?af=R" TargetMode="External"/><Relationship Id="rId921" Type="http://schemas.openxmlformats.org/officeDocument/2006/relationships/hyperlink" Target="https://doi.org/10.1126/sciadv.aee8580" TargetMode="External"/><Relationship Id="rId922" Type="http://schemas.openxmlformats.org/officeDocument/2006/relationships/hyperlink" Target="https://www.science.org/doi/abs/10.1126/sciadv.aed9037?af=R" TargetMode="External"/><Relationship Id="rId923" Type="http://schemas.openxmlformats.org/officeDocument/2006/relationships/hyperlink" Target="https://doi.org/10.1126/sciadv.aed9037" TargetMode="External"/><Relationship Id="rId924" Type="http://schemas.openxmlformats.org/officeDocument/2006/relationships/hyperlink" Target="https://www.science.org/doi/abs/10.1126/sciadv.aed8616?af=R" TargetMode="External"/><Relationship Id="rId925" Type="http://schemas.openxmlformats.org/officeDocument/2006/relationships/hyperlink" Target="https://doi.org/10.1126/sciadv.aed8616" TargetMode="External"/><Relationship Id="rId926" Type="http://schemas.openxmlformats.org/officeDocument/2006/relationships/hyperlink" Target="https://www.science.org/doi/abs/10.1126/sciadv.aeh0883?af=R" TargetMode="External"/><Relationship Id="rId927" Type="http://schemas.openxmlformats.org/officeDocument/2006/relationships/hyperlink" Target="https://doi.org/10.1126/sciadv.aeh0883" TargetMode="External"/><Relationship Id="rId928" Type="http://schemas.openxmlformats.org/officeDocument/2006/relationships/hyperlink" Target="https://www.pnas.org/doi/abs/10.1073/pnas.2601365123?mi=eymic2&amp;af=R&amp;access=on&amp;content=articlesChapters&amp;publication=pnas&amp;sortBy=Earliest&amp;target=default" TargetMode="External"/><Relationship Id="rId929" Type="http://schemas.openxmlformats.org/officeDocument/2006/relationships/hyperlink" Target="https://doi.org/10.1073/pnas.2601365123" TargetMode="External"/><Relationship Id="rId930" Type="http://schemas.openxmlformats.org/officeDocument/2006/relationships/hyperlink" Target="https://www.science.org/doi/abs/10.1126/sciadv.aee0391?af=R" TargetMode="External"/><Relationship Id="rId931" Type="http://schemas.openxmlformats.org/officeDocument/2006/relationships/hyperlink" Target="https://doi.org/10.1126/sciadv.aee0391" TargetMode="External"/><Relationship Id="rId932" Type="http://schemas.openxmlformats.org/officeDocument/2006/relationships/hyperlink" Target="https://www.science.org/doi/abs/10.1126/sciadv.aee3894?af=R" TargetMode="External"/><Relationship Id="rId933" Type="http://schemas.openxmlformats.org/officeDocument/2006/relationships/hyperlink" Target="https://doi.org/10.1126/sciadv.aee3894" TargetMode="External"/><Relationship Id="rId934" Type="http://schemas.openxmlformats.org/officeDocument/2006/relationships/hyperlink" Target="https://www.science.org/doi/abs/10.1126/sciadv.aed8113?af=R" TargetMode="External"/><Relationship Id="rId935" Type="http://schemas.openxmlformats.org/officeDocument/2006/relationships/hyperlink" Target="https://doi.org/10.1126/sciadv.aed8113" TargetMode="External"/><Relationship Id="rId936" Type="http://schemas.openxmlformats.org/officeDocument/2006/relationships/hyperlink" Target="https://www.science.org/doi/abs/10.1126/sciadv.aeg0460?af=R" TargetMode="External"/><Relationship Id="rId937" Type="http://schemas.openxmlformats.org/officeDocument/2006/relationships/hyperlink" Target="https://doi.org/10.1126/sciadv.aeg0460" TargetMode="External"/><Relationship Id="rId938" Type="http://schemas.openxmlformats.org/officeDocument/2006/relationships/hyperlink" Target="https://www.science.org/doi/abs/10.1126/sciadv.aeb5772?af=R" TargetMode="External"/><Relationship Id="rId939" Type="http://schemas.openxmlformats.org/officeDocument/2006/relationships/hyperlink" Target="https://doi.org/10.1126/sciadv.aeb5772" TargetMode="External"/><Relationship Id="rId940" Type="http://schemas.openxmlformats.org/officeDocument/2006/relationships/hyperlink" Target="https://www.science.org/doi/abs/10.1126/sciadv.aee5798?af=R" TargetMode="External"/><Relationship Id="rId941" Type="http://schemas.openxmlformats.org/officeDocument/2006/relationships/hyperlink" Target="https://doi.org/10.1126/sciadv.aee5798" TargetMode="External"/><Relationship Id="rId942" Type="http://schemas.openxmlformats.org/officeDocument/2006/relationships/hyperlink" Target="https://advanced.onlinelibrary.wiley.com/doi/10.1002/adma.73724?af=R" TargetMode="External"/><Relationship Id="rId943" Type="http://schemas.openxmlformats.org/officeDocument/2006/relationships/hyperlink" Target="https://doi.org/10.1002/adma.73724" TargetMode="External"/><Relationship Id="rId944" Type="http://schemas.openxmlformats.org/officeDocument/2006/relationships/hyperlink" Target="http://link.aps.org/doi/10.1103/s9bc-jcs9" TargetMode="External"/><Relationship Id="rId945" Type="http://schemas.openxmlformats.org/officeDocument/2006/relationships/hyperlink" Target="https://doi.org/10.1103/s9bc-jcs9" TargetMode="External"/><Relationship Id="rId946" Type="http://schemas.openxmlformats.org/officeDocument/2006/relationships/hyperlink" Target="http://link.aps.org/doi/10.1103/xtjx-r2lm" TargetMode="External"/><Relationship Id="rId947" Type="http://schemas.openxmlformats.org/officeDocument/2006/relationships/hyperlink" Target="https://doi.org/10.1103/xtjx-r2lm" TargetMode="External"/><Relationship Id="rId948" Type="http://schemas.openxmlformats.org/officeDocument/2006/relationships/hyperlink" Target="http://link.aps.org/doi/10.1103/crdw-pxcs" TargetMode="External"/><Relationship Id="rId949" Type="http://schemas.openxmlformats.org/officeDocument/2006/relationships/hyperlink" Target="https://doi.org/10.1103/crdw-pxcs" TargetMode="External"/><Relationship Id="rId950" Type="http://schemas.openxmlformats.org/officeDocument/2006/relationships/hyperlink" Target="http://link.aps.org/doi/10.1103/mx51-8hbw" TargetMode="External"/><Relationship Id="rId951" Type="http://schemas.openxmlformats.org/officeDocument/2006/relationships/hyperlink" Target="https://doi.org/10.1103/mx51-8hbw" TargetMode="External"/><Relationship Id="rId952" Type="http://schemas.openxmlformats.org/officeDocument/2006/relationships/hyperlink" Target="http://link.aps.org/doi/10.1103/z1hs-ydjc" TargetMode="External"/><Relationship Id="rId953" Type="http://schemas.openxmlformats.org/officeDocument/2006/relationships/hyperlink" Target="https://doi.org/10.1103/z1hs-ydjc" TargetMode="External"/><Relationship Id="rId954" Type="http://schemas.openxmlformats.org/officeDocument/2006/relationships/hyperlink" Target="http://link.aps.org/doi/10.1103/62jn-xgqy" TargetMode="External"/><Relationship Id="rId955" Type="http://schemas.openxmlformats.org/officeDocument/2006/relationships/hyperlink" Target="https://doi.org/10.1103/62jn-xgqy" TargetMode="External"/><Relationship Id="rId956" Type="http://schemas.openxmlformats.org/officeDocument/2006/relationships/hyperlink" Target="http://link.aps.org/doi/10.1103/nlq9-2g37" TargetMode="External"/><Relationship Id="rId957" Type="http://schemas.openxmlformats.org/officeDocument/2006/relationships/hyperlink" Target="https://doi.org/10.1103/nlq9-2g37" TargetMode="External"/><Relationship Id="rId958" Type="http://schemas.openxmlformats.org/officeDocument/2006/relationships/hyperlink" Target="http://link.aps.org/doi/10.1103/bbn3-bzs3" TargetMode="External"/><Relationship Id="rId959" Type="http://schemas.openxmlformats.org/officeDocument/2006/relationships/hyperlink" Target="https://doi.org/10.1103/bbn3-bzs3" TargetMode="External"/><Relationship Id="rId960" Type="http://schemas.openxmlformats.org/officeDocument/2006/relationships/hyperlink" Target="http://link.aps.org/doi/10.1103/98j3-424f" TargetMode="External"/><Relationship Id="rId961" Type="http://schemas.openxmlformats.org/officeDocument/2006/relationships/hyperlink" Target="https://doi.org/10.1103/98j3-424f" TargetMode="External"/><Relationship Id="rId962" Type="http://schemas.openxmlformats.org/officeDocument/2006/relationships/hyperlink" Target="http://link.aps.org/doi/10.1103/jxcl-q2vt" TargetMode="External"/><Relationship Id="rId963" Type="http://schemas.openxmlformats.org/officeDocument/2006/relationships/hyperlink" Target="https://doi.org/10.1103/jxcl-q2vt" TargetMode="External"/><Relationship Id="rId964" Type="http://schemas.openxmlformats.org/officeDocument/2006/relationships/hyperlink" Target="http://link.aps.org/doi/10.1103/22h2-jxh4" TargetMode="External"/><Relationship Id="rId965" Type="http://schemas.openxmlformats.org/officeDocument/2006/relationships/hyperlink" Target="https://doi.org/10.1103/22h2-jxh4" TargetMode="External"/><Relationship Id="rId966" Type="http://schemas.openxmlformats.org/officeDocument/2006/relationships/hyperlink" Target="http://link.aps.org/doi/10.1103/zqnh-tb1d" TargetMode="External"/><Relationship Id="rId967" Type="http://schemas.openxmlformats.org/officeDocument/2006/relationships/hyperlink" Target="https://doi.org/10.1103/zqnh-tb1d" TargetMode="External"/><Relationship Id="rId968" Type="http://schemas.openxmlformats.org/officeDocument/2006/relationships/hyperlink" Target="http://link.aps.org/doi/10.1103/xl8y-dg4k" TargetMode="External"/><Relationship Id="rId969" Type="http://schemas.openxmlformats.org/officeDocument/2006/relationships/hyperlink" Target="https://doi.org/10.1103/xl8y-dg4k" TargetMode="External"/><Relationship Id="rId970" Type="http://schemas.openxmlformats.org/officeDocument/2006/relationships/hyperlink" Target="http://link.aps.org/doi/10.1103/nyy3-h8wr" TargetMode="External"/><Relationship Id="rId971" Type="http://schemas.openxmlformats.org/officeDocument/2006/relationships/hyperlink" Target="https://doi.org/10.1103/nyy3-h8wr" TargetMode="External"/><Relationship Id="rId972" Type="http://schemas.openxmlformats.org/officeDocument/2006/relationships/hyperlink" Target="http://link.aps.org/doi/10.1103/g8zx-gc2t" TargetMode="External"/><Relationship Id="rId973" Type="http://schemas.openxmlformats.org/officeDocument/2006/relationships/hyperlink" Target="https://doi.org/10.1103/g8zx-gc2t" TargetMode="External"/><Relationship Id="rId974" Type="http://schemas.openxmlformats.org/officeDocument/2006/relationships/hyperlink" Target="http://link.aps.org/doi/10.1103/vhv1-pz6q" TargetMode="External"/><Relationship Id="rId975" Type="http://schemas.openxmlformats.org/officeDocument/2006/relationships/hyperlink" Target="https://doi.org/10.1103/vhv1-pz6q" TargetMode="External"/><Relationship Id="rId976" Type="http://schemas.openxmlformats.org/officeDocument/2006/relationships/hyperlink" Target="http://link.aps.org/doi/10.1103/kh36-7z76" TargetMode="External"/><Relationship Id="rId977" Type="http://schemas.openxmlformats.org/officeDocument/2006/relationships/hyperlink" Target="https://doi.org/10.1103/kh36-7z76" TargetMode="External"/><Relationship Id="rId978" Type="http://schemas.openxmlformats.org/officeDocument/2006/relationships/hyperlink" Target="http://link.aps.org/doi/10.1103/bd56-93q6" TargetMode="External"/><Relationship Id="rId979" Type="http://schemas.openxmlformats.org/officeDocument/2006/relationships/hyperlink" Target="https://doi.org/10.1103/bd56-93q6" TargetMode="External"/><Relationship Id="rId980" Type="http://schemas.openxmlformats.org/officeDocument/2006/relationships/hyperlink" Target="http://link.aps.org/doi/10.1103/3c1r-v8f1" TargetMode="External"/><Relationship Id="rId981" Type="http://schemas.openxmlformats.org/officeDocument/2006/relationships/hyperlink" Target="https://doi.org/10.1103/3c1r-v8f1" TargetMode="External"/><Relationship Id="rId982" Type="http://schemas.openxmlformats.org/officeDocument/2006/relationships/hyperlink" Target="http://link.aps.org/doi/10.1103/vnbs-r69s" TargetMode="External"/><Relationship Id="rId983" Type="http://schemas.openxmlformats.org/officeDocument/2006/relationships/hyperlink" Target="https://doi.org/10.1103/vnbs-r69s" TargetMode="External"/><Relationship Id="rId984" Type="http://schemas.openxmlformats.org/officeDocument/2006/relationships/hyperlink" Target="http://link.aps.org/doi/10.1103/t6jg-z17r" TargetMode="External"/><Relationship Id="rId985" Type="http://schemas.openxmlformats.org/officeDocument/2006/relationships/hyperlink" Target="https://doi.org/10.1103/t6jg-z17r" TargetMode="External"/><Relationship Id="rId986" Type="http://schemas.openxmlformats.org/officeDocument/2006/relationships/hyperlink" Target="http://link.aps.org/doi/10.1103/7zjr-l5p8" TargetMode="External"/><Relationship Id="rId987" Type="http://schemas.openxmlformats.org/officeDocument/2006/relationships/hyperlink" Target="https://doi.org/10.1103/7zjr-l5p8" TargetMode="External"/><Relationship Id="rId988" Type="http://schemas.openxmlformats.org/officeDocument/2006/relationships/hyperlink" Target="https://onlinelibrary.wiley.com/doi/10.1002/anie.8144140?af=R" TargetMode="External"/><Relationship Id="rId989" Type="http://schemas.openxmlformats.org/officeDocument/2006/relationships/hyperlink" Target="https://doi.org/10.1002/anie.8144140" TargetMode="External"/><Relationship Id="rId990" Type="http://schemas.openxmlformats.org/officeDocument/2006/relationships/hyperlink" Target="https://onlinelibrary.wiley.com/doi/10.1002/anie.8733637?af=R" TargetMode="External"/><Relationship Id="rId991" Type="http://schemas.openxmlformats.org/officeDocument/2006/relationships/hyperlink" Target="https://doi.org/10.1002/anie.8733637" TargetMode="External"/><Relationship Id="rId992" Type="http://schemas.openxmlformats.org/officeDocument/2006/relationships/hyperlink" Target="https://onlinelibrary.wiley.com/doi/10.1002/anie.5692086?af=R" TargetMode="External"/><Relationship Id="rId993" Type="http://schemas.openxmlformats.org/officeDocument/2006/relationships/hyperlink" Target="https://doi.org/10.1002/anie.5692086" TargetMode="External"/><Relationship Id="rId994" Type="http://schemas.openxmlformats.org/officeDocument/2006/relationships/hyperlink" Target="http://ieeexplore.ieee.org/document/11578155" TargetMode="External"/><Relationship Id="rId995" Type="http://schemas.openxmlformats.org/officeDocument/2006/relationships/hyperlink" Target="https://onlinelibrary.wiley.com/doi/10.1002/anie.6632525?af=R" TargetMode="External"/><Relationship Id="rId996" Type="http://schemas.openxmlformats.org/officeDocument/2006/relationships/hyperlink" Target="https://doi.org/10.1002/anie.6632525" TargetMode="External"/><Relationship Id="rId997" Type="http://schemas.openxmlformats.org/officeDocument/2006/relationships/hyperlink" Target="https://www.nature.com/articles/s41557-026-02181-y" TargetMode="External"/><Relationship Id="rId998" Type="http://schemas.openxmlformats.org/officeDocument/2006/relationships/hyperlink" Target="https://doi.org/10.1038/s41557-026-02181-y" TargetMode="External"/><Relationship Id="rId999" Type="http://schemas.openxmlformats.org/officeDocument/2006/relationships/hyperlink" Target="https://www.nature.com/articles/s41565-026-02215-z" TargetMode="External"/><Relationship Id="rId1000" Type="http://schemas.openxmlformats.org/officeDocument/2006/relationships/hyperlink" Target="https://doi.org/10.1038/s41565-026-02215-z" TargetMode="External"/><Relationship Id="rId1001" Type="http://schemas.openxmlformats.org/officeDocument/2006/relationships/hyperlink" Target="https://academic.oup.com/nsr/advance-article/doi/10.1093/nsr/nwag380/8716371?rss=1" TargetMode="External"/><Relationship Id="rId1002" Type="http://schemas.openxmlformats.org/officeDocument/2006/relationships/hyperlink" Target="https://doi.org/10.1093/nsr/nwag380" TargetMode="External"/><Relationship Id="rId1003" Type="http://schemas.openxmlformats.org/officeDocument/2006/relationships/hyperlink" Target="https://www.nature.com/articles/s41586-026-10829-5" TargetMode="External"/><Relationship Id="rId1004" Type="http://schemas.openxmlformats.org/officeDocument/2006/relationships/hyperlink" Target="https://doi.org/10.1038/s41586-026-10829-5" TargetMode="External"/><Relationship Id="rId1005" Type="http://schemas.openxmlformats.org/officeDocument/2006/relationships/hyperlink" Target="https://www.nature.com/articles/s41557-026-02189-4" TargetMode="External"/><Relationship Id="rId1006" Type="http://schemas.openxmlformats.org/officeDocument/2006/relationships/hyperlink" Target="https://doi.org/10.1038/s41557-026-02189-4" TargetMode="External"/><Relationship Id="rId1007" Type="http://schemas.openxmlformats.org/officeDocument/2006/relationships/hyperlink" Target="https://academic.oup.com/nsr/advance-article/doi/10.1093/nsr/nwag391/8716367?rss=1" TargetMode="External"/><Relationship Id="rId1008" Type="http://schemas.openxmlformats.org/officeDocument/2006/relationships/hyperlink" Target="https://doi.org/10.1093/nsr/nwag391" TargetMode="External"/><Relationship Id="rId1009" Type="http://schemas.openxmlformats.org/officeDocument/2006/relationships/hyperlink" Target="https://www.nature.com/articles/d41586-026-02027-0" TargetMode="External"/><Relationship Id="rId1010" Type="http://schemas.openxmlformats.org/officeDocument/2006/relationships/hyperlink" Target="https://doi.org/10.1038/d41586-026-02027-0" TargetMode="External"/><Relationship Id="rId1011" Type="http://schemas.openxmlformats.org/officeDocument/2006/relationships/hyperlink" Target="https://www.nature.com/articles/d41586-026-01899-6" TargetMode="External"/><Relationship Id="rId1012" Type="http://schemas.openxmlformats.org/officeDocument/2006/relationships/hyperlink" Target="https://doi.org/10.1038/d41586-026-01899-6" TargetMode="External"/><Relationship Id="rId1013" Type="http://schemas.openxmlformats.org/officeDocument/2006/relationships/hyperlink" Target="https://www.nature.com/articles/d41586-026-02036-z" TargetMode="External"/><Relationship Id="rId1014" Type="http://schemas.openxmlformats.org/officeDocument/2006/relationships/hyperlink" Target="https://doi.org/10.1038/d41586-026-02036-z" TargetMode="External"/><Relationship Id="rId1015" Type="http://schemas.openxmlformats.org/officeDocument/2006/relationships/hyperlink" Target="https://www.nature.com/articles/d41586-026-02047-w" TargetMode="External"/><Relationship Id="rId1016" Type="http://schemas.openxmlformats.org/officeDocument/2006/relationships/hyperlink" Target="https://doi.org/10.1038/d41586-026-02047-w" TargetMode="External"/><Relationship Id="rId1017" Type="http://schemas.openxmlformats.org/officeDocument/2006/relationships/hyperlink" Target="https://www.nature.com/articles/s41557-026-02194-7" TargetMode="External"/><Relationship Id="rId1018" Type="http://schemas.openxmlformats.org/officeDocument/2006/relationships/hyperlink" Target="https://doi.org/10.1038/s41557-026-02194-7" TargetMode="External"/><Relationship Id="rId1019" Type="http://schemas.openxmlformats.org/officeDocument/2006/relationships/hyperlink" Target="https://academic.oup.com/nsr/advance-article/doi/10.1093/nsr/nwag390/8716361?rss=1" TargetMode="External"/><Relationship Id="rId1020" Type="http://schemas.openxmlformats.org/officeDocument/2006/relationships/hyperlink" Target="https://doi.org/10.1093/nsr/nwag390" TargetMode="External"/><Relationship Id="rId1021" Type="http://schemas.openxmlformats.org/officeDocument/2006/relationships/hyperlink" Target="https://www.nature.com/articles/s41563-026-02639-x" TargetMode="External"/><Relationship Id="rId1022" Type="http://schemas.openxmlformats.org/officeDocument/2006/relationships/hyperlink" Target="https://doi.org/10.1038/s41563-026-02639-x" TargetMode="External"/><Relationship Id="rId1023" Type="http://schemas.openxmlformats.org/officeDocument/2006/relationships/hyperlink" Target="https://www.nature.com/articles/s41586-026-10826-8" TargetMode="External"/><Relationship Id="rId1024" Type="http://schemas.openxmlformats.org/officeDocument/2006/relationships/hyperlink" Target="https://doi.org/10.1038/s41586-026-10826-8" TargetMode="External"/><Relationship Id="rId1025" Type="http://schemas.openxmlformats.org/officeDocument/2006/relationships/hyperlink" Target="https://www.nature.com/articles/s41586-026-10792-1" TargetMode="External"/><Relationship Id="rId1026" Type="http://schemas.openxmlformats.org/officeDocument/2006/relationships/hyperlink" Target="https://doi.org/10.1038/s41586-026-10792-1" TargetMode="External"/><Relationship Id="rId1027" Type="http://schemas.openxmlformats.org/officeDocument/2006/relationships/hyperlink" Target="https://www.nature.com/articles/d41586-026-01994-8" TargetMode="External"/><Relationship Id="rId1028" Type="http://schemas.openxmlformats.org/officeDocument/2006/relationships/hyperlink" Target="https://doi.org/10.1038/d41586-026-01994-8" TargetMode="External"/><Relationship Id="rId1029" Type="http://schemas.openxmlformats.org/officeDocument/2006/relationships/hyperlink" Target="https://www.nature.com/articles/d41586-026-02028-z" TargetMode="External"/><Relationship Id="rId1030" Type="http://schemas.openxmlformats.org/officeDocument/2006/relationships/hyperlink" Target="https://doi.org/10.1038/d41586-026-02028-z" TargetMode="External"/><Relationship Id="rId1031" Type="http://schemas.openxmlformats.org/officeDocument/2006/relationships/hyperlink" Target="https://www.nature.com/articles/d41586-026-01978-8" TargetMode="External"/><Relationship Id="rId1032" Type="http://schemas.openxmlformats.org/officeDocument/2006/relationships/hyperlink" Target="https://doi.org/10.1038/d41586-026-01978-8" TargetMode="External"/><Relationship Id="rId1033" Type="http://schemas.openxmlformats.org/officeDocument/2006/relationships/hyperlink" Target="https://www.science.org/doi/abs/10.1126/science.aej9810?af=R" TargetMode="External"/><Relationship Id="rId1034" Type="http://schemas.openxmlformats.org/officeDocument/2006/relationships/hyperlink" Target="https://doi.org/10.1126/science.aej9810" TargetMode="External"/><Relationship Id="rId1035" Type="http://schemas.openxmlformats.org/officeDocument/2006/relationships/hyperlink" Target="https://www.science.org/doi/abs/10.1126/science.aei7111?af=R" TargetMode="External"/><Relationship Id="rId1036" Type="http://schemas.openxmlformats.org/officeDocument/2006/relationships/hyperlink" Target="https://doi.org/10.1126/science.aei7111" TargetMode="External"/><Relationship Id="rId1037" Type="http://schemas.openxmlformats.org/officeDocument/2006/relationships/hyperlink" Target="https://www.science.org/doi/abs/10.1126/science.aei7140?af=R" TargetMode="External"/><Relationship Id="rId1038" Type="http://schemas.openxmlformats.org/officeDocument/2006/relationships/hyperlink" Target="https://doi.org/10.1126/science.aei7140" TargetMode="External"/><Relationship Id="rId1039" Type="http://schemas.openxmlformats.org/officeDocument/2006/relationships/hyperlink" Target="https://www.science.org/doi/abs/10.1126/science.aej9809?af=R" TargetMode="External"/><Relationship Id="rId1040" Type="http://schemas.openxmlformats.org/officeDocument/2006/relationships/hyperlink" Target="https://doi.org/10.1126/science.aej9809" TargetMode="External"/><Relationship Id="rId1041" Type="http://schemas.openxmlformats.org/officeDocument/2006/relationships/hyperlink" Target="https://www.science.org/doi/abs/10.1126/science.aej9811?af=R" TargetMode="External"/><Relationship Id="rId1042" Type="http://schemas.openxmlformats.org/officeDocument/2006/relationships/hyperlink" Target="https://doi.org/10.1126/science.aej9811" TargetMode="External"/><Relationship Id="rId1043" Type="http://schemas.openxmlformats.org/officeDocument/2006/relationships/hyperlink" Target="https://www.science.org/doi/abs/10.1126/science.aei6085?af=R" TargetMode="External"/><Relationship Id="rId1044" Type="http://schemas.openxmlformats.org/officeDocument/2006/relationships/hyperlink" Target="https://doi.org/10.1126/science.aei6085" TargetMode="External"/><Relationship Id="rId1045" Type="http://schemas.openxmlformats.org/officeDocument/2006/relationships/hyperlink" Target="https://www.science.org/doi/abs/10.1126/science.aej9814?af=R" TargetMode="External"/><Relationship Id="rId1046" Type="http://schemas.openxmlformats.org/officeDocument/2006/relationships/hyperlink" Target="https://doi.org/10.1126/science.aej9814" TargetMode="External"/><Relationship Id="rId1047" Type="http://schemas.openxmlformats.org/officeDocument/2006/relationships/hyperlink" Target="https://www.science.org/doi/abs/10.1126/science.aej9812?af=R" TargetMode="External"/><Relationship Id="rId1048" Type="http://schemas.openxmlformats.org/officeDocument/2006/relationships/hyperlink" Target="https://doi.org/10.1126/science.aej9812" TargetMode="External"/><Relationship Id="rId1049" Type="http://schemas.openxmlformats.org/officeDocument/2006/relationships/hyperlink" Target="https://www.science.org/doi/abs/10.1126/science.aej9372?af=R" TargetMode="External"/><Relationship Id="rId1050" Type="http://schemas.openxmlformats.org/officeDocument/2006/relationships/hyperlink" Target="https://doi.org/10.1126/science.aej9372" TargetMode="External"/><Relationship Id="rId1051" Type="http://schemas.openxmlformats.org/officeDocument/2006/relationships/hyperlink" Target="https://www.science.org/doi/abs/10.1126/science.aej8205?af=R" TargetMode="External"/><Relationship Id="rId1052" Type="http://schemas.openxmlformats.org/officeDocument/2006/relationships/hyperlink" Target="https://doi.org/10.1126/science.aej8205" TargetMode="External"/><Relationship Id="rId1053" Type="http://schemas.openxmlformats.org/officeDocument/2006/relationships/hyperlink" Target="https://www.science.org/doi/abs/10.1126/science.aej9392?af=R" TargetMode="External"/><Relationship Id="rId1054" Type="http://schemas.openxmlformats.org/officeDocument/2006/relationships/hyperlink" Target="https://doi.org/10.1126/science.aej9392" TargetMode="External"/><Relationship Id="rId1055" Type="http://schemas.openxmlformats.org/officeDocument/2006/relationships/hyperlink" Target="https://www.science.org/doi/abs/10.1126/science.aej9813?af=R" TargetMode="External"/><Relationship Id="rId1056" Type="http://schemas.openxmlformats.org/officeDocument/2006/relationships/hyperlink" Target="https://doi.org/10.1126/science.aej9813" TargetMode="External"/><Relationship Id="rId1057" Type="http://schemas.openxmlformats.org/officeDocument/2006/relationships/hyperlink" Target="https://www.science.org/doi/abs/10.1126/science.ads0532?af=R" TargetMode="External"/><Relationship Id="rId1058" Type="http://schemas.openxmlformats.org/officeDocument/2006/relationships/hyperlink" Target="https://doi.org/10.1126/science.ads0532" TargetMode="External"/><Relationship Id="rId1059" Type="http://schemas.openxmlformats.org/officeDocument/2006/relationships/hyperlink" Target="https://www.science.org/doi/abs/10.1126/science.aei9819?af=R" TargetMode="External"/><Relationship Id="rId1060" Type="http://schemas.openxmlformats.org/officeDocument/2006/relationships/hyperlink" Target="https://doi.org/10.1126/science.aei9819" TargetMode="External"/><Relationship Id="rId1061" Type="http://schemas.openxmlformats.org/officeDocument/2006/relationships/hyperlink" Target="https://www.science.org/doi/abs/10.1126/science.aei0476?af=R" TargetMode="External"/><Relationship Id="rId1062" Type="http://schemas.openxmlformats.org/officeDocument/2006/relationships/hyperlink" Target="https://doi.org/10.1126/science.aei0476" TargetMode="External"/><Relationship Id="rId1063" Type="http://schemas.openxmlformats.org/officeDocument/2006/relationships/hyperlink" Target="https://www.science.org/doi/abs/10.1126/science.adp4440?af=R" TargetMode="External"/><Relationship Id="rId1064" Type="http://schemas.openxmlformats.org/officeDocument/2006/relationships/hyperlink" Target="https://doi.org/10.1126/science.adp4440" TargetMode="External"/><Relationship Id="rId1065" Type="http://schemas.openxmlformats.org/officeDocument/2006/relationships/hyperlink" Target="https://www.science.org/doi/abs/10.1126/science.aei4132?af=R" TargetMode="External"/><Relationship Id="rId1066" Type="http://schemas.openxmlformats.org/officeDocument/2006/relationships/hyperlink" Target="https://doi.org/10.1126/science.aei4132" TargetMode="External"/><Relationship Id="rId1067" Type="http://schemas.openxmlformats.org/officeDocument/2006/relationships/hyperlink" Target="https://www.science.org/doi/abs/10.1126/science.aej9374?af=R" TargetMode="External"/><Relationship Id="rId1068" Type="http://schemas.openxmlformats.org/officeDocument/2006/relationships/hyperlink" Target="https://doi.org/10.1126/science.aej9374" TargetMode="External"/><Relationship Id="rId1069" Type="http://schemas.openxmlformats.org/officeDocument/2006/relationships/hyperlink" Target="https://www.science.org/doi/abs/10.1126/science.adw9457?af=R" TargetMode="External"/><Relationship Id="rId1070" Type="http://schemas.openxmlformats.org/officeDocument/2006/relationships/hyperlink" Target="https://doi.org/10.1126/science.adw9457" TargetMode="External"/><Relationship Id="rId1071" Type="http://schemas.openxmlformats.org/officeDocument/2006/relationships/hyperlink" Target="https://www.science.org/doi/abs/10.1126/science.aej9373?af=R" TargetMode="External"/><Relationship Id="rId1072" Type="http://schemas.openxmlformats.org/officeDocument/2006/relationships/hyperlink" Target="https://doi.org/10.1126/science.aej9373" TargetMode="External"/><Relationship Id="rId1073" Type="http://schemas.openxmlformats.org/officeDocument/2006/relationships/hyperlink" Target="https://www.science.org/doi/abs/10.1126/science.aeb4938?af=R" TargetMode="External"/><Relationship Id="rId1074" Type="http://schemas.openxmlformats.org/officeDocument/2006/relationships/hyperlink" Target="https://doi.org/10.1126/science.aeb4938" TargetMode="External"/><Relationship Id="rId1075" Type="http://schemas.openxmlformats.org/officeDocument/2006/relationships/hyperlink" Target="https://www.science.org/doi/abs/10.1126/science.aeg5014?af=R" TargetMode="External"/><Relationship Id="rId1076" Type="http://schemas.openxmlformats.org/officeDocument/2006/relationships/hyperlink" Target="https://doi.org/10.1126/science.aeg5014" TargetMode="External"/><Relationship Id="rId1077" Type="http://schemas.openxmlformats.org/officeDocument/2006/relationships/hyperlink" Target="https://www.science.org/doi/abs/10.1126/science.ady3911?af=R" TargetMode="External"/><Relationship Id="rId1078" Type="http://schemas.openxmlformats.org/officeDocument/2006/relationships/hyperlink" Target="https://doi.org/10.1126/science.ady3911" TargetMode="External"/><Relationship Id="rId1079" Type="http://schemas.openxmlformats.org/officeDocument/2006/relationships/hyperlink" Target="https://www.science.org/doi/abs/10.1126/science.aeb5402?af=R" TargetMode="External"/><Relationship Id="rId1080" Type="http://schemas.openxmlformats.org/officeDocument/2006/relationships/hyperlink" Target="https://doi.org/10.1126/science.aeb5402" TargetMode="External"/><Relationship Id="rId1081" Type="http://schemas.openxmlformats.org/officeDocument/2006/relationships/hyperlink" Target="https://www.science.org/doi/abs/10.1126/science.adz3624?af=R" TargetMode="External"/><Relationship Id="rId1082" Type="http://schemas.openxmlformats.org/officeDocument/2006/relationships/hyperlink" Target="https://doi.org/10.1126/science.adz3624" TargetMode="External"/><Relationship Id="rId1083" Type="http://schemas.openxmlformats.org/officeDocument/2006/relationships/hyperlink" Target="https://www.science.org/doi/abs/10.1126/science.aef4958?af=R" TargetMode="External"/><Relationship Id="rId1084" Type="http://schemas.openxmlformats.org/officeDocument/2006/relationships/hyperlink" Target="https://doi.org/10.1126/science.aef4958" TargetMode="External"/><Relationship Id="rId1085" Type="http://schemas.openxmlformats.org/officeDocument/2006/relationships/hyperlink" Target="https://www.science.org/doi/abs/10.1126/science.aei7838?af=R" TargetMode="External"/><Relationship Id="rId1086" Type="http://schemas.openxmlformats.org/officeDocument/2006/relationships/hyperlink" Target="https://doi.org/10.1126/science.aei7838" TargetMode="External"/><Relationship Id="rId1087" Type="http://schemas.openxmlformats.org/officeDocument/2006/relationships/hyperlink" Target="https://www.science.org/doi/abs/10.1126/science.aed3823?af=R" TargetMode="External"/><Relationship Id="rId1088" Type="http://schemas.openxmlformats.org/officeDocument/2006/relationships/hyperlink" Target="https://doi.org/10.1126/science.aed3823" TargetMode="External"/><Relationship Id="rId1089" Type="http://schemas.openxmlformats.org/officeDocument/2006/relationships/hyperlink" Target="https://www.science.org/doi/abs/10.1126/science.aeb3900?af=R" TargetMode="External"/><Relationship Id="rId1090" Type="http://schemas.openxmlformats.org/officeDocument/2006/relationships/hyperlink" Target="https://doi.org/10.1126/science.aeb3900" TargetMode="External"/><Relationship Id="rId1091" Type="http://schemas.openxmlformats.org/officeDocument/2006/relationships/hyperlink" Target="https://www.science.org/doi/abs/10.1126/science.adz8141?af=R" TargetMode="External"/><Relationship Id="rId1092" Type="http://schemas.openxmlformats.org/officeDocument/2006/relationships/hyperlink" Target="https://doi.org/10.1126/science.adz8141" TargetMode="External"/><Relationship Id="rId1093" Type="http://schemas.openxmlformats.org/officeDocument/2006/relationships/hyperlink" Target="https://www.science.org/doi/abs/10.1126/science.adz3996?af=R" TargetMode="External"/><Relationship Id="rId1094" Type="http://schemas.openxmlformats.org/officeDocument/2006/relationships/hyperlink" Target="https://doi.org/10.1126/science.adz3996" TargetMode="External"/><Relationship Id="rId1095" Type="http://schemas.openxmlformats.org/officeDocument/2006/relationships/hyperlink" Target="https://www.pnas.org/doi/abs/10.1073/pnas.2535682123?mi=eymic2&amp;af=R&amp;access=on&amp;content=articlesChapters&amp;publication=pnas&amp;sortBy=Earliest&amp;target=default" TargetMode="External"/><Relationship Id="rId1096" Type="http://schemas.openxmlformats.org/officeDocument/2006/relationships/hyperlink" Target="https://doi.org/10.1073/pnas.2535682123" TargetMode="External"/><Relationship Id="rId1097" Type="http://schemas.openxmlformats.org/officeDocument/2006/relationships/hyperlink" Target="https://www.pnas.org/doi/abs/10.1073/pnas.2535447123?mi=eymic2&amp;af=R&amp;access=on&amp;content=articlesChapters&amp;publication=pnas&amp;sortBy=Earliest&amp;target=default" TargetMode="External"/><Relationship Id="rId1098" Type="http://schemas.openxmlformats.org/officeDocument/2006/relationships/hyperlink" Target="https://doi.org/10.1073/pnas.2535447123" TargetMode="External"/><Relationship Id="rId1099" Type="http://schemas.openxmlformats.org/officeDocument/2006/relationships/hyperlink" Target="https://www.pnas.org/doi/abs/10.1073/pnas.2601074123?mi=eymic2&amp;af=R&amp;access=on&amp;content=articlesChapters&amp;publication=pnas&amp;sortBy=Earliest&amp;target=default" TargetMode="External"/><Relationship Id="rId1100" Type="http://schemas.openxmlformats.org/officeDocument/2006/relationships/hyperlink" Target="https://doi.org/10.1073/pnas.2601074123" TargetMode="External"/><Relationship Id="rId1101" Type="http://schemas.openxmlformats.org/officeDocument/2006/relationships/hyperlink" Target="https://www.science.org/doi/abs/10.1126/science.adw3949?af=R" TargetMode="External"/><Relationship Id="rId1102" Type="http://schemas.openxmlformats.org/officeDocument/2006/relationships/hyperlink" Target="https://doi.org/10.1126/science.adw3949" TargetMode="External"/><Relationship Id="rId1103" Type="http://schemas.openxmlformats.org/officeDocument/2006/relationships/hyperlink" Target="https://www.pnas.org/doi/abs/10.1073/pnas.2536040123?mi=eymic2&amp;af=R&amp;access=on&amp;content=articlesChapters&amp;publication=pnas&amp;sortBy=Earliest&amp;target=default" TargetMode="External"/><Relationship Id="rId1104" Type="http://schemas.openxmlformats.org/officeDocument/2006/relationships/hyperlink" Target="https://doi.org/10.1073/pnas.2536040123" TargetMode="External"/><Relationship Id="rId1105" Type="http://schemas.openxmlformats.org/officeDocument/2006/relationships/hyperlink" Target="https://www.pnas.org/doi/abs/10.1073/pnas.2529430123?mi=eymic2&amp;af=R&amp;access=on&amp;content=articlesChapters&amp;publication=pnas&amp;sortBy=Earliest&amp;target=default" TargetMode="External"/><Relationship Id="rId1106" Type="http://schemas.openxmlformats.org/officeDocument/2006/relationships/hyperlink" Target="https://doi.org/10.1073/pnas.2529430123" TargetMode="External"/><Relationship Id="rId1107" Type="http://schemas.openxmlformats.org/officeDocument/2006/relationships/hyperlink" Target="https://www.science.org/doi/abs/10.1126/science.aej5835?af=R" TargetMode="External"/><Relationship Id="rId1108" Type="http://schemas.openxmlformats.org/officeDocument/2006/relationships/hyperlink" Target="https://doi.org/10.1126/science.aej5835" TargetMode="External"/><Relationship Id="rId1109" Type="http://schemas.openxmlformats.org/officeDocument/2006/relationships/hyperlink" Target="https://www.science.org/doi/abs/10.1126/science.adx3972?af=R" TargetMode="External"/><Relationship Id="rId1110" Type="http://schemas.openxmlformats.org/officeDocument/2006/relationships/hyperlink" Target="https://doi.org/10.1126/science.adx3972" TargetMode="External"/><Relationship Id="rId1111" Type="http://schemas.openxmlformats.org/officeDocument/2006/relationships/hyperlink" Target="http://link.aps.org/doi/10.1103/v6pf-rgv8" TargetMode="External"/><Relationship Id="rId1112" Type="http://schemas.openxmlformats.org/officeDocument/2006/relationships/hyperlink" Target="https://doi.org/10.1103/v6pf-rgv8" TargetMode="External"/><Relationship Id="rId1113" Type="http://schemas.openxmlformats.org/officeDocument/2006/relationships/hyperlink" Target="http://link.aps.org/doi/10.1103/21z4-c9p2" TargetMode="External"/><Relationship Id="rId1114" Type="http://schemas.openxmlformats.org/officeDocument/2006/relationships/hyperlink" Target="https://doi.org/10.1103/21z4-c9p2" TargetMode="External"/><Relationship Id="rId1115" Type="http://schemas.openxmlformats.org/officeDocument/2006/relationships/hyperlink" Target="http://link.aps.org/doi/10.1103/btvb-ngy5" TargetMode="External"/><Relationship Id="rId1116" Type="http://schemas.openxmlformats.org/officeDocument/2006/relationships/hyperlink" Target="https://doi.org/10.1103/btvb-ngy5" TargetMode="External"/><Relationship Id="rId1117" Type="http://schemas.openxmlformats.org/officeDocument/2006/relationships/hyperlink" Target="http://link.aps.org/doi/10.1103/gxgl-1wyf" TargetMode="External"/><Relationship Id="rId1118" Type="http://schemas.openxmlformats.org/officeDocument/2006/relationships/hyperlink" Target="https://doi.org/10.1103/gxgl-1wyf" TargetMode="External"/><Relationship Id="rId1119" Type="http://schemas.openxmlformats.org/officeDocument/2006/relationships/hyperlink" Target="http://link.aps.org/doi/10.1103/g53c-cvnh" TargetMode="External"/><Relationship Id="rId1120" Type="http://schemas.openxmlformats.org/officeDocument/2006/relationships/hyperlink" Target="https://doi.org/10.1103/g53c-cvnh" TargetMode="External"/><Relationship Id="rId1121" Type="http://schemas.openxmlformats.org/officeDocument/2006/relationships/hyperlink" Target="http://link.aps.org/doi/10.1103/xzkp-f581" TargetMode="External"/><Relationship Id="rId1122" Type="http://schemas.openxmlformats.org/officeDocument/2006/relationships/hyperlink" Target="https://doi.org/10.1103/xzkp-f581" TargetMode="External"/><Relationship Id="rId1123" Type="http://schemas.openxmlformats.org/officeDocument/2006/relationships/hyperlink" Target="http://link.aps.org/doi/10.1103/3kxd-wjvs" TargetMode="External"/><Relationship Id="rId1124" Type="http://schemas.openxmlformats.org/officeDocument/2006/relationships/hyperlink" Target="https://doi.org/10.1103/3kxd-wjvs" TargetMode="External"/><Relationship Id="rId1125" Type="http://schemas.openxmlformats.org/officeDocument/2006/relationships/hyperlink" Target="http://link.aps.org/doi/10.1103/9tfy-gp2t" TargetMode="External"/><Relationship Id="rId1126" Type="http://schemas.openxmlformats.org/officeDocument/2006/relationships/hyperlink" Target="https://doi.org/10.1103/9tfy-gp2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